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2.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4.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5.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6.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7.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5.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6.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7.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8.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9.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0.xml" ContentType="application/vnd.openxmlformats-officedocument.themeOverride+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0C89C5" w14:textId="59DD245B" w:rsidR="00431298" w:rsidRPr="00C64BA4" w:rsidRDefault="007F41DA" w:rsidP="00206C45">
      <w:pPr>
        <w:pStyle w:val="NoSpacing"/>
        <w:spacing w:line="300" w:lineRule="auto"/>
        <w:jc w:val="center"/>
        <w:rPr>
          <w:color w:val="FFFFFF" w:themeColor="background1"/>
          <w:sz w:val="36"/>
          <w:szCs w:val="36"/>
        </w:rPr>
        <w:sectPr w:rsidR="00431298" w:rsidRPr="00C64BA4" w:rsidSect="008142C8">
          <w:headerReference w:type="even" r:id="rId10"/>
          <w:headerReference w:type="default" r:id="rId11"/>
          <w:footerReference w:type="even" r:id="rId12"/>
          <w:footerReference w:type="default" r:id="rId13"/>
          <w:footerReference w:type="first" r:id="rId14"/>
          <w:pgSz w:w="12240" w:h="15840"/>
          <w:pgMar w:top="1080" w:right="1080" w:bottom="1080" w:left="1080" w:header="720" w:footer="720" w:gutter="0"/>
          <w:pgNumType w:fmt="lowerRoman" w:start="1"/>
          <w:cols w:space="720"/>
          <w:titlePg/>
          <w:docGrid w:linePitch="360"/>
        </w:sectPr>
      </w:pPr>
      <w:bookmarkStart w:id="0" w:name="_Hlk127441831"/>
      <w:r w:rsidRPr="00C64BA4">
        <w:rPr>
          <w:rFonts w:eastAsia="Times New Roman"/>
          <w:noProof/>
        </w:rPr>
        <w:drawing>
          <wp:anchor distT="0" distB="0" distL="114300" distR="114300" simplePos="0" relativeHeight="251654656" behindDoc="0" locked="0" layoutInCell="1" allowOverlap="1" wp14:anchorId="4707CF2F" wp14:editId="7F5D67DF">
            <wp:simplePos x="0" y="0"/>
            <wp:positionH relativeFrom="column">
              <wp:posOffset>-266700</wp:posOffset>
            </wp:positionH>
            <wp:positionV relativeFrom="paragraph">
              <wp:posOffset>274955</wp:posOffset>
            </wp:positionV>
            <wp:extent cx="1948180" cy="1384935"/>
            <wp:effectExtent l="0" t="0" r="0" b="5715"/>
            <wp:wrapNone/>
            <wp:docPr id="20" name="Picture 20" descr="A picture containing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company name&#10;&#10;Description automatically generated"/>
                    <pic:cNvPicPr/>
                  </pic:nvPicPr>
                  <pic:blipFill rotWithShape="1">
                    <a:blip r:embed="rId15" cstate="print">
                      <a:extLst>
                        <a:ext uri="{28A0092B-C50C-407E-A947-70E740481C1C}">
                          <a14:useLocalDpi xmlns:a14="http://schemas.microsoft.com/office/drawing/2010/main" val="0"/>
                        </a:ext>
                      </a:extLst>
                    </a:blip>
                    <a:srcRect l="11275" t="10362" r="16629" b="11918"/>
                    <a:stretch/>
                  </pic:blipFill>
                  <pic:spPr bwMode="auto">
                    <a:xfrm>
                      <a:off x="0" y="0"/>
                      <a:ext cx="1948180" cy="1384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4DF9">
        <w:rPr>
          <w:color w:val="FFFFFF" w:themeColor="background1"/>
          <w:sz w:val="36"/>
          <w:szCs w:val="36"/>
        </w:rPr>
        <w:t>in</w:t>
      </w:r>
      <w:r w:rsidR="002D2427" w:rsidRPr="00C64BA4">
        <w:rPr>
          <w:color w:val="FFFFFF" w:themeColor="background1"/>
          <w:sz w:val="36"/>
          <w:szCs w:val="36"/>
        </w:rPr>
        <w:t>`</w:t>
      </w:r>
    </w:p>
    <w:tbl>
      <w:tblPr>
        <w:tblStyle w:val="TableGrid1"/>
        <w:tblpPr w:vertAnchor="text" w:tblpXSpec="right" w:tblpY="1"/>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765"/>
        <w:gridCol w:w="7315"/>
      </w:tblGrid>
      <w:tr w:rsidR="00B80FFF" w:rsidRPr="00C64BA4" w14:paraId="25E71918" w14:textId="77777777" w:rsidTr="0568E184">
        <w:trPr>
          <w:trHeight w:val="3960"/>
        </w:trPr>
        <w:tc>
          <w:tcPr>
            <w:tcW w:w="1448" w:type="pct"/>
            <w:shd w:val="clear" w:color="auto" w:fill="FFFFFF" w:themeFill="background1"/>
          </w:tcPr>
          <w:p w14:paraId="230E1FE9" w14:textId="3DF647FF" w:rsidR="00B80FFF" w:rsidRPr="00C64BA4" w:rsidRDefault="00B80FFF" w:rsidP="00206C45">
            <w:pPr>
              <w:spacing w:line="300" w:lineRule="auto"/>
              <w:rPr>
                <w:rFonts w:eastAsia="Times New Roman"/>
              </w:rPr>
            </w:pPr>
            <w:bookmarkStart w:id="1" w:name="_Hlk106355916"/>
            <w:bookmarkEnd w:id="1"/>
            <w:r w:rsidRPr="00C64BA4">
              <w:rPr>
                <w:rFonts w:eastAsia="Times New Roman"/>
              </w:rPr>
              <w:softHyphen/>
            </w:r>
            <w:r w:rsidRPr="00C64BA4">
              <w:rPr>
                <w:rFonts w:eastAsia="Times New Roman"/>
              </w:rPr>
              <w:softHyphen/>
            </w:r>
            <w:r w:rsidRPr="00C64BA4">
              <w:rPr>
                <w:rFonts w:eastAsia="Times New Roman"/>
              </w:rPr>
              <w:softHyphen/>
            </w:r>
            <w:r w:rsidRPr="00C64BA4">
              <w:rPr>
                <w:rFonts w:eastAsia="Times New Roman"/>
              </w:rPr>
              <w:softHyphen/>
            </w:r>
            <w:r w:rsidRPr="00C64BA4">
              <w:rPr>
                <w:rFonts w:eastAsia="Times New Roman"/>
              </w:rPr>
              <w:softHyphen/>
            </w:r>
            <w:r w:rsidR="00E32020" w:rsidRPr="00C64BA4">
              <w:rPr>
                <w:rFonts w:eastAsia="Times New Roman"/>
                <w:noProof/>
              </w:rPr>
              <w:t xml:space="preserve"> </w:t>
            </w:r>
          </w:p>
        </w:tc>
        <w:tc>
          <w:tcPr>
            <w:tcW w:w="3552" w:type="pct"/>
            <w:shd w:val="clear" w:color="auto" w:fill="auto"/>
            <w:tcMar>
              <w:left w:w="115" w:type="dxa"/>
              <w:bottom w:w="115" w:type="dxa"/>
            </w:tcMar>
            <w:vAlign w:val="bottom"/>
          </w:tcPr>
          <w:p w14:paraId="6FEB0336" w14:textId="1652513C" w:rsidR="00B80FFF" w:rsidRPr="00C64BA4" w:rsidRDefault="0062538A" w:rsidP="00206C45">
            <w:pPr>
              <w:spacing w:line="300" w:lineRule="auto"/>
              <w:rPr>
                <w:rFonts w:eastAsia="Times New Roman"/>
                <w:color w:val="003192"/>
                <w:sz w:val="120"/>
                <w:szCs w:val="120"/>
              </w:rPr>
            </w:pPr>
            <w:sdt>
              <w:sdtPr>
                <w:rPr>
                  <w:rStyle w:val="TitleChar"/>
                  <w:rFonts w:asciiTheme="minorHAnsi" w:eastAsiaTheme="majorEastAsia" w:hAnsiTheme="minorHAnsi"/>
                  <w:sz w:val="72"/>
                  <w:szCs w:val="72"/>
                </w:rPr>
                <w:alias w:val="Title"/>
                <w:id w:val="541102321"/>
                <w:dataBinding w:prefixMappings="xmlns:ns0='http://schemas.openxmlformats.org/package/2006/metadata/core-properties' xmlns:ns1='http://purl.org/dc/elements/1.1/'" w:xpath="/ns0:coreProperties[1]/ns1:title[1]" w:storeItemID="{6C3C8BC8-F283-45AE-878A-BAB7291924A1}"/>
                <w:text/>
              </w:sdtPr>
              <w:sdtEndPr>
                <w:rPr>
                  <w:rStyle w:val="TitleChar"/>
                </w:rPr>
              </w:sdtEndPr>
              <w:sdtContent>
                <w:r w:rsidR="004E582A">
                  <w:rPr>
                    <w:rStyle w:val="TitleChar"/>
                    <w:rFonts w:asciiTheme="minorHAnsi" w:eastAsiaTheme="majorEastAsia" w:hAnsiTheme="minorHAnsi"/>
                    <w:sz w:val="72"/>
                    <w:szCs w:val="72"/>
                  </w:rPr>
                  <w:t>Southern New Hampshire Regional Housing Needs Assessment</w:t>
                </w:r>
              </w:sdtContent>
            </w:sdt>
          </w:p>
        </w:tc>
      </w:tr>
      <w:tr w:rsidR="00B80FFF" w:rsidRPr="00C64BA4" w14:paraId="512EC4CA" w14:textId="77777777" w:rsidTr="0568E184">
        <w:tc>
          <w:tcPr>
            <w:tcW w:w="1448" w:type="pct"/>
            <w:shd w:val="clear" w:color="auto" w:fill="FFFFFF" w:themeFill="background1"/>
          </w:tcPr>
          <w:p w14:paraId="2DBA658B" w14:textId="391BF3A1" w:rsidR="00B80FFF" w:rsidRPr="00C64BA4" w:rsidRDefault="00B80FFF" w:rsidP="00206C45">
            <w:pPr>
              <w:spacing w:line="300" w:lineRule="auto"/>
              <w:jc w:val="both"/>
              <w:rPr>
                <w:rFonts w:eastAsia="Times New Roman"/>
                <w:color w:val="E7ECED"/>
              </w:rPr>
            </w:pPr>
          </w:p>
        </w:tc>
        <w:tc>
          <w:tcPr>
            <w:tcW w:w="3552" w:type="pct"/>
            <w:shd w:val="clear" w:color="auto" w:fill="auto"/>
            <w:tcMar>
              <w:left w:w="72" w:type="dxa"/>
              <w:bottom w:w="216" w:type="dxa"/>
              <w:right w:w="0" w:type="dxa"/>
            </w:tcMar>
            <w:vAlign w:val="bottom"/>
          </w:tcPr>
          <w:p w14:paraId="62D64555" w14:textId="5D61172A" w:rsidR="00B80FFF" w:rsidRPr="00C64BA4" w:rsidRDefault="00B80FFF" w:rsidP="00206C45">
            <w:pPr>
              <w:spacing w:line="300" w:lineRule="auto"/>
              <w:jc w:val="both"/>
              <w:rPr>
                <w:rFonts w:eastAsia="Times New Roman"/>
              </w:rPr>
            </w:pPr>
            <w:r w:rsidRPr="00C64BA4">
              <w:rPr>
                <w:rFonts w:eastAsia="Times New Roman"/>
                <w:noProof/>
              </w:rPr>
              <w:drawing>
                <wp:inline distT="0" distB="0" distL="0" distR="0" wp14:anchorId="3A279794" wp14:editId="1F80DA9F">
                  <wp:extent cx="4599814" cy="315087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16">
                            <a:extLst>
                              <a:ext uri="{28A0092B-C50C-407E-A947-70E740481C1C}">
                                <a14:useLocalDpi xmlns:a14="http://schemas.microsoft.com/office/drawing/2010/main" val="0"/>
                              </a:ext>
                            </a:extLst>
                          </a:blip>
                          <a:srcRect t="8346" b="8346"/>
                          <a:stretch>
                            <a:fillRect/>
                          </a:stretch>
                        </pic:blipFill>
                        <pic:spPr bwMode="auto">
                          <a:xfrm>
                            <a:off x="0" y="0"/>
                            <a:ext cx="4599814" cy="3150870"/>
                          </a:xfrm>
                          <a:prstGeom prst="rect">
                            <a:avLst/>
                          </a:prstGeom>
                          <a:ln>
                            <a:noFill/>
                          </a:ln>
                          <a:extLst>
                            <a:ext uri="{53640926-AAD7-44D8-BBD7-CCE9431645EC}">
                              <a14:shadowObscured xmlns:a14="http://schemas.microsoft.com/office/drawing/2010/main"/>
                            </a:ext>
                          </a:extLst>
                        </pic:spPr>
                      </pic:pic>
                    </a:graphicData>
                  </a:graphic>
                </wp:inline>
              </w:drawing>
            </w:r>
          </w:p>
        </w:tc>
      </w:tr>
      <w:tr w:rsidR="00B80FFF" w:rsidRPr="00C64BA4" w14:paraId="3B6FD0DE" w14:textId="77777777" w:rsidTr="0568E184">
        <w:trPr>
          <w:trHeight w:val="864"/>
        </w:trPr>
        <w:tc>
          <w:tcPr>
            <w:tcW w:w="1448" w:type="pct"/>
            <w:shd w:val="clear" w:color="auto" w:fill="003192" w:themeFill="text2"/>
            <w:vAlign w:val="center"/>
          </w:tcPr>
          <w:p w14:paraId="0A405D57" w14:textId="4884C67E" w:rsidR="00B80FFF" w:rsidRPr="00C64BA4" w:rsidRDefault="0062538A" w:rsidP="00206C45">
            <w:pPr>
              <w:spacing w:line="300" w:lineRule="auto"/>
              <w:jc w:val="center"/>
              <w:rPr>
                <w:rFonts w:eastAsia="Times New Roman"/>
                <w:b/>
                <w:color w:val="FFFFFF"/>
                <w:sz w:val="32"/>
                <w:szCs w:val="32"/>
              </w:rPr>
            </w:pPr>
            <w:sdt>
              <w:sdtPr>
                <w:rPr>
                  <w:rFonts w:eastAsia="Times New Roman"/>
                  <w:b/>
                  <w:color w:val="FFFFFF"/>
                  <w:sz w:val="32"/>
                  <w:szCs w:val="32"/>
                </w:rPr>
                <w:alias w:val="Date"/>
                <w:id w:val="541102334"/>
                <w:date>
                  <w:dateFormat w:val="M/d/yyyy"/>
                  <w:lid w:val="en-US"/>
                  <w:storeMappedDataAs w:val="dateTime"/>
                  <w:calendar w:val="gregorian"/>
                </w:date>
              </w:sdtPr>
              <w:sdtEndPr/>
              <w:sdtContent>
                <w:r w:rsidR="00B80FFF" w:rsidRPr="00C64BA4">
                  <w:rPr>
                    <w:rFonts w:eastAsia="Times New Roman"/>
                    <w:b/>
                    <w:color w:val="FFFFFF"/>
                    <w:sz w:val="32"/>
                    <w:szCs w:val="32"/>
                  </w:rPr>
                  <w:t>20</w:t>
                </w:r>
                <w:r w:rsidR="00912110" w:rsidRPr="00C64BA4">
                  <w:rPr>
                    <w:rFonts w:eastAsia="Times New Roman"/>
                    <w:b/>
                    <w:color w:val="FFFFFF"/>
                    <w:sz w:val="32"/>
                    <w:szCs w:val="32"/>
                  </w:rPr>
                  <w:t>23</w:t>
                </w:r>
                <w:r w:rsidR="00B80FFF" w:rsidRPr="00C64BA4">
                  <w:rPr>
                    <w:rFonts w:eastAsia="Times New Roman"/>
                    <w:b/>
                    <w:color w:val="FFFFFF"/>
                    <w:sz w:val="32"/>
                    <w:szCs w:val="32"/>
                  </w:rPr>
                  <w:t>-20</w:t>
                </w:r>
                <w:r w:rsidR="00912110" w:rsidRPr="00C64BA4">
                  <w:rPr>
                    <w:rFonts w:eastAsia="Times New Roman"/>
                    <w:b/>
                    <w:color w:val="FFFFFF"/>
                    <w:sz w:val="32"/>
                    <w:szCs w:val="32"/>
                  </w:rPr>
                  <w:t>28</w:t>
                </w:r>
              </w:sdtContent>
            </w:sdt>
          </w:p>
        </w:tc>
        <w:tc>
          <w:tcPr>
            <w:tcW w:w="3552" w:type="pct"/>
            <w:shd w:val="clear" w:color="auto" w:fill="69B220" w:themeFill="accent1"/>
            <w:tcMar>
              <w:left w:w="216" w:type="dxa"/>
            </w:tcMar>
            <w:vAlign w:val="center"/>
          </w:tcPr>
          <w:p w14:paraId="624991EB" w14:textId="43AE610C" w:rsidR="00B80FFF" w:rsidRPr="00C64BA4" w:rsidRDefault="0062538A" w:rsidP="00206C45">
            <w:pPr>
              <w:spacing w:line="300" w:lineRule="auto"/>
              <w:jc w:val="both"/>
              <w:rPr>
                <w:rFonts w:eastAsia="Times New Roman"/>
                <w:color w:val="FFFFFF"/>
                <w:sz w:val="39"/>
                <w:szCs w:val="39"/>
              </w:rPr>
            </w:pPr>
            <w:sdt>
              <w:sdtPr>
                <w:rPr>
                  <w:rFonts w:eastAsia="Times New Roman"/>
                  <w:color w:val="FFFFFF"/>
                  <w:sz w:val="39"/>
                  <w:szCs w:val="39"/>
                </w:rPr>
                <w:alias w:val="Subtitle"/>
                <w:id w:val="541102329"/>
                <w:placeholder>
                  <w:docPart w:val="DefaultPlaceholder_1081868574"/>
                </w:placeholder>
                <w:dataBinding w:prefixMappings="xmlns:ns0='http://schemas.openxmlformats.org/package/2006/metadata/core-properties' xmlns:ns1='http://purl.org/dc/elements/1.1/'" w:xpath="/ns0:coreProperties[1]/ns1:subject[1]" w:storeItemID="{6C3C8BC8-F283-45AE-878A-BAB7291924A1}"/>
                <w:text/>
              </w:sdtPr>
              <w:sdtEndPr>
                <w:rPr>
                  <w:color w:val="FFFFFF" w:themeColor="background1"/>
                </w:rPr>
              </w:sdtEndPr>
              <w:sdtContent>
                <w:r w:rsidR="00981546" w:rsidRPr="00C64BA4">
                  <w:rPr>
                    <w:rFonts w:eastAsia="Times New Roman"/>
                    <w:color w:val="FFFFFF"/>
                    <w:sz w:val="39"/>
                    <w:szCs w:val="39"/>
                  </w:rPr>
                  <w:t>SNHPC Regional Housing Needs Assessment</w:t>
                </w:r>
              </w:sdtContent>
            </w:sdt>
          </w:p>
        </w:tc>
      </w:tr>
    </w:tbl>
    <w:tbl>
      <w:tblPr>
        <w:tblStyle w:val="TableGrid2"/>
        <w:tblW w:w="4900" w:type="pct"/>
        <w:jc w:val="center"/>
        <w:tblBorders>
          <w:top w:val="single" w:sz="48" w:space="0" w:color="FFFFFF" w:themeColor="light1"/>
          <w:left w:val="single" w:sz="48" w:space="0" w:color="FFFFFF" w:themeColor="light1"/>
          <w:bottom w:val="single" w:sz="48" w:space="0" w:color="FFFFFF" w:themeColor="light1"/>
          <w:right w:val="single" w:sz="48" w:space="0" w:color="FFFFFF" w:themeColor="light1"/>
          <w:insideH w:val="single" w:sz="48" w:space="0" w:color="FFFFFF" w:themeColor="light1"/>
          <w:insideV w:val="single" w:sz="48" w:space="0" w:color="FFFFFF" w:themeColor="light1"/>
        </w:tblBorders>
        <w:tblCellMar>
          <w:left w:w="115" w:type="dxa"/>
          <w:right w:w="115" w:type="dxa"/>
        </w:tblCellMar>
        <w:tblLook w:val="01E0" w:firstRow="1" w:lastRow="1" w:firstColumn="1" w:lastColumn="1" w:noHBand="0" w:noVBand="0"/>
      </w:tblPr>
      <w:tblGrid>
        <w:gridCol w:w="2805"/>
        <w:gridCol w:w="7073"/>
      </w:tblGrid>
      <w:tr w:rsidR="00B80FFF" w:rsidRPr="00C64BA4" w14:paraId="4FB22525" w14:textId="77777777" w:rsidTr="00E31952">
        <w:trPr>
          <w:trHeight w:val="1845"/>
          <w:jc w:val="center"/>
        </w:trPr>
        <w:tc>
          <w:tcPr>
            <w:tcW w:w="1420" w:type="pct"/>
            <w:tcBorders>
              <w:top w:val="nil"/>
              <w:left w:val="nil"/>
              <w:bottom w:val="nil"/>
              <w:right w:val="nil"/>
            </w:tcBorders>
            <w:shd w:val="clear" w:color="auto" w:fill="FFFFFF" w:themeFill="background1"/>
            <w:vAlign w:val="center"/>
          </w:tcPr>
          <w:p w14:paraId="4BACAF16" w14:textId="6584538A" w:rsidR="00B80FFF" w:rsidRPr="00C64BA4" w:rsidRDefault="00F64C07" w:rsidP="00206C45">
            <w:pPr>
              <w:spacing w:line="300" w:lineRule="auto"/>
              <w:jc w:val="center"/>
              <w:rPr>
                <w:rFonts w:eastAsia="Times New Roman"/>
                <w:color w:val="FFFFFF"/>
                <w:sz w:val="36"/>
                <w:szCs w:val="36"/>
              </w:rPr>
            </w:pPr>
            <w:r w:rsidRPr="00C64BA4">
              <w:rPr>
                <w:rFonts w:eastAsia="Times New Roman"/>
                <w:noProof/>
                <w:color w:val="FFFFFF"/>
                <w:sz w:val="36"/>
                <w:szCs w:val="36"/>
              </w:rPr>
              <w:drawing>
                <wp:anchor distT="0" distB="0" distL="114300" distR="114300" simplePos="0" relativeHeight="251653120" behindDoc="0" locked="0" layoutInCell="1" allowOverlap="1" wp14:anchorId="3428009F" wp14:editId="5742A49D">
                  <wp:simplePos x="0" y="0"/>
                  <wp:positionH relativeFrom="margin">
                    <wp:posOffset>54610</wp:posOffset>
                  </wp:positionH>
                  <wp:positionV relativeFrom="page">
                    <wp:posOffset>-52070</wp:posOffset>
                  </wp:positionV>
                  <wp:extent cx="1705610" cy="1371600"/>
                  <wp:effectExtent l="0" t="0" r="8890" b="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705610" cy="1371600"/>
                          </a:xfrm>
                          <a:prstGeom prst="rect">
                            <a:avLst/>
                          </a:prstGeom>
                          <a:noFill/>
                        </pic:spPr>
                      </pic:pic>
                    </a:graphicData>
                  </a:graphic>
                  <wp14:sizeRelH relativeFrom="margin">
                    <wp14:pctWidth>0</wp14:pctWidth>
                  </wp14:sizeRelH>
                  <wp14:sizeRelV relativeFrom="margin">
                    <wp14:pctHeight>0</wp14:pctHeight>
                  </wp14:sizeRelV>
                </wp:anchor>
              </w:drawing>
            </w:r>
          </w:p>
        </w:tc>
        <w:tc>
          <w:tcPr>
            <w:tcW w:w="3580" w:type="pct"/>
            <w:tcBorders>
              <w:top w:val="nil"/>
              <w:left w:val="nil"/>
              <w:bottom w:val="nil"/>
              <w:right w:val="nil"/>
            </w:tcBorders>
            <w:shd w:val="clear" w:color="auto" w:fill="auto"/>
            <w:tcMar>
              <w:top w:w="432" w:type="dxa"/>
              <w:left w:w="216" w:type="dxa"/>
              <w:right w:w="432" w:type="dxa"/>
            </w:tcMar>
          </w:tcPr>
          <w:p w14:paraId="6F7AD417" w14:textId="6280E4DC" w:rsidR="0032798C" w:rsidRPr="00C64BA4" w:rsidRDefault="00AC0714" w:rsidP="00206C45">
            <w:pPr>
              <w:spacing w:before="100" w:beforeAutospacing="1" w:line="300" w:lineRule="auto"/>
              <w:ind w:left="56"/>
              <w:jc w:val="both"/>
              <w:rPr>
                <w:rFonts w:eastAsia="Times New Roman"/>
                <w:b/>
                <w:bCs/>
                <w:color w:val="0E5EFF"/>
                <w:spacing w:val="5"/>
              </w:rPr>
            </w:pPr>
            <w:r w:rsidRPr="00C64BA4">
              <w:rPr>
                <w:rFonts w:eastAsia="Times New Roman"/>
                <w:b/>
                <w:bCs/>
                <w:color w:val="0E5EFF"/>
                <w:spacing w:val="5"/>
              </w:rPr>
              <w:t>SNHPC’s Comprehensive Plan</w:t>
            </w:r>
            <w:r w:rsidR="000A7AE7" w:rsidRPr="00C64BA4">
              <w:rPr>
                <w:rFonts w:eastAsia="Times New Roman"/>
                <w:b/>
                <w:bCs/>
                <w:color w:val="0E5EFF"/>
                <w:spacing w:val="5"/>
              </w:rPr>
              <w:t xml:space="preserve"> Housing </w:t>
            </w:r>
            <w:r w:rsidR="00BD2478" w:rsidRPr="00C64BA4">
              <w:rPr>
                <w:rFonts w:eastAsia="Times New Roman"/>
                <w:b/>
                <w:bCs/>
                <w:color w:val="0E5EFF"/>
                <w:spacing w:val="5"/>
              </w:rPr>
              <w:t xml:space="preserve">Chapter </w:t>
            </w:r>
            <w:r w:rsidR="000A7AE7" w:rsidRPr="00C64BA4">
              <w:rPr>
                <w:rFonts w:eastAsia="Times New Roman"/>
                <w:b/>
                <w:bCs/>
                <w:color w:val="0E5EFF"/>
                <w:spacing w:val="5"/>
              </w:rPr>
              <w:t>Vision Statement</w:t>
            </w:r>
          </w:p>
          <w:p w14:paraId="3AC5C20C" w14:textId="3F727CCB" w:rsidR="00BD2478" w:rsidRPr="00C64BA4" w:rsidRDefault="00260E3D" w:rsidP="00206C45">
            <w:pPr>
              <w:pStyle w:val="Quote"/>
              <w:spacing w:line="300" w:lineRule="auto"/>
              <w:ind w:left="141" w:right="361"/>
              <w:rPr>
                <w:rFonts w:eastAsia="Times New Roman"/>
                <w:b/>
                <w:bCs/>
                <w:color w:val="0E5EFF"/>
                <w:spacing w:val="5"/>
              </w:rPr>
            </w:pPr>
            <w:r w:rsidRPr="00C64BA4">
              <w:rPr>
                <w:rFonts w:eastAsia="Times New Roman"/>
              </w:rPr>
              <w:t>“</w:t>
            </w:r>
            <w:r w:rsidR="00AC0714" w:rsidRPr="00C64BA4">
              <w:rPr>
                <w:rFonts w:eastAsia="Times New Roman"/>
              </w:rPr>
              <w:t>The Residents of Southern New Hampshire have a preference for a range of different housing types and neighborhoods, but everyone values housing choices that are safe and affordable for all.</w:t>
            </w:r>
            <w:r w:rsidRPr="00C64BA4">
              <w:rPr>
                <w:rFonts w:eastAsia="Times New Roman"/>
              </w:rPr>
              <w:t>”</w:t>
            </w:r>
          </w:p>
        </w:tc>
      </w:tr>
    </w:tbl>
    <w:p w14:paraId="0047CDAB" w14:textId="16CCDD42" w:rsidR="00F64C07" w:rsidRPr="00C64BA4" w:rsidRDefault="005E7ED2" w:rsidP="004E582A">
      <w:pPr>
        <w:tabs>
          <w:tab w:val="left" w:pos="6585"/>
        </w:tabs>
        <w:spacing w:line="300" w:lineRule="auto"/>
        <w:rPr>
          <w:color w:val="E7ECED" w:themeColor="background2"/>
        </w:rPr>
        <w:sectPr w:rsidR="00F64C07" w:rsidRPr="00C64BA4" w:rsidSect="008142C8">
          <w:footerReference w:type="default" r:id="rId18"/>
          <w:type w:val="continuous"/>
          <w:pgSz w:w="12240" w:h="15840"/>
          <w:pgMar w:top="1080" w:right="1080" w:bottom="1890" w:left="1080" w:header="720" w:footer="362" w:gutter="0"/>
          <w:pgNumType w:fmt="lowerRoman" w:start="1"/>
          <w:cols w:space="720"/>
          <w:titlePg/>
          <w:docGrid w:linePitch="360"/>
        </w:sectPr>
      </w:pPr>
      <w:r w:rsidRPr="00C64BA4">
        <w:rPr>
          <w:color w:val="E7ECED" w:themeColor="background2"/>
        </w:rPr>
        <w:tab/>
      </w:r>
      <w:bookmarkEnd w:id="0"/>
      <w:r w:rsidR="0077237A">
        <w:rPr>
          <w:color w:val="E7ECED" w:themeColor="background2"/>
        </w:rPr>
        <w:tab/>
      </w:r>
    </w:p>
    <w:sdt>
      <w:sdtPr>
        <w:rPr>
          <w:rFonts w:eastAsiaTheme="minorHAnsi"/>
          <w:b/>
          <w:bCs/>
          <w:caps w:val="0"/>
          <w:color w:val="auto"/>
          <w:spacing w:val="0"/>
          <w:sz w:val="24"/>
          <w:szCs w:val="20"/>
          <w:lang w:bidi="ar-SA"/>
        </w:rPr>
        <w:id w:val="424236617"/>
        <w:docPartObj>
          <w:docPartGallery w:val="Table of Contents"/>
          <w:docPartUnique/>
        </w:docPartObj>
      </w:sdtPr>
      <w:sdtEndPr>
        <w:rPr>
          <w:rFonts w:eastAsiaTheme="majorEastAsia"/>
          <w:b w:val="0"/>
          <w:bCs w:val="0"/>
          <w:noProof/>
          <w:sz w:val="22"/>
          <w:szCs w:val="22"/>
        </w:rPr>
      </w:sdtEndPr>
      <w:sdtContent>
        <w:p w14:paraId="02FB59BF" w14:textId="77777777" w:rsidR="00A064B0" w:rsidRDefault="00F01FE9" w:rsidP="00206C45">
          <w:pPr>
            <w:pStyle w:val="TOCHeading"/>
            <w:spacing w:line="300" w:lineRule="auto"/>
            <w:rPr>
              <w:noProof/>
            </w:rPr>
          </w:pPr>
          <w:r w:rsidRPr="00C64BA4">
            <w:t>Table of Contents</w:t>
          </w:r>
          <w:r w:rsidRPr="00C64BA4">
            <w:rPr>
              <w:color w:val="003192" w:themeColor="text2"/>
            </w:rPr>
            <w:fldChar w:fldCharType="begin"/>
          </w:r>
          <w:r w:rsidRPr="00C64BA4">
            <w:instrText xml:space="preserve"> TOC \o "1-3" \h \z \u </w:instrText>
          </w:r>
          <w:r w:rsidRPr="00C64BA4">
            <w:rPr>
              <w:color w:val="003192" w:themeColor="text2"/>
            </w:rPr>
            <w:fldChar w:fldCharType="separate"/>
          </w:r>
        </w:p>
        <w:p w14:paraId="634380EB" w14:textId="2AA9F062" w:rsidR="00A064B0" w:rsidRDefault="0062538A">
          <w:pPr>
            <w:pStyle w:val="TOC1"/>
            <w:rPr>
              <w:rFonts w:eastAsiaTheme="minorEastAsia" w:cstheme="minorBidi"/>
              <w:b w:val="0"/>
              <w:caps w:val="0"/>
              <w:color w:val="auto"/>
            </w:rPr>
          </w:pPr>
          <w:hyperlink w:anchor="_Toc128137931" w:history="1">
            <w:r w:rsidR="00A064B0" w:rsidRPr="00C45EA7">
              <w:rPr>
                <w:rStyle w:val="Hyperlink"/>
              </w:rPr>
              <w:t>Section I – Aknowledgement</w:t>
            </w:r>
            <w:r w:rsidR="00A064B0">
              <w:rPr>
                <w:webHidden/>
              </w:rPr>
              <w:tab/>
            </w:r>
            <w:r w:rsidR="00A064B0">
              <w:rPr>
                <w:webHidden/>
              </w:rPr>
              <w:fldChar w:fldCharType="begin"/>
            </w:r>
            <w:r w:rsidR="00A064B0">
              <w:rPr>
                <w:webHidden/>
              </w:rPr>
              <w:instrText xml:space="preserve"> PAGEREF _Toc128137931 \h </w:instrText>
            </w:r>
            <w:r w:rsidR="00A064B0">
              <w:rPr>
                <w:webHidden/>
              </w:rPr>
            </w:r>
            <w:r w:rsidR="00A064B0">
              <w:rPr>
                <w:webHidden/>
              </w:rPr>
              <w:fldChar w:fldCharType="separate"/>
            </w:r>
            <w:r w:rsidR="00A064B0">
              <w:rPr>
                <w:webHidden/>
              </w:rPr>
              <w:t>1</w:t>
            </w:r>
            <w:r w:rsidR="00A064B0">
              <w:rPr>
                <w:webHidden/>
              </w:rPr>
              <w:fldChar w:fldCharType="end"/>
            </w:r>
          </w:hyperlink>
        </w:p>
        <w:p w14:paraId="2FB5958F" w14:textId="33F74A53" w:rsidR="00A064B0" w:rsidRDefault="0062538A">
          <w:pPr>
            <w:pStyle w:val="TOC1"/>
            <w:rPr>
              <w:rFonts w:eastAsiaTheme="minorEastAsia" w:cstheme="minorBidi"/>
              <w:b w:val="0"/>
              <w:caps w:val="0"/>
              <w:color w:val="auto"/>
            </w:rPr>
          </w:pPr>
          <w:hyperlink w:anchor="_Toc128137932" w:history="1">
            <w:r w:rsidR="00A064B0" w:rsidRPr="00C45EA7">
              <w:rPr>
                <w:rStyle w:val="Hyperlink"/>
              </w:rPr>
              <w:t>Section II - Executive Summary</w:t>
            </w:r>
            <w:r w:rsidR="00A064B0">
              <w:rPr>
                <w:webHidden/>
              </w:rPr>
              <w:tab/>
            </w:r>
            <w:r w:rsidR="00A064B0">
              <w:rPr>
                <w:webHidden/>
              </w:rPr>
              <w:fldChar w:fldCharType="begin"/>
            </w:r>
            <w:r w:rsidR="00A064B0">
              <w:rPr>
                <w:webHidden/>
              </w:rPr>
              <w:instrText xml:space="preserve"> PAGEREF _Toc128137932 \h </w:instrText>
            </w:r>
            <w:r w:rsidR="00A064B0">
              <w:rPr>
                <w:webHidden/>
              </w:rPr>
            </w:r>
            <w:r w:rsidR="00A064B0">
              <w:rPr>
                <w:webHidden/>
              </w:rPr>
              <w:fldChar w:fldCharType="separate"/>
            </w:r>
            <w:r w:rsidR="00A064B0">
              <w:rPr>
                <w:webHidden/>
              </w:rPr>
              <w:t>2</w:t>
            </w:r>
            <w:r w:rsidR="00A064B0">
              <w:rPr>
                <w:webHidden/>
              </w:rPr>
              <w:fldChar w:fldCharType="end"/>
            </w:r>
          </w:hyperlink>
        </w:p>
        <w:p w14:paraId="64374EC9" w14:textId="7311A1EE" w:rsidR="00A064B0" w:rsidRDefault="0062538A">
          <w:pPr>
            <w:pStyle w:val="TOC2"/>
            <w:rPr>
              <w:rFonts w:eastAsiaTheme="minorEastAsia" w:cstheme="minorBidi"/>
            </w:rPr>
          </w:pPr>
          <w:hyperlink w:anchor="_Toc128137933" w:history="1">
            <w:r w:rsidR="00A064B0" w:rsidRPr="00C45EA7">
              <w:rPr>
                <w:rStyle w:val="Hyperlink"/>
                <w:rFonts w:cs="Segoe UI"/>
              </w:rPr>
              <w:t>Purpose of the Plan</w:t>
            </w:r>
            <w:r w:rsidR="00A064B0">
              <w:rPr>
                <w:webHidden/>
              </w:rPr>
              <w:tab/>
            </w:r>
            <w:r w:rsidR="00A064B0">
              <w:rPr>
                <w:webHidden/>
              </w:rPr>
              <w:fldChar w:fldCharType="begin"/>
            </w:r>
            <w:r w:rsidR="00A064B0">
              <w:rPr>
                <w:webHidden/>
              </w:rPr>
              <w:instrText xml:space="preserve"> PAGEREF _Toc128137933 \h </w:instrText>
            </w:r>
            <w:r w:rsidR="00A064B0">
              <w:rPr>
                <w:webHidden/>
              </w:rPr>
            </w:r>
            <w:r w:rsidR="00A064B0">
              <w:rPr>
                <w:webHidden/>
              </w:rPr>
              <w:fldChar w:fldCharType="separate"/>
            </w:r>
            <w:r w:rsidR="00A064B0">
              <w:rPr>
                <w:webHidden/>
              </w:rPr>
              <w:t>2</w:t>
            </w:r>
            <w:r w:rsidR="00A064B0">
              <w:rPr>
                <w:webHidden/>
              </w:rPr>
              <w:fldChar w:fldCharType="end"/>
            </w:r>
          </w:hyperlink>
        </w:p>
        <w:p w14:paraId="38D66BEE" w14:textId="2991656D" w:rsidR="00A064B0" w:rsidRDefault="0062538A">
          <w:pPr>
            <w:pStyle w:val="TOC2"/>
            <w:rPr>
              <w:rFonts w:eastAsiaTheme="minorEastAsia" w:cstheme="minorBidi"/>
            </w:rPr>
          </w:pPr>
          <w:hyperlink w:anchor="_Toc128137934" w:history="1">
            <w:r w:rsidR="00A064B0" w:rsidRPr="00C45EA7">
              <w:rPr>
                <w:rStyle w:val="Hyperlink"/>
                <w:rFonts w:cs="Segoe UI"/>
              </w:rPr>
              <w:t>Housing/Population Snapshot</w:t>
            </w:r>
            <w:r w:rsidR="00A064B0">
              <w:rPr>
                <w:webHidden/>
              </w:rPr>
              <w:tab/>
            </w:r>
            <w:r w:rsidR="00A064B0">
              <w:rPr>
                <w:webHidden/>
              </w:rPr>
              <w:fldChar w:fldCharType="begin"/>
            </w:r>
            <w:r w:rsidR="00A064B0">
              <w:rPr>
                <w:webHidden/>
              </w:rPr>
              <w:instrText xml:space="preserve"> PAGEREF _Toc128137934 \h </w:instrText>
            </w:r>
            <w:r w:rsidR="00A064B0">
              <w:rPr>
                <w:webHidden/>
              </w:rPr>
            </w:r>
            <w:r w:rsidR="00A064B0">
              <w:rPr>
                <w:webHidden/>
              </w:rPr>
              <w:fldChar w:fldCharType="separate"/>
            </w:r>
            <w:r w:rsidR="00A064B0">
              <w:rPr>
                <w:webHidden/>
              </w:rPr>
              <w:t>2</w:t>
            </w:r>
            <w:r w:rsidR="00A064B0">
              <w:rPr>
                <w:webHidden/>
              </w:rPr>
              <w:fldChar w:fldCharType="end"/>
            </w:r>
          </w:hyperlink>
        </w:p>
        <w:p w14:paraId="14F76D6B" w14:textId="121B1A25" w:rsidR="00A064B0" w:rsidRDefault="0062538A">
          <w:pPr>
            <w:pStyle w:val="TOC3"/>
            <w:rPr>
              <w:rFonts w:eastAsiaTheme="minorEastAsia" w:cstheme="minorBidi"/>
            </w:rPr>
          </w:pPr>
          <w:hyperlink w:anchor="_Toc128137935" w:history="1">
            <w:r w:rsidR="00A064B0" w:rsidRPr="00C45EA7">
              <w:rPr>
                <w:rStyle w:val="Hyperlink"/>
              </w:rPr>
              <w:t>Housing.</w:t>
            </w:r>
            <w:r w:rsidR="00A064B0">
              <w:rPr>
                <w:webHidden/>
              </w:rPr>
              <w:tab/>
            </w:r>
            <w:r w:rsidR="00A064B0">
              <w:rPr>
                <w:webHidden/>
              </w:rPr>
              <w:fldChar w:fldCharType="begin"/>
            </w:r>
            <w:r w:rsidR="00A064B0">
              <w:rPr>
                <w:webHidden/>
              </w:rPr>
              <w:instrText xml:space="preserve"> PAGEREF _Toc128137935 \h </w:instrText>
            </w:r>
            <w:r w:rsidR="00A064B0">
              <w:rPr>
                <w:webHidden/>
              </w:rPr>
            </w:r>
            <w:r w:rsidR="00A064B0">
              <w:rPr>
                <w:webHidden/>
              </w:rPr>
              <w:fldChar w:fldCharType="separate"/>
            </w:r>
            <w:r w:rsidR="00A064B0">
              <w:rPr>
                <w:webHidden/>
              </w:rPr>
              <w:t>2</w:t>
            </w:r>
            <w:r w:rsidR="00A064B0">
              <w:rPr>
                <w:webHidden/>
              </w:rPr>
              <w:fldChar w:fldCharType="end"/>
            </w:r>
          </w:hyperlink>
        </w:p>
        <w:p w14:paraId="732D612F" w14:textId="579B320E" w:rsidR="00A064B0" w:rsidRDefault="0062538A">
          <w:pPr>
            <w:pStyle w:val="TOC3"/>
            <w:rPr>
              <w:rFonts w:eastAsiaTheme="minorEastAsia" w:cstheme="minorBidi"/>
            </w:rPr>
          </w:pPr>
          <w:hyperlink w:anchor="_Toc128137936" w:history="1">
            <w:r w:rsidR="00A064B0" w:rsidRPr="00C45EA7">
              <w:rPr>
                <w:rStyle w:val="Hyperlink"/>
                <w:rFonts w:eastAsia="Times New Roman" w:cs="Times New Roman"/>
              </w:rPr>
              <w:t>Population.</w:t>
            </w:r>
            <w:r w:rsidR="00A064B0">
              <w:rPr>
                <w:webHidden/>
              </w:rPr>
              <w:tab/>
            </w:r>
            <w:r w:rsidR="00A064B0">
              <w:rPr>
                <w:webHidden/>
              </w:rPr>
              <w:fldChar w:fldCharType="begin"/>
            </w:r>
            <w:r w:rsidR="00A064B0">
              <w:rPr>
                <w:webHidden/>
              </w:rPr>
              <w:instrText xml:space="preserve"> PAGEREF _Toc128137936 \h </w:instrText>
            </w:r>
            <w:r w:rsidR="00A064B0">
              <w:rPr>
                <w:webHidden/>
              </w:rPr>
            </w:r>
            <w:r w:rsidR="00A064B0">
              <w:rPr>
                <w:webHidden/>
              </w:rPr>
              <w:fldChar w:fldCharType="separate"/>
            </w:r>
            <w:r w:rsidR="00A064B0">
              <w:rPr>
                <w:webHidden/>
              </w:rPr>
              <w:t>3</w:t>
            </w:r>
            <w:r w:rsidR="00A064B0">
              <w:rPr>
                <w:webHidden/>
              </w:rPr>
              <w:fldChar w:fldCharType="end"/>
            </w:r>
          </w:hyperlink>
        </w:p>
        <w:p w14:paraId="2EF63492" w14:textId="67271B6E" w:rsidR="00A064B0" w:rsidRDefault="0062538A">
          <w:pPr>
            <w:pStyle w:val="TOC2"/>
            <w:rPr>
              <w:rFonts w:eastAsiaTheme="minorEastAsia" w:cstheme="minorBidi"/>
            </w:rPr>
          </w:pPr>
          <w:hyperlink w:anchor="_Toc128137937" w:history="1">
            <w:r w:rsidR="00A064B0" w:rsidRPr="00C45EA7">
              <w:rPr>
                <w:rStyle w:val="Hyperlink"/>
                <w:rFonts w:cs="Segoe UI"/>
              </w:rPr>
              <w:t>Key Issues</w:t>
            </w:r>
            <w:r w:rsidR="00A064B0">
              <w:rPr>
                <w:webHidden/>
              </w:rPr>
              <w:tab/>
            </w:r>
            <w:r w:rsidR="00A064B0">
              <w:rPr>
                <w:webHidden/>
              </w:rPr>
              <w:fldChar w:fldCharType="begin"/>
            </w:r>
            <w:r w:rsidR="00A064B0">
              <w:rPr>
                <w:webHidden/>
              </w:rPr>
              <w:instrText xml:space="preserve"> PAGEREF _Toc128137937 \h </w:instrText>
            </w:r>
            <w:r w:rsidR="00A064B0">
              <w:rPr>
                <w:webHidden/>
              </w:rPr>
            </w:r>
            <w:r w:rsidR="00A064B0">
              <w:rPr>
                <w:webHidden/>
              </w:rPr>
              <w:fldChar w:fldCharType="separate"/>
            </w:r>
            <w:r w:rsidR="00A064B0">
              <w:rPr>
                <w:webHidden/>
              </w:rPr>
              <w:t>4</w:t>
            </w:r>
            <w:r w:rsidR="00A064B0">
              <w:rPr>
                <w:webHidden/>
              </w:rPr>
              <w:fldChar w:fldCharType="end"/>
            </w:r>
          </w:hyperlink>
        </w:p>
        <w:p w14:paraId="364B9F7A" w14:textId="0AA8A205" w:rsidR="00A064B0" w:rsidRDefault="0062538A">
          <w:pPr>
            <w:pStyle w:val="TOC2"/>
            <w:rPr>
              <w:rFonts w:eastAsiaTheme="minorEastAsia" w:cstheme="minorBidi"/>
            </w:rPr>
          </w:pPr>
          <w:hyperlink w:anchor="_Toc128137938" w:history="1">
            <w:r w:rsidR="00A064B0" w:rsidRPr="00C45EA7">
              <w:rPr>
                <w:rStyle w:val="Hyperlink"/>
                <w:rFonts w:cs="Segoe UI"/>
              </w:rPr>
              <w:t>Recommendations</w:t>
            </w:r>
            <w:r w:rsidR="00A064B0">
              <w:rPr>
                <w:webHidden/>
              </w:rPr>
              <w:tab/>
            </w:r>
            <w:r w:rsidR="00A064B0">
              <w:rPr>
                <w:webHidden/>
              </w:rPr>
              <w:fldChar w:fldCharType="begin"/>
            </w:r>
            <w:r w:rsidR="00A064B0">
              <w:rPr>
                <w:webHidden/>
              </w:rPr>
              <w:instrText xml:space="preserve"> PAGEREF _Toc128137938 \h </w:instrText>
            </w:r>
            <w:r w:rsidR="00A064B0">
              <w:rPr>
                <w:webHidden/>
              </w:rPr>
            </w:r>
            <w:r w:rsidR="00A064B0">
              <w:rPr>
                <w:webHidden/>
              </w:rPr>
              <w:fldChar w:fldCharType="separate"/>
            </w:r>
            <w:r w:rsidR="00A064B0">
              <w:rPr>
                <w:webHidden/>
              </w:rPr>
              <w:t>6</w:t>
            </w:r>
            <w:r w:rsidR="00A064B0">
              <w:rPr>
                <w:webHidden/>
              </w:rPr>
              <w:fldChar w:fldCharType="end"/>
            </w:r>
          </w:hyperlink>
        </w:p>
        <w:p w14:paraId="0E31EE61" w14:textId="266D5A95" w:rsidR="00A064B0" w:rsidRDefault="0062538A">
          <w:pPr>
            <w:pStyle w:val="TOC2"/>
            <w:rPr>
              <w:rFonts w:eastAsiaTheme="minorEastAsia" w:cstheme="minorBidi"/>
            </w:rPr>
          </w:pPr>
          <w:hyperlink w:anchor="_Toc128137939" w:history="1">
            <w:r w:rsidR="00A064B0" w:rsidRPr="00C45EA7">
              <w:rPr>
                <w:rStyle w:val="Hyperlink"/>
                <w:rFonts w:cs="Segoe UI"/>
              </w:rPr>
              <w:t>State and Federal Response to Housing Inequities</w:t>
            </w:r>
            <w:r w:rsidR="00A064B0">
              <w:rPr>
                <w:webHidden/>
              </w:rPr>
              <w:tab/>
            </w:r>
            <w:r w:rsidR="00A064B0">
              <w:rPr>
                <w:webHidden/>
              </w:rPr>
              <w:fldChar w:fldCharType="begin"/>
            </w:r>
            <w:r w:rsidR="00A064B0">
              <w:rPr>
                <w:webHidden/>
              </w:rPr>
              <w:instrText xml:space="preserve"> PAGEREF _Toc128137939 \h </w:instrText>
            </w:r>
            <w:r w:rsidR="00A064B0">
              <w:rPr>
                <w:webHidden/>
              </w:rPr>
            </w:r>
            <w:r w:rsidR="00A064B0">
              <w:rPr>
                <w:webHidden/>
              </w:rPr>
              <w:fldChar w:fldCharType="separate"/>
            </w:r>
            <w:r w:rsidR="00A064B0">
              <w:rPr>
                <w:webHidden/>
              </w:rPr>
              <w:t>10</w:t>
            </w:r>
            <w:r w:rsidR="00A064B0">
              <w:rPr>
                <w:webHidden/>
              </w:rPr>
              <w:fldChar w:fldCharType="end"/>
            </w:r>
          </w:hyperlink>
        </w:p>
        <w:p w14:paraId="2C92B7A9" w14:textId="698B8803" w:rsidR="00A064B0" w:rsidRDefault="0062538A">
          <w:pPr>
            <w:pStyle w:val="TOC2"/>
            <w:rPr>
              <w:rFonts w:eastAsiaTheme="minorEastAsia" w:cstheme="minorBidi"/>
            </w:rPr>
          </w:pPr>
          <w:hyperlink w:anchor="_Toc128137940" w:history="1">
            <w:r w:rsidR="00A064B0" w:rsidRPr="00C45EA7">
              <w:rPr>
                <w:rStyle w:val="Hyperlink"/>
                <w:rFonts w:cs="Segoe UI"/>
              </w:rPr>
              <w:t>Future Housing Need</w:t>
            </w:r>
            <w:r w:rsidR="00A064B0">
              <w:rPr>
                <w:webHidden/>
              </w:rPr>
              <w:tab/>
            </w:r>
            <w:r w:rsidR="00A064B0">
              <w:rPr>
                <w:webHidden/>
              </w:rPr>
              <w:fldChar w:fldCharType="begin"/>
            </w:r>
            <w:r w:rsidR="00A064B0">
              <w:rPr>
                <w:webHidden/>
              </w:rPr>
              <w:instrText xml:space="preserve"> PAGEREF _Toc128137940 \h </w:instrText>
            </w:r>
            <w:r w:rsidR="00A064B0">
              <w:rPr>
                <w:webHidden/>
              </w:rPr>
            </w:r>
            <w:r w:rsidR="00A064B0">
              <w:rPr>
                <w:webHidden/>
              </w:rPr>
              <w:fldChar w:fldCharType="separate"/>
            </w:r>
            <w:r w:rsidR="00A064B0">
              <w:rPr>
                <w:webHidden/>
              </w:rPr>
              <w:t>10</w:t>
            </w:r>
            <w:r w:rsidR="00A064B0">
              <w:rPr>
                <w:webHidden/>
              </w:rPr>
              <w:fldChar w:fldCharType="end"/>
            </w:r>
          </w:hyperlink>
        </w:p>
        <w:p w14:paraId="139C9F9F" w14:textId="107F4BE4" w:rsidR="00A064B0" w:rsidRDefault="0062538A">
          <w:pPr>
            <w:pStyle w:val="TOC2"/>
            <w:rPr>
              <w:rFonts w:eastAsiaTheme="minorEastAsia" w:cstheme="minorBidi"/>
            </w:rPr>
          </w:pPr>
          <w:hyperlink w:anchor="_Toc128137941" w:history="1">
            <w:r w:rsidR="00A064B0" w:rsidRPr="00C45EA7">
              <w:rPr>
                <w:rStyle w:val="Hyperlink"/>
                <w:rFonts w:cs="Segoe UI"/>
              </w:rPr>
              <w:t>Resources/Toolkit for Municipalities (still under development)</w:t>
            </w:r>
            <w:r w:rsidR="00A064B0">
              <w:rPr>
                <w:webHidden/>
              </w:rPr>
              <w:tab/>
            </w:r>
            <w:r w:rsidR="00A064B0">
              <w:rPr>
                <w:webHidden/>
              </w:rPr>
              <w:fldChar w:fldCharType="begin"/>
            </w:r>
            <w:r w:rsidR="00A064B0">
              <w:rPr>
                <w:webHidden/>
              </w:rPr>
              <w:instrText xml:space="preserve"> PAGEREF _Toc128137941 \h </w:instrText>
            </w:r>
            <w:r w:rsidR="00A064B0">
              <w:rPr>
                <w:webHidden/>
              </w:rPr>
            </w:r>
            <w:r w:rsidR="00A064B0">
              <w:rPr>
                <w:webHidden/>
              </w:rPr>
              <w:fldChar w:fldCharType="separate"/>
            </w:r>
            <w:r w:rsidR="00A064B0">
              <w:rPr>
                <w:webHidden/>
              </w:rPr>
              <w:t>10</w:t>
            </w:r>
            <w:r w:rsidR="00A064B0">
              <w:rPr>
                <w:webHidden/>
              </w:rPr>
              <w:fldChar w:fldCharType="end"/>
            </w:r>
          </w:hyperlink>
        </w:p>
        <w:p w14:paraId="7AA44657" w14:textId="3BFB22C6" w:rsidR="00A064B0" w:rsidRDefault="0062538A">
          <w:pPr>
            <w:pStyle w:val="TOC1"/>
            <w:rPr>
              <w:rFonts w:eastAsiaTheme="minorEastAsia" w:cstheme="minorBidi"/>
              <w:b w:val="0"/>
              <w:caps w:val="0"/>
              <w:color w:val="auto"/>
            </w:rPr>
          </w:pPr>
          <w:hyperlink w:anchor="_Toc128137942" w:history="1">
            <w:r w:rsidR="00A064B0" w:rsidRPr="00C45EA7">
              <w:rPr>
                <w:rStyle w:val="Hyperlink"/>
              </w:rPr>
              <w:t>Section III - Introduction</w:t>
            </w:r>
            <w:r w:rsidR="00A064B0">
              <w:rPr>
                <w:webHidden/>
              </w:rPr>
              <w:tab/>
            </w:r>
            <w:r w:rsidR="00A064B0">
              <w:rPr>
                <w:webHidden/>
              </w:rPr>
              <w:fldChar w:fldCharType="begin"/>
            </w:r>
            <w:r w:rsidR="00A064B0">
              <w:rPr>
                <w:webHidden/>
              </w:rPr>
              <w:instrText xml:space="preserve"> PAGEREF _Toc128137942 \h </w:instrText>
            </w:r>
            <w:r w:rsidR="00A064B0">
              <w:rPr>
                <w:webHidden/>
              </w:rPr>
            </w:r>
            <w:r w:rsidR="00A064B0">
              <w:rPr>
                <w:webHidden/>
              </w:rPr>
              <w:fldChar w:fldCharType="separate"/>
            </w:r>
            <w:r w:rsidR="00A064B0">
              <w:rPr>
                <w:webHidden/>
              </w:rPr>
              <w:t>12</w:t>
            </w:r>
            <w:r w:rsidR="00A064B0">
              <w:rPr>
                <w:webHidden/>
              </w:rPr>
              <w:fldChar w:fldCharType="end"/>
            </w:r>
          </w:hyperlink>
        </w:p>
        <w:p w14:paraId="0B2B5E8F" w14:textId="418E86CA" w:rsidR="00A064B0" w:rsidRDefault="0062538A">
          <w:pPr>
            <w:pStyle w:val="TOC2"/>
            <w:rPr>
              <w:rFonts w:eastAsiaTheme="minorEastAsia" w:cstheme="minorBidi"/>
            </w:rPr>
          </w:pPr>
          <w:hyperlink w:anchor="_Toc128137943" w:history="1">
            <w:r w:rsidR="00A064B0" w:rsidRPr="00C45EA7">
              <w:rPr>
                <w:rStyle w:val="Hyperlink"/>
              </w:rPr>
              <w:t>What is in the Regional Housing Needs Assessment?</w:t>
            </w:r>
            <w:r w:rsidR="00A064B0">
              <w:rPr>
                <w:webHidden/>
              </w:rPr>
              <w:tab/>
            </w:r>
            <w:r w:rsidR="00A064B0">
              <w:rPr>
                <w:webHidden/>
              </w:rPr>
              <w:fldChar w:fldCharType="begin"/>
            </w:r>
            <w:r w:rsidR="00A064B0">
              <w:rPr>
                <w:webHidden/>
              </w:rPr>
              <w:instrText xml:space="preserve"> PAGEREF _Toc128137943 \h </w:instrText>
            </w:r>
            <w:r w:rsidR="00A064B0">
              <w:rPr>
                <w:webHidden/>
              </w:rPr>
            </w:r>
            <w:r w:rsidR="00A064B0">
              <w:rPr>
                <w:webHidden/>
              </w:rPr>
              <w:fldChar w:fldCharType="separate"/>
            </w:r>
            <w:r w:rsidR="00A064B0">
              <w:rPr>
                <w:webHidden/>
              </w:rPr>
              <w:t>12</w:t>
            </w:r>
            <w:r w:rsidR="00A064B0">
              <w:rPr>
                <w:webHidden/>
              </w:rPr>
              <w:fldChar w:fldCharType="end"/>
            </w:r>
          </w:hyperlink>
        </w:p>
        <w:p w14:paraId="19D75D9B" w14:textId="6DF012C0" w:rsidR="00A064B0" w:rsidRDefault="0062538A">
          <w:pPr>
            <w:pStyle w:val="TOC2"/>
            <w:rPr>
              <w:rFonts w:eastAsiaTheme="minorEastAsia" w:cstheme="minorBidi"/>
            </w:rPr>
          </w:pPr>
          <w:hyperlink w:anchor="_Toc128137944" w:history="1">
            <w:r w:rsidR="00A064B0" w:rsidRPr="00C45EA7">
              <w:rPr>
                <w:rStyle w:val="Hyperlink"/>
              </w:rPr>
              <w:t>Purpose of the Housing Needs Assessment</w:t>
            </w:r>
            <w:r w:rsidR="00A064B0">
              <w:rPr>
                <w:webHidden/>
              </w:rPr>
              <w:tab/>
            </w:r>
            <w:r w:rsidR="00A064B0">
              <w:rPr>
                <w:webHidden/>
              </w:rPr>
              <w:fldChar w:fldCharType="begin"/>
            </w:r>
            <w:r w:rsidR="00A064B0">
              <w:rPr>
                <w:webHidden/>
              </w:rPr>
              <w:instrText xml:space="preserve"> PAGEREF _Toc128137944 \h </w:instrText>
            </w:r>
            <w:r w:rsidR="00A064B0">
              <w:rPr>
                <w:webHidden/>
              </w:rPr>
            </w:r>
            <w:r w:rsidR="00A064B0">
              <w:rPr>
                <w:webHidden/>
              </w:rPr>
              <w:fldChar w:fldCharType="separate"/>
            </w:r>
            <w:r w:rsidR="00A064B0">
              <w:rPr>
                <w:webHidden/>
              </w:rPr>
              <w:t>12</w:t>
            </w:r>
            <w:r w:rsidR="00A064B0">
              <w:rPr>
                <w:webHidden/>
              </w:rPr>
              <w:fldChar w:fldCharType="end"/>
            </w:r>
          </w:hyperlink>
        </w:p>
        <w:p w14:paraId="762ECBFC" w14:textId="75F0E606" w:rsidR="00A064B0" w:rsidRDefault="0062538A">
          <w:pPr>
            <w:pStyle w:val="TOC3"/>
            <w:rPr>
              <w:rFonts w:eastAsiaTheme="minorEastAsia" w:cstheme="minorBidi"/>
            </w:rPr>
          </w:pPr>
          <w:hyperlink w:anchor="_Toc128137945" w:history="1">
            <w:r w:rsidR="00A064B0" w:rsidRPr="00C45EA7">
              <w:rPr>
                <w:rStyle w:val="Hyperlink"/>
                <w:rFonts w:cs="Segoe UI"/>
              </w:rPr>
              <w:t>Fulfill Statutory Requirements</w:t>
            </w:r>
            <w:r w:rsidR="00A064B0">
              <w:rPr>
                <w:webHidden/>
              </w:rPr>
              <w:tab/>
            </w:r>
            <w:r w:rsidR="00A064B0">
              <w:rPr>
                <w:webHidden/>
              </w:rPr>
              <w:fldChar w:fldCharType="begin"/>
            </w:r>
            <w:r w:rsidR="00A064B0">
              <w:rPr>
                <w:webHidden/>
              </w:rPr>
              <w:instrText xml:space="preserve"> PAGEREF _Toc128137945 \h </w:instrText>
            </w:r>
            <w:r w:rsidR="00A064B0">
              <w:rPr>
                <w:webHidden/>
              </w:rPr>
            </w:r>
            <w:r w:rsidR="00A064B0">
              <w:rPr>
                <w:webHidden/>
              </w:rPr>
              <w:fldChar w:fldCharType="separate"/>
            </w:r>
            <w:r w:rsidR="00A064B0">
              <w:rPr>
                <w:webHidden/>
              </w:rPr>
              <w:t>12</w:t>
            </w:r>
            <w:r w:rsidR="00A064B0">
              <w:rPr>
                <w:webHidden/>
              </w:rPr>
              <w:fldChar w:fldCharType="end"/>
            </w:r>
          </w:hyperlink>
        </w:p>
        <w:p w14:paraId="7C548A17" w14:textId="4F63FB86" w:rsidR="00A064B0" w:rsidRDefault="0062538A">
          <w:pPr>
            <w:pStyle w:val="TOC3"/>
            <w:rPr>
              <w:rFonts w:eastAsiaTheme="minorEastAsia" w:cstheme="minorBidi"/>
            </w:rPr>
          </w:pPr>
          <w:hyperlink w:anchor="_Toc128137946" w:history="1">
            <w:r w:rsidR="00A064B0" w:rsidRPr="00C45EA7">
              <w:rPr>
                <w:rStyle w:val="Hyperlink"/>
                <w:rFonts w:cs="Segoe UI"/>
              </w:rPr>
              <w:t>Fulfilling the Goals of the Council on Housing Stability’s Strategic Plan</w:t>
            </w:r>
            <w:r w:rsidR="00A064B0">
              <w:rPr>
                <w:webHidden/>
              </w:rPr>
              <w:tab/>
            </w:r>
            <w:r w:rsidR="00A064B0">
              <w:rPr>
                <w:webHidden/>
              </w:rPr>
              <w:fldChar w:fldCharType="begin"/>
            </w:r>
            <w:r w:rsidR="00A064B0">
              <w:rPr>
                <w:webHidden/>
              </w:rPr>
              <w:instrText xml:space="preserve"> PAGEREF _Toc128137946 \h </w:instrText>
            </w:r>
            <w:r w:rsidR="00A064B0">
              <w:rPr>
                <w:webHidden/>
              </w:rPr>
            </w:r>
            <w:r w:rsidR="00A064B0">
              <w:rPr>
                <w:webHidden/>
              </w:rPr>
              <w:fldChar w:fldCharType="separate"/>
            </w:r>
            <w:r w:rsidR="00A064B0">
              <w:rPr>
                <w:webHidden/>
              </w:rPr>
              <w:t>13</w:t>
            </w:r>
            <w:r w:rsidR="00A064B0">
              <w:rPr>
                <w:webHidden/>
              </w:rPr>
              <w:fldChar w:fldCharType="end"/>
            </w:r>
          </w:hyperlink>
        </w:p>
        <w:p w14:paraId="524284D2" w14:textId="33F8897F" w:rsidR="00A064B0" w:rsidRDefault="0062538A">
          <w:pPr>
            <w:pStyle w:val="TOC2"/>
            <w:rPr>
              <w:rFonts w:eastAsiaTheme="minorEastAsia" w:cstheme="minorBidi"/>
            </w:rPr>
          </w:pPr>
          <w:hyperlink w:anchor="_Toc128137947" w:history="1">
            <w:r w:rsidR="00A064B0" w:rsidRPr="00C45EA7">
              <w:rPr>
                <w:rStyle w:val="Hyperlink"/>
                <w:lang w:val="en"/>
              </w:rPr>
              <w:t>The Housing Landscape</w:t>
            </w:r>
            <w:r w:rsidR="00A064B0">
              <w:rPr>
                <w:webHidden/>
              </w:rPr>
              <w:tab/>
            </w:r>
            <w:r w:rsidR="00A064B0">
              <w:rPr>
                <w:webHidden/>
              </w:rPr>
              <w:fldChar w:fldCharType="begin"/>
            </w:r>
            <w:r w:rsidR="00A064B0">
              <w:rPr>
                <w:webHidden/>
              </w:rPr>
              <w:instrText xml:space="preserve"> PAGEREF _Toc128137947 \h </w:instrText>
            </w:r>
            <w:r w:rsidR="00A064B0">
              <w:rPr>
                <w:webHidden/>
              </w:rPr>
            </w:r>
            <w:r w:rsidR="00A064B0">
              <w:rPr>
                <w:webHidden/>
              </w:rPr>
              <w:fldChar w:fldCharType="separate"/>
            </w:r>
            <w:r w:rsidR="00A064B0">
              <w:rPr>
                <w:webHidden/>
              </w:rPr>
              <w:t>14</w:t>
            </w:r>
            <w:r w:rsidR="00A064B0">
              <w:rPr>
                <w:webHidden/>
              </w:rPr>
              <w:fldChar w:fldCharType="end"/>
            </w:r>
          </w:hyperlink>
        </w:p>
        <w:p w14:paraId="5CEE5EDA" w14:textId="2F61A30E" w:rsidR="00A064B0" w:rsidRDefault="0062538A">
          <w:pPr>
            <w:pStyle w:val="TOC3"/>
            <w:rPr>
              <w:rFonts w:eastAsiaTheme="minorEastAsia" w:cstheme="minorBidi"/>
            </w:rPr>
          </w:pPr>
          <w:hyperlink w:anchor="_Toc128137948" w:history="1">
            <w:r w:rsidR="00A064B0" w:rsidRPr="00C45EA7">
              <w:rPr>
                <w:rStyle w:val="Hyperlink"/>
              </w:rPr>
              <w:t>The Great Recession</w:t>
            </w:r>
            <w:r w:rsidR="00A064B0">
              <w:rPr>
                <w:webHidden/>
              </w:rPr>
              <w:tab/>
            </w:r>
            <w:r w:rsidR="00A064B0">
              <w:rPr>
                <w:webHidden/>
              </w:rPr>
              <w:fldChar w:fldCharType="begin"/>
            </w:r>
            <w:r w:rsidR="00A064B0">
              <w:rPr>
                <w:webHidden/>
              </w:rPr>
              <w:instrText xml:space="preserve"> PAGEREF _Toc128137948 \h </w:instrText>
            </w:r>
            <w:r w:rsidR="00A064B0">
              <w:rPr>
                <w:webHidden/>
              </w:rPr>
            </w:r>
            <w:r w:rsidR="00A064B0">
              <w:rPr>
                <w:webHidden/>
              </w:rPr>
              <w:fldChar w:fldCharType="separate"/>
            </w:r>
            <w:r w:rsidR="00A064B0">
              <w:rPr>
                <w:webHidden/>
              </w:rPr>
              <w:t>14</w:t>
            </w:r>
            <w:r w:rsidR="00A064B0">
              <w:rPr>
                <w:webHidden/>
              </w:rPr>
              <w:fldChar w:fldCharType="end"/>
            </w:r>
          </w:hyperlink>
        </w:p>
        <w:p w14:paraId="3FB9C6FC" w14:textId="6DBB655B" w:rsidR="00A064B0" w:rsidRDefault="0062538A">
          <w:pPr>
            <w:pStyle w:val="TOC3"/>
            <w:rPr>
              <w:rFonts w:eastAsiaTheme="minorEastAsia" w:cstheme="minorBidi"/>
            </w:rPr>
          </w:pPr>
          <w:hyperlink w:anchor="_Toc128137949" w:history="1">
            <w:r w:rsidR="00A064B0" w:rsidRPr="00C45EA7">
              <w:rPr>
                <w:rStyle w:val="Hyperlink"/>
              </w:rPr>
              <w:t>Growing Inequality</w:t>
            </w:r>
            <w:r w:rsidR="00A064B0">
              <w:rPr>
                <w:webHidden/>
              </w:rPr>
              <w:tab/>
            </w:r>
            <w:r w:rsidR="00A064B0">
              <w:rPr>
                <w:webHidden/>
              </w:rPr>
              <w:fldChar w:fldCharType="begin"/>
            </w:r>
            <w:r w:rsidR="00A064B0">
              <w:rPr>
                <w:webHidden/>
              </w:rPr>
              <w:instrText xml:space="preserve"> PAGEREF _Toc128137949 \h </w:instrText>
            </w:r>
            <w:r w:rsidR="00A064B0">
              <w:rPr>
                <w:webHidden/>
              </w:rPr>
            </w:r>
            <w:r w:rsidR="00A064B0">
              <w:rPr>
                <w:webHidden/>
              </w:rPr>
              <w:fldChar w:fldCharType="separate"/>
            </w:r>
            <w:r w:rsidR="00A064B0">
              <w:rPr>
                <w:webHidden/>
              </w:rPr>
              <w:t>15</w:t>
            </w:r>
            <w:r w:rsidR="00A064B0">
              <w:rPr>
                <w:webHidden/>
              </w:rPr>
              <w:fldChar w:fldCharType="end"/>
            </w:r>
          </w:hyperlink>
        </w:p>
        <w:p w14:paraId="551379B4" w14:textId="66C25D30" w:rsidR="00A064B0" w:rsidRDefault="0062538A">
          <w:pPr>
            <w:pStyle w:val="TOC2"/>
            <w:rPr>
              <w:rFonts w:eastAsiaTheme="minorEastAsia" w:cstheme="minorBidi"/>
            </w:rPr>
          </w:pPr>
          <w:hyperlink w:anchor="_Toc128137950" w:history="1">
            <w:r w:rsidR="00A064B0" w:rsidRPr="00C45EA7">
              <w:rPr>
                <w:rStyle w:val="Hyperlink"/>
              </w:rPr>
              <w:t>Description of the Region and Geographic Context</w:t>
            </w:r>
            <w:r w:rsidR="00A064B0">
              <w:rPr>
                <w:webHidden/>
              </w:rPr>
              <w:tab/>
            </w:r>
            <w:r w:rsidR="00A064B0">
              <w:rPr>
                <w:webHidden/>
              </w:rPr>
              <w:fldChar w:fldCharType="begin"/>
            </w:r>
            <w:r w:rsidR="00A064B0">
              <w:rPr>
                <w:webHidden/>
              </w:rPr>
              <w:instrText xml:space="preserve"> PAGEREF _Toc128137950 \h </w:instrText>
            </w:r>
            <w:r w:rsidR="00A064B0">
              <w:rPr>
                <w:webHidden/>
              </w:rPr>
            </w:r>
            <w:r w:rsidR="00A064B0">
              <w:rPr>
                <w:webHidden/>
              </w:rPr>
              <w:fldChar w:fldCharType="separate"/>
            </w:r>
            <w:r w:rsidR="00A064B0">
              <w:rPr>
                <w:webHidden/>
              </w:rPr>
              <w:t>16</w:t>
            </w:r>
            <w:r w:rsidR="00A064B0">
              <w:rPr>
                <w:webHidden/>
              </w:rPr>
              <w:fldChar w:fldCharType="end"/>
            </w:r>
          </w:hyperlink>
        </w:p>
        <w:p w14:paraId="6730C528" w14:textId="5A16238A" w:rsidR="00A064B0" w:rsidRDefault="0062538A">
          <w:pPr>
            <w:pStyle w:val="TOC3"/>
            <w:rPr>
              <w:rFonts w:eastAsiaTheme="minorEastAsia" w:cstheme="minorBidi"/>
            </w:rPr>
          </w:pPr>
          <w:hyperlink w:anchor="_Toc128137951" w:history="1">
            <w:r w:rsidR="00A064B0" w:rsidRPr="00C45EA7">
              <w:rPr>
                <w:rStyle w:val="Hyperlink"/>
              </w:rPr>
              <w:t>Population density</w:t>
            </w:r>
            <w:r w:rsidR="00A064B0">
              <w:rPr>
                <w:webHidden/>
              </w:rPr>
              <w:tab/>
            </w:r>
            <w:r w:rsidR="00A064B0">
              <w:rPr>
                <w:webHidden/>
              </w:rPr>
              <w:fldChar w:fldCharType="begin"/>
            </w:r>
            <w:r w:rsidR="00A064B0">
              <w:rPr>
                <w:webHidden/>
              </w:rPr>
              <w:instrText xml:space="preserve"> PAGEREF _Toc128137951 \h </w:instrText>
            </w:r>
            <w:r w:rsidR="00A064B0">
              <w:rPr>
                <w:webHidden/>
              </w:rPr>
            </w:r>
            <w:r w:rsidR="00A064B0">
              <w:rPr>
                <w:webHidden/>
              </w:rPr>
              <w:fldChar w:fldCharType="separate"/>
            </w:r>
            <w:r w:rsidR="00A064B0">
              <w:rPr>
                <w:webHidden/>
              </w:rPr>
              <w:t>19</w:t>
            </w:r>
            <w:r w:rsidR="00A064B0">
              <w:rPr>
                <w:webHidden/>
              </w:rPr>
              <w:fldChar w:fldCharType="end"/>
            </w:r>
          </w:hyperlink>
        </w:p>
        <w:p w14:paraId="55087668" w14:textId="601847C0" w:rsidR="00A064B0" w:rsidRDefault="0062538A">
          <w:pPr>
            <w:pStyle w:val="TOC1"/>
            <w:rPr>
              <w:rFonts w:eastAsiaTheme="minorEastAsia" w:cstheme="minorBidi"/>
              <w:b w:val="0"/>
              <w:caps w:val="0"/>
              <w:color w:val="auto"/>
            </w:rPr>
          </w:pPr>
          <w:hyperlink w:anchor="_Toc128137952" w:history="1">
            <w:r w:rsidR="00A064B0" w:rsidRPr="00C45EA7">
              <w:rPr>
                <w:rStyle w:val="Hyperlink"/>
              </w:rPr>
              <w:t>Section IV - Existing Conditions and Historic Trends</w:t>
            </w:r>
            <w:r w:rsidR="00A064B0">
              <w:rPr>
                <w:webHidden/>
              </w:rPr>
              <w:tab/>
            </w:r>
            <w:r w:rsidR="00A064B0">
              <w:rPr>
                <w:webHidden/>
              </w:rPr>
              <w:fldChar w:fldCharType="begin"/>
            </w:r>
            <w:r w:rsidR="00A064B0">
              <w:rPr>
                <w:webHidden/>
              </w:rPr>
              <w:instrText xml:space="preserve"> PAGEREF _Toc128137952 \h </w:instrText>
            </w:r>
            <w:r w:rsidR="00A064B0">
              <w:rPr>
                <w:webHidden/>
              </w:rPr>
            </w:r>
            <w:r w:rsidR="00A064B0">
              <w:rPr>
                <w:webHidden/>
              </w:rPr>
              <w:fldChar w:fldCharType="separate"/>
            </w:r>
            <w:r w:rsidR="00A064B0">
              <w:rPr>
                <w:webHidden/>
              </w:rPr>
              <w:t>21</w:t>
            </w:r>
            <w:r w:rsidR="00A064B0">
              <w:rPr>
                <w:webHidden/>
              </w:rPr>
              <w:fldChar w:fldCharType="end"/>
            </w:r>
          </w:hyperlink>
        </w:p>
        <w:p w14:paraId="40B35CAE" w14:textId="671EA944" w:rsidR="00A064B0" w:rsidRDefault="0062538A">
          <w:pPr>
            <w:pStyle w:val="TOC2"/>
            <w:rPr>
              <w:rFonts w:eastAsiaTheme="minorEastAsia" w:cstheme="minorBidi"/>
            </w:rPr>
          </w:pPr>
          <w:hyperlink w:anchor="_Toc128137953" w:history="1">
            <w:r w:rsidR="00A064B0" w:rsidRPr="00C45EA7">
              <w:rPr>
                <w:rStyle w:val="Hyperlink"/>
                <w:lang w:val="en"/>
              </w:rPr>
              <w:t>Demographic and Socioeconomic Trends</w:t>
            </w:r>
            <w:r w:rsidR="00A064B0">
              <w:rPr>
                <w:webHidden/>
              </w:rPr>
              <w:tab/>
            </w:r>
            <w:r w:rsidR="00A064B0">
              <w:rPr>
                <w:webHidden/>
              </w:rPr>
              <w:fldChar w:fldCharType="begin"/>
            </w:r>
            <w:r w:rsidR="00A064B0">
              <w:rPr>
                <w:webHidden/>
              </w:rPr>
              <w:instrText xml:space="preserve"> PAGEREF _Toc128137953 \h </w:instrText>
            </w:r>
            <w:r w:rsidR="00A064B0">
              <w:rPr>
                <w:webHidden/>
              </w:rPr>
            </w:r>
            <w:r w:rsidR="00A064B0">
              <w:rPr>
                <w:webHidden/>
              </w:rPr>
              <w:fldChar w:fldCharType="separate"/>
            </w:r>
            <w:r w:rsidR="00A064B0">
              <w:rPr>
                <w:webHidden/>
              </w:rPr>
              <w:t>21</w:t>
            </w:r>
            <w:r w:rsidR="00A064B0">
              <w:rPr>
                <w:webHidden/>
              </w:rPr>
              <w:fldChar w:fldCharType="end"/>
            </w:r>
          </w:hyperlink>
        </w:p>
        <w:p w14:paraId="3BF76471" w14:textId="4B375B52" w:rsidR="00A064B0" w:rsidRDefault="0062538A">
          <w:pPr>
            <w:pStyle w:val="TOC3"/>
            <w:rPr>
              <w:rFonts w:eastAsiaTheme="minorEastAsia" w:cstheme="minorBidi"/>
            </w:rPr>
          </w:pPr>
          <w:hyperlink w:anchor="_Toc128137954" w:history="1">
            <w:r w:rsidR="00A064B0" w:rsidRPr="00C45EA7">
              <w:rPr>
                <w:rStyle w:val="Hyperlink"/>
                <w:lang w:val="en"/>
              </w:rPr>
              <w:t>Total Population</w:t>
            </w:r>
            <w:r w:rsidR="00A064B0">
              <w:rPr>
                <w:webHidden/>
              </w:rPr>
              <w:tab/>
            </w:r>
            <w:r w:rsidR="00A064B0">
              <w:rPr>
                <w:webHidden/>
              </w:rPr>
              <w:fldChar w:fldCharType="begin"/>
            </w:r>
            <w:r w:rsidR="00A064B0">
              <w:rPr>
                <w:webHidden/>
              </w:rPr>
              <w:instrText xml:space="preserve"> PAGEREF _Toc128137954 \h </w:instrText>
            </w:r>
            <w:r w:rsidR="00A064B0">
              <w:rPr>
                <w:webHidden/>
              </w:rPr>
            </w:r>
            <w:r w:rsidR="00A064B0">
              <w:rPr>
                <w:webHidden/>
              </w:rPr>
              <w:fldChar w:fldCharType="separate"/>
            </w:r>
            <w:r w:rsidR="00A064B0">
              <w:rPr>
                <w:webHidden/>
              </w:rPr>
              <w:t>21</w:t>
            </w:r>
            <w:r w:rsidR="00A064B0">
              <w:rPr>
                <w:webHidden/>
              </w:rPr>
              <w:fldChar w:fldCharType="end"/>
            </w:r>
          </w:hyperlink>
        </w:p>
        <w:p w14:paraId="1CD505BD" w14:textId="707ADB1A" w:rsidR="00A064B0" w:rsidRDefault="0062538A">
          <w:pPr>
            <w:pStyle w:val="TOC3"/>
            <w:rPr>
              <w:rFonts w:eastAsiaTheme="minorEastAsia" w:cstheme="minorBidi"/>
            </w:rPr>
          </w:pPr>
          <w:hyperlink w:anchor="_Toc128137955" w:history="1">
            <w:r w:rsidR="00A064B0" w:rsidRPr="00C45EA7">
              <w:rPr>
                <w:rStyle w:val="Hyperlink"/>
                <w:lang w:val="en"/>
              </w:rPr>
              <w:t>Households: Size, Type, Tenure</w:t>
            </w:r>
            <w:r w:rsidR="00A064B0">
              <w:rPr>
                <w:webHidden/>
              </w:rPr>
              <w:tab/>
            </w:r>
            <w:r w:rsidR="00A064B0">
              <w:rPr>
                <w:webHidden/>
              </w:rPr>
              <w:fldChar w:fldCharType="begin"/>
            </w:r>
            <w:r w:rsidR="00A064B0">
              <w:rPr>
                <w:webHidden/>
              </w:rPr>
              <w:instrText xml:space="preserve"> PAGEREF _Toc128137955 \h </w:instrText>
            </w:r>
            <w:r w:rsidR="00A064B0">
              <w:rPr>
                <w:webHidden/>
              </w:rPr>
            </w:r>
            <w:r w:rsidR="00A064B0">
              <w:rPr>
                <w:webHidden/>
              </w:rPr>
              <w:fldChar w:fldCharType="separate"/>
            </w:r>
            <w:r w:rsidR="00A064B0">
              <w:rPr>
                <w:webHidden/>
              </w:rPr>
              <w:t>23</w:t>
            </w:r>
            <w:r w:rsidR="00A064B0">
              <w:rPr>
                <w:webHidden/>
              </w:rPr>
              <w:fldChar w:fldCharType="end"/>
            </w:r>
          </w:hyperlink>
        </w:p>
        <w:p w14:paraId="3349F076" w14:textId="13B6D064" w:rsidR="00A064B0" w:rsidRDefault="0062538A">
          <w:pPr>
            <w:pStyle w:val="TOC3"/>
            <w:rPr>
              <w:rFonts w:eastAsiaTheme="minorEastAsia" w:cstheme="minorBidi"/>
            </w:rPr>
          </w:pPr>
          <w:hyperlink w:anchor="_Toc128137956" w:history="1">
            <w:r w:rsidR="00A064B0" w:rsidRPr="00C45EA7">
              <w:rPr>
                <w:rStyle w:val="Hyperlink"/>
                <w:lang w:val="en"/>
              </w:rPr>
              <w:t>Employment by Industry and Location</w:t>
            </w:r>
            <w:r w:rsidR="00A064B0">
              <w:rPr>
                <w:webHidden/>
              </w:rPr>
              <w:tab/>
            </w:r>
            <w:r w:rsidR="00A064B0">
              <w:rPr>
                <w:webHidden/>
              </w:rPr>
              <w:fldChar w:fldCharType="begin"/>
            </w:r>
            <w:r w:rsidR="00A064B0">
              <w:rPr>
                <w:webHidden/>
              </w:rPr>
              <w:instrText xml:space="preserve"> PAGEREF _Toc128137956 \h </w:instrText>
            </w:r>
            <w:r w:rsidR="00A064B0">
              <w:rPr>
                <w:webHidden/>
              </w:rPr>
            </w:r>
            <w:r w:rsidR="00A064B0">
              <w:rPr>
                <w:webHidden/>
              </w:rPr>
              <w:fldChar w:fldCharType="separate"/>
            </w:r>
            <w:r w:rsidR="00A064B0">
              <w:rPr>
                <w:webHidden/>
              </w:rPr>
              <w:t>25</w:t>
            </w:r>
            <w:r w:rsidR="00A064B0">
              <w:rPr>
                <w:webHidden/>
              </w:rPr>
              <w:fldChar w:fldCharType="end"/>
            </w:r>
          </w:hyperlink>
        </w:p>
        <w:p w14:paraId="369ABFAD" w14:textId="7863DE77" w:rsidR="00A064B0" w:rsidRDefault="0062538A">
          <w:pPr>
            <w:pStyle w:val="TOC3"/>
            <w:rPr>
              <w:rFonts w:eastAsiaTheme="minorEastAsia" w:cstheme="minorBidi"/>
            </w:rPr>
          </w:pPr>
          <w:hyperlink w:anchor="_Toc128137957" w:history="1">
            <w:r w:rsidR="00A064B0" w:rsidRPr="00C45EA7">
              <w:rPr>
                <w:rStyle w:val="Hyperlink"/>
                <w:lang w:val="en"/>
              </w:rPr>
              <w:t>Commuter patterns</w:t>
            </w:r>
            <w:r w:rsidR="00A064B0">
              <w:rPr>
                <w:webHidden/>
              </w:rPr>
              <w:tab/>
            </w:r>
            <w:r w:rsidR="00A064B0">
              <w:rPr>
                <w:webHidden/>
              </w:rPr>
              <w:fldChar w:fldCharType="begin"/>
            </w:r>
            <w:r w:rsidR="00A064B0">
              <w:rPr>
                <w:webHidden/>
              </w:rPr>
              <w:instrText xml:space="preserve"> PAGEREF _Toc128137957 \h </w:instrText>
            </w:r>
            <w:r w:rsidR="00A064B0">
              <w:rPr>
                <w:webHidden/>
              </w:rPr>
            </w:r>
            <w:r w:rsidR="00A064B0">
              <w:rPr>
                <w:webHidden/>
              </w:rPr>
              <w:fldChar w:fldCharType="separate"/>
            </w:r>
            <w:r w:rsidR="00A064B0">
              <w:rPr>
                <w:webHidden/>
              </w:rPr>
              <w:t>27</w:t>
            </w:r>
            <w:r w:rsidR="00A064B0">
              <w:rPr>
                <w:webHidden/>
              </w:rPr>
              <w:fldChar w:fldCharType="end"/>
            </w:r>
          </w:hyperlink>
        </w:p>
        <w:p w14:paraId="69B81D65" w14:textId="28DD2AF1" w:rsidR="00A064B0" w:rsidRDefault="0062538A">
          <w:pPr>
            <w:pStyle w:val="TOC3"/>
            <w:rPr>
              <w:rFonts w:eastAsiaTheme="minorEastAsia" w:cstheme="minorBidi"/>
            </w:rPr>
          </w:pPr>
          <w:hyperlink w:anchor="_Toc128137958" w:history="1">
            <w:r w:rsidR="00A064B0" w:rsidRPr="00C45EA7">
              <w:rPr>
                <w:rStyle w:val="Hyperlink"/>
                <w:lang w:val="en"/>
              </w:rPr>
              <w:t>School Enrollment Trends</w:t>
            </w:r>
            <w:r w:rsidR="00A064B0">
              <w:rPr>
                <w:webHidden/>
              </w:rPr>
              <w:tab/>
            </w:r>
            <w:r w:rsidR="00A064B0">
              <w:rPr>
                <w:webHidden/>
              </w:rPr>
              <w:fldChar w:fldCharType="begin"/>
            </w:r>
            <w:r w:rsidR="00A064B0">
              <w:rPr>
                <w:webHidden/>
              </w:rPr>
              <w:instrText xml:space="preserve"> PAGEREF _Toc128137958 \h </w:instrText>
            </w:r>
            <w:r w:rsidR="00A064B0">
              <w:rPr>
                <w:webHidden/>
              </w:rPr>
            </w:r>
            <w:r w:rsidR="00A064B0">
              <w:rPr>
                <w:webHidden/>
              </w:rPr>
              <w:fldChar w:fldCharType="separate"/>
            </w:r>
            <w:r w:rsidR="00A064B0">
              <w:rPr>
                <w:webHidden/>
              </w:rPr>
              <w:t>28</w:t>
            </w:r>
            <w:r w:rsidR="00A064B0">
              <w:rPr>
                <w:webHidden/>
              </w:rPr>
              <w:fldChar w:fldCharType="end"/>
            </w:r>
          </w:hyperlink>
        </w:p>
        <w:p w14:paraId="574CABD1" w14:textId="5070AD00" w:rsidR="00A064B0" w:rsidRDefault="0062538A">
          <w:pPr>
            <w:pStyle w:val="TOC3"/>
            <w:rPr>
              <w:rFonts w:eastAsiaTheme="minorEastAsia" w:cstheme="minorBidi"/>
            </w:rPr>
          </w:pPr>
          <w:hyperlink w:anchor="_Toc128137959" w:history="1">
            <w:r w:rsidR="00A064B0" w:rsidRPr="00C45EA7">
              <w:rPr>
                <w:rStyle w:val="Hyperlink"/>
                <w:lang w:val="en"/>
              </w:rPr>
              <w:t>Net Migration</w:t>
            </w:r>
            <w:r w:rsidR="00A064B0">
              <w:rPr>
                <w:webHidden/>
              </w:rPr>
              <w:tab/>
            </w:r>
            <w:r w:rsidR="00A064B0">
              <w:rPr>
                <w:webHidden/>
              </w:rPr>
              <w:fldChar w:fldCharType="begin"/>
            </w:r>
            <w:r w:rsidR="00A064B0">
              <w:rPr>
                <w:webHidden/>
              </w:rPr>
              <w:instrText xml:space="preserve"> PAGEREF _Toc128137959 \h </w:instrText>
            </w:r>
            <w:r w:rsidR="00A064B0">
              <w:rPr>
                <w:webHidden/>
              </w:rPr>
            </w:r>
            <w:r w:rsidR="00A064B0">
              <w:rPr>
                <w:webHidden/>
              </w:rPr>
              <w:fldChar w:fldCharType="separate"/>
            </w:r>
            <w:r w:rsidR="00A064B0">
              <w:rPr>
                <w:webHidden/>
              </w:rPr>
              <w:t>29</w:t>
            </w:r>
            <w:r w:rsidR="00A064B0">
              <w:rPr>
                <w:webHidden/>
              </w:rPr>
              <w:fldChar w:fldCharType="end"/>
            </w:r>
          </w:hyperlink>
        </w:p>
        <w:p w14:paraId="336861FE" w14:textId="165B4EA6" w:rsidR="00A064B0" w:rsidRDefault="0062538A">
          <w:pPr>
            <w:pStyle w:val="TOC3"/>
            <w:rPr>
              <w:rFonts w:eastAsiaTheme="minorEastAsia" w:cstheme="minorBidi"/>
            </w:rPr>
          </w:pPr>
          <w:hyperlink w:anchor="_Toc128137960" w:history="1">
            <w:r w:rsidR="00A064B0" w:rsidRPr="00C45EA7">
              <w:rPr>
                <w:rStyle w:val="Hyperlink"/>
                <w:lang w:val="en"/>
              </w:rPr>
              <w:t>Communities of Interest</w:t>
            </w:r>
            <w:r w:rsidR="00A064B0">
              <w:rPr>
                <w:webHidden/>
              </w:rPr>
              <w:tab/>
            </w:r>
            <w:r w:rsidR="00A064B0">
              <w:rPr>
                <w:webHidden/>
              </w:rPr>
              <w:fldChar w:fldCharType="begin"/>
            </w:r>
            <w:r w:rsidR="00A064B0">
              <w:rPr>
                <w:webHidden/>
              </w:rPr>
              <w:instrText xml:space="preserve"> PAGEREF _Toc128137960 \h </w:instrText>
            </w:r>
            <w:r w:rsidR="00A064B0">
              <w:rPr>
                <w:webHidden/>
              </w:rPr>
            </w:r>
            <w:r w:rsidR="00A064B0">
              <w:rPr>
                <w:webHidden/>
              </w:rPr>
              <w:fldChar w:fldCharType="separate"/>
            </w:r>
            <w:r w:rsidR="00A064B0">
              <w:rPr>
                <w:webHidden/>
              </w:rPr>
              <w:t>29</w:t>
            </w:r>
            <w:r w:rsidR="00A064B0">
              <w:rPr>
                <w:webHidden/>
              </w:rPr>
              <w:fldChar w:fldCharType="end"/>
            </w:r>
          </w:hyperlink>
        </w:p>
        <w:p w14:paraId="46842AC9" w14:textId="7D9C41B4" w:rsidR="00A064B0" w:rsidRDefault="0062538A">
          <w:pPr>
            <w:pStyle w:val="TOC3"/>
            <w:rPr>
              <w:rFonts w:eastAsiaTheme="minorEastAsia" w:cstheme="minorBidi"/>
            </w:rPr>
          </w:pPr>
          <w:hyperlink w:anchor="_Toc128137961" w:history="1">
            <w:r w:rsidR="00A064B0" w:rsidRPr="00C45EA7">
              <w:rPr>
                <w:rStyle w:val="Hyperlink"/>
                <w:rFonts w:eastAsia="Tw Cen MT" w:cs="Tw Cen MT"/>
                <w:lang w:val="en"/>
              </w:rPr>
              <w:t>Communities of Concern</w:t>
            </w:r>
            <w:r w:rsidR="00A064B0">
              <w:rPr>
                <w:webHidden/>
              </w:rPr>
              <w:tab/>
            </w:r>
            <w:r w:rsidR="00A064B0">
              <w:rPr>
                <w:webHidden/>
              </w:rPr>
              <w:fldChar w:fldCharType="begin"/>
            </w:r>
            <w:r w:rsidR="00A064B0">
              <w:rPr>
                <w:webHidden/>
              </w:rPr>
              <w:instrText xml:space="preserve"> PAGEREF _Toc128137961 \h </w:instrText>
            </w:r>
            <w:r w:rsidR="00A064B0">
              <w:rPr>
                <w:webHidden/>
              </w:rPr>
            </w:r>
            <w:r w:rsidR="00A064B0">
              <w:rPr>
                <w:webHidden/>
              </w:rPr>
              <w:fldChar w:fldCharType="separate"/>
            </w:r>
            <w:r w:rsidR="00A064B0">
              <w:rPr>
                <w:webHidden/>
              </w:rPr>
              <w:t>42</w:t>
            </w:r>
            <w:r w:rsidR="00A064B0">
              <w:rPr>
                <w:webHidden/>
              </w:rPr>
              <w:fldChar w:fldCharType="end"/>
            </w:r>
          </w:hyperlink>
        </w:p>
        <w:p w14:paraId="576A2EDE" w14:textId="0570771B" w:rsidR="00A064B0" w:rsidRDefault="0062538A">
          <w:pPr>
            <w:pStyle w:val="TOC2"/>
            <w:rPr>
              <w:rFonts w:eastAsiaTheme="minorEastAsia" w:cstheme="minorBidi"/>
            </w:rPr>
          </w:pPr>
          <w:hyperlink w:anchor="_Toc128137962" w:history="1">
            <w:r w:rsidR="00A064B0" w:rsidRPr="00C45EA7">
              <w:rPr>
                <w:rStyle w:val="Hyperlink"/>
              </w:rPr>
              <w:t>Housing Unit Trends and Characteristics</w:t>
            </w:r>
            <w:r w:rsidR="00A064B0">
              <w:rPr>
                <w:webHidden/>
              </w:rPr>
              <w:tab/>
            </w:r>
            <w:r w:rsidR="00A064B0">
              <w:rPr>
                <w:webHidden/>
              </w:rPr>
              <w:fldChar w:fldCharType="begin"/>
            </w:r>
            <w:r w:rsidR="00A064B0">
              <w:rPr>
                <w:webHidden/>
              </w:rPr>
              <w:instrText xml:space="preserve"> PAGEREF _Toc128137962 \h </w:instrText>
            </w:r>
            <w:r w:rsidR="00A064B0">
              <w:rPr>
                <w:webHidden/>
              </w:rPr>
            </w:r>
            <w:r w:rsidR="00A064B0">
              <w:rPr>
                <w:webHidden/>
              </w:rPr>
              <w:fldChar w:fldCharType="separate"/>
            </w:r>
            <w:r w:rsidR="00A064B0">
              <w:rPr>
                <w:webHidden/>
              </w:rPr>
              <w:t>45</w:t>
            </w:r>
            <w:r w:rsidR="00A064B0">
              <w:rPr>
                <w:webHidden/>
              </w:rPr>
              <w:fldChar w:fldCharType="end"/>
            </w:r>
          </w:hyperlink>
        </w:p>
        <w:p w14:paraId="1F94F04A" w14:textId="0D2878AE" w:rsidR="00A064B0" w:rsidRDefault="0062538A">
          <w:pPr>
            <w:pStyle w:val="TOC3"/>
            <w:rPr>
              <w:rFonts w:eastAsiaTheme="minorEastAsia" w:cstheme="minorBidi"/>
            </w:rPr>
          </w:pPr>
          <w:hyperlink w:anchor="_Toc128137963" w:history="1">
            <w:r w:rsidR="00A064B0" w:rsidRPr="00C45EA7">
              <w:rPr>
                <w:rStyle w:val="Hyperlink"/>
                <w:lang w:val="en"/>
              </w:rPr>
              <w:t>Housing Inventory</w:t>
            </w:r>
            <w:r w:rsidR="00A064B0">
              <w:rPr>
                <w:webHidden/>
              </w:rPr>
              <w:tab/>
            </w:r>
            <w:r w:rsidR="00A064B0">
              <w:rPr>
                <w:webHidden/>
              </w:rPr>
              <w:fldChar w:fldCharType="begin"/>
            </w:r>
            <w:r w:rsidR="00A064B0">
              <w:rPr>
                <w:webHidden/>
              </w:rPr>
              <w:instrText xml:space="preserve"> PAGEREF _Toc128137963 \h </w:instrText>
            </w:r>
            <w:r w:rsidR="00A064B0">
              <w:rPr>
                <w:webHidden/>
              </w:rPr>
            </w:r>
            <w:r w:rsidR="00A064B0">
              <w:rPr>
                <w:webHidden/>
              </w:rPr>
              <w:fldChar w:fldCharType="separate"/>
            </w:r>
            <w:r w:rsidR="00A064B0">
              <w:rPr>
                <w:webHidden/>
              </w:rPr>
              <w:t>45</w:t>
            </w:r>
            <w:r w:rsidR="00A064B0">
              <w:rPr>
                <w:webHidden/>
              </w:rPr>
              <w:fldChar w:fldCharType="end"/>
            </w:r>
          </w:hyperlink>
        </w:p>
        <w:p w14:paraId="2FD3011A" w14:textId="054265B9" w:rsidR="00A064B0" w:rsidRDefault="0062538A">
          <w:pPr>
            <w:pStyle w:val="TOC3"/>
            <w:rPr>
              <w:rFonts w:eastAsiaTheme="minorEastAsia" w:cstheme="minorBidi"/>
            </w:rPr>
          </w:pPr>
          <w:hyperlink w:anchor="_Toc128137964" w:history="1">
            <w:r w:rsidR="00A064B0" w:rsidRPr="00C45EA7">
              <w:rPr>
                <w:rStyle w:val="Hyperlink"/>
                <w:lang w:val="en"/>
              </w:rPr>
              <w:t>Age of Housing Stock</w:t>
            </w:r>
            <w:r w:rsidR="00A064B0">
              <w:rPr>
                <w:webHidden/>
              </w:rPr>
              <w:tab/>
            </w:r>
            <w:r w:rsidR="00A064B0">
              <w:rPr>
                <w:webHidden/>
              </w:rPr>
              <w:fldChar w:fldCharType="begin"/>
            </w:r>
            <w:r w:rsidR="00A064B0">
              <w:rPr>
                <w:webHidden/>
              </w:rPr>
              <w:instrText xml:space="preserve"> PAGEREF _Toc128137964 \h </w:instrText>
            </w:r>
            <w:r w:rsidR="00A064B0">
              <w:rPr>
                <w:webHidden/>
              </w:rPr>
            </w:r>
            <w:r w:rsidR="00A064B0">
              <w:rPr>
                <w:webHidden/>
              </w:rPr>
              <w:fldChar w:fldCharType="separate"/>
            </w:r>
            <w:r w:rsidR="00A064B0">
              <w:rPr>
                <w:webHidden/>
              </w:rPr>
              <w:t>47</w:t>
            </w:r>
            <w:r w:rsidR="00A064B0">
              <w:rPr>
                <w:webHidden/>
              </w:rPr>
              <w:fldChar w:fldCharType="end"/>
            </w:r>
          </w:hyperlink>
        </w:p>
        <w:p w14:paraId="4CDE2174" w14:textId="0915F6F9" w:rsidR="00A064B0" w:rsidRDefault="0062538A">
          <w:pPr>
            <w:pStyle w:val="TOC2"/>
            <w:rPr>
              <w:rFonts w:eastAsiaTheme="minorEastAsia" w:cstheme="minorBidi"/>
            </w:rPr>
          </w:pPr>
          <w:hyperlink w:anchor="_Toc128137965" w:history="1">
            <w:r w:rsidR="00A064B0" w:rsidRPr="00C45EA7">
              <w:rPr>
                <w:rStyle w:val="Hyperlink"/>
                <w:lang w:val="en"/>
              </w:rPr>
              <w:t>Distribution of Workforce and Affordable Housing Units</w:t>
            </w:r>
            <w:r w:rsidR="00A064B0">
              <w:rPr>
                <w:webHidden/>
              </w:rPr>
              <w:tab/>
            </w:r>
            <w:r w:rsidR="00A064B0">
              <w:rPr>
                <w:webHidden/>
              </w:rPr>
              <w:fldChar w:fldCharType="begin"/>
            </w:r>
            <w:r w:rsidR="00A064B0">
              <w:rPr>
                <w:webHidden/>
              </w:rPr>
              <w:instrText xml:space="preserve"> PAGEREF _Toc128137965 \h </w:instrText>
            </w:r>
            <w:r w:rsidR="00A064B0">
              <w:rPr>
                <w:webHidden/>
              </w:rPr>
            </w:r>
            <w:r w:rsidR="00A064B0">
              <w:rPr>
                <w:webHidden/>
              </w:rPr>
              <w:fldChar w:fldCharType="separate"/>
            </w:r>
            <w:r w:rsidR="00A064B0">
              <w:rPr>
                <w:webHidden/>
              </w:rPr>
              <w:t>47</w:t>
            </w:r>
            <w:r w:rsidR="00A064B0">
              <w:rPr>
                <w:webHidden/>
              </w:rPr>
              <w:fldChar w:fldCharType="end"/>
            </w:r>
          </w:hyperlink>
        </w:p>
        <w:p w14:paraId="00B64546" w14:textId="7449F4CE" w:rsidR="00A064B0" w:rsidRDefault="0062538A">
          <w:pPr>
            <w:pStyle w:val="TOC3"/>
            <w:rPr>
              <w:rFonts w:eastAsiaTheme="minorEastAsia" w:cstheme="minorBidi"/>
            </w:rPr>
          </w:pPr>
          <w:hyperlink w:anchor="_Toc128137966" w:history="1">
            <w:r w:rsidR="00A064B0" w:rsidRPr="00C45EA7">
              <w:rPr>
                <w:rStyle w:val="Hyperlink"/>
                <w:lang w:val="en"/>
              </w:rPr>
              <w:t>Inventory of Income-Restricted Housing</w:t>
            </w:r>
            <w:r w:rsidR="00A064B0">
              <w:rPr>
                <w:webHidden/>
              </w:rPr>
              <w:tab/>
            </w:r>
            <w:r w:rsidR="00A064B0">
              <w:rPr>
                <w:webHidden/>
              </w:rPr>
              <w:fldChar w:fldCharType="begin"/>
            </w:r>
            <w:r w:rsidR="00A064B0">
              <w:rPr>
                <w:webHidden/>
              </w:rPr>
              <w:instrText xml:space="preserve"> PAGEREF _Toc128137966 \h </w:instrText>
            </w:r>
            <w:r w:rsidR="00A064B0">
              <w:rPr>
                <w:webHidden/>
              </w:rPr>
            </w:r>
            <w:r w:rsidR="00A064B0">
              <w:rPr>
                <w:webHidden/>
              </w:rPr>
              <w:fldChar w:fldCharType="separate"/>
            </w:r>
            <w:r w:rsidR="00A064B0">
              <w:rPr>
                <w:webHidden/>
              </w:rPr>
              <w:t>47</w:t>
            </w:r>
            <w:r w:rsidR="00A064B0">
              <w:rPr>
                <w:webHidden/>
              </w:rPr>
              <w:fldChar w:fldCharType="end"/>
            </w:r>
          </w:hyperlink>
        </w:p>
        <w:p w14:paraId="6B8C31A5" w14:textId="479EC5D4" w:rsidR="00A064B0" w:rsidRDefault="0062538A">
          <w:pPr>
            <w:pStyle w:val="TOC2"/>
            <w:rPr>
              <w:rFonts w:eastAsiaTheme="minorEastAsia" w:cstheme="minorBidi"/>
            </w:rPr>
          </w:pPr>
          <w:hyperlink w:anchor="_Toc128137967" w:history="1">
            <w:r w:rsidR="00A064B0" w:rsidRPr="00BD6F71">
              <w:rPr>
                <w:rStyle w:val="Hyperlink"/>
                <w:lang w:val="en"/>
              </w:rPr>
              <w:t>The Housing Market (Cost and Affordability)</w:t>
            </w:r>
            <w:r w:rsidR="00A064B0" w:rsidRPr="00BD6F71">
              <w:rPr>
                <w:webHidden/>
              </w:rPr>
              <w:tab/>
            </w:r>
            <w:r w:rsidR="00A064B0" w:rsidRPr="00BD6F71">
              <w:rPr>
                <w:webHidden/>
              </w:rPr>
              <w:fldChar w:fldCharType="begin"/>
            </w:r>
            <w:r w:rsidR="00A064B0" w:rsidRPr="00BD6F71">
              <w:rPr>
                <w:webHidden/>
              </w:rPr>
              <w:instrText xml:space="preserve"> PAGEREF _Toc128137967 \h </w:instrText>
            </w:r>
            <w:r w:rsidR="00A064B0" w:rsidRPr="00BD6F71">
              <w:rPr>
                <w:webHidden/>
              </w:rPr>
            </w:r>
            <w:r w:rsidR="00A064B0" w:rsidRPr="00BD6F71">
              <w:rPr>
                <w:webHidden/>
              </w:rPr>
              <w:fldChar w:fldCharType="separate"/>
            </w:r>
            <w:r w:rsidR="00A064B0" w:rsidRPr="00BD6F71">
              <w:rPr>
                <w:webHidden/>
              </w:rPr>
              <w:t>50</w:t>
            </w:r>
            <w:r w:rsidR="00A064B0" w:rsidRPr="00BD6F71">
              <w:rPr>
                <w:webHidden/>
              </w:rPr>
              <w:fldChar w:fldCharType="end"/>
            </w:r>
          </w:hyperlink>
        </w:p>
        <w:p w14:paraId="7C596F04" w14:textId="3CD60B61" w:rsidR="00A064B0" w:rsidRDefault="0062538A">
          <w:pPr>
            <w:pStyle w:val="TOC3"/>
            <w:rPr>
              <w:rFonts w:eastAsiaTheme="minorEastAsia" w:cstheme="minorBidi"/>
            </w:rPr>
          </w:pPr>
          <w:hyperlink w:anchor="_Toc128137968" w:history="1">
            <w:r w:rsidR="00A064B0" w:rsidRPr="00C45EA7">
              <w:rPr>
                <w:rStyle w:val="Hyperlink"/>
                <w:lang w:val="en"/>
              </w:rPr>
              <w:t>Housing Prices and Rents</w:t>
            </w:r>
            <w:r w:rsidR="00A064B0">
              <w:rPr>
                <w:webHidden/>
              </w:rPr>
              <w:tab/>
            </w:r>
            <w:r w:rsidR="00A064B0">
              <w:rPr>
                <w:webHidden/>
              </w:rPr>
              <w:fldChar w:fldCharType="begin"/>
            </w:r>
            <w:r w:rsidR="00A064B0">
              <w:rPr>
                <w:webHidden/>
              </w:rPr>
              <w:instrText xml:space="preserve"> PAGEREF _Toc128137968 \h </w:instrText>
            </w:r>
            <w:r w:rsidR="00A064B0">
              <w:rPr>
                <w:webHidden/>
              </w:rPr>
            </w:r>
            <w:r w:rsidR="00A064B0">
              <w:rPr>
                <w:webHidden/>
              </w:rPr>
              <w:fldChar w:fldCharType="separate"/>
            </w:r>
            <w:r w:rsidR="00A064B0">
              <w:rPr>
                <w:webHidden/>
              </w:rPr>
              <w:t>50</w:t>
            </w:r>
            <w:r w:rsidR="00A064B0">
              <w:rPr>
                <w:webHidden/>
              </w:rPr>
              <w:fldChar w:fldCharType="end"/>
            </w:r>
          </w:hyperlink>
        </w:p>
        <w:p w14:paraId="0E04DD60" w14:textId="0AA5F46B" w:rsidR="00A064B0" w:rsidRDefault="0062538A">
          <w:pPr>
            <w:pStyle w:val="TOC2"/>
            <w:rPr>
              <w:rFonts w:eastAsiaTheme="minorEastAsia" w:cstheme="minorBidi"/>
            </w:rPr>
          </w:pPr>
          <w:hyperlink w:anchor="_Toc128137969" w:history="1">
            <w:r w:rsidR="00A064B0" w:rsidRPr="00C45EA7">
              <w:rPr>
                <w:rStyle w:val="Hyperlink"/>
              </w:rPr>
              <w:t>Current Housing Gaps</w:t>
            </w:r>
            <w:r w:rsidR="00A064B0">
              <w:rPr>
                <w:webHidden/>
              </w:rPr>
              <w:tab/>
            </w:r>
            <w:r w:rsidR="00A064B0">
              <w:rPr>
                <w:webHidden/>
              </w:rPr>
              <w:fldChar w:fldCharType="begin"/>
            </w:r>
            <w:r w:rsidR="00A064B0">
              <w:rPr>
                <w:webHidden/>
              </w:rPr>
              <w:instrText xml:space="preserve"> PAGEREF _Toc128137969 \h </w:instrText>
            </w:r>
            <w:r w:rsidR="00A064B0">
              <w:rPr>
                <w:webHidden/>
              </w:rPr>
            </w:r>
            <w:r w:rsidR="00A064B0">
              <w:rPr>
                <w:webHidden/>
              </w:rPr>
              <w:fldChar w:fldCharType="separate"/>
            </w:r>
            <w:r w:rsidR="00A064B0">
              <w:rPr>
                <w:webHidden/>
              </w:rPr>
              <w:t>60</w:t>
            </w:r>
            <w:r w:rsidR="00A064B0">
              <w:rPr>
                <w:webHidden/>
              </w:rPr>
              <w:fldChar w:fldCharType="end"/>
            </w:r>
          </w:hyperlink>
        </w:p>
        <w:p w14:paraId="6BAD5528" w14:textId="014A4FB1" w:rsidR="00A064B0" w:rsidRDefault="0062538A">
          <w:pPr>
            <w:pStyle w:val="TOC3"/>
            <w:rPr>
              <w:rFonts w:eastAsiaTheme="minorEastAsia" w:cstheme="minorBidi"/>
            </w:rPr>
          </w:pPr>
          <w:hyperlink w:anchor="_Toc128137970" w:history="1">
            <w:r w:rsidR="00A064B0" w:rsidRPr="00C45EA7">
              <w:rPr>
                <w:rStyle w:val="Hyperlink"/>
              </w:rPr>
              <w:t>New policies/laws enacted</w:t>
            </w:r>
            <w:r w:rsidR="00A064B0">
              <w:rPr>
                <w:webHidden/>
              </w:rPr>
              <w:tab/>
            </w:r>
            <w:r w:rsidR="00A064B0">
              <w:rPr>
                <w:webHidden/>
              </w:rPr>
              <w:fldChar w:fldCharType="begin"/>
            </w:r>
            <w:r w:rsidR="00A064B0">
              <w:rPr>
                <w:webHidden/>
              </w:rPr>
              <w:instrText xml:space="preserve"> PAGEREF _Toc128137970 \h </w:instrText>
            </w:r>
            <w:r w:rsidR="00A064B0">
              <w:rPr>
                <w:webHidden/>
              </w:rPr>
            </w:r>
            <w:r w:rsidR="00A064B0">
              <w:rPr>
                <w:webHidden/>
              </w:rPr>
              <w:fldChar w:fldCharType="separate"/>
            </w:r>
            <w:r w:rsidR="00A064B0">
              <w:rPr>
                <w:webHidden/>
              </w:rPr>
              <w:t>61</w:t>
            </w:r>
            <w:r w:rsidR="00A064B0">
              <w:rPr>
                <w:webHidden/>
              </w:rPr>
              <w:fldChar w:fldCharType="end"/>
            </w:r>
          </w:hyperlink>
        </w:p>
        <w:p w14:paraId="73A8E2F4" w14:textId="13A51867" w:rsidR="00A064B0" w:rsidRDefault="0062538A">
          <w:pPr>
            <w:pStyle w:val="TOC1"/>
            <w:rPr>
              <w:rFonts w:eastAsiaTheme="minorEastAsia" w:cstheme="minorBidi"/>
              <w:b w:val="0"/>
              <w:caps w:val="0"/>
              <w:color w:val="auto"/>
            </w:rPr>
          </w:pPr>
          <w:hyperlink w:anchor="_Toc128137971" w:history="1">
            <w:r w:rsidR="00A064B0" w:rsidRPr="00C45EA7">
              <w:rPr>
                <w:rStyle w:val="Hyperlink"/>
              </w:rPr>
              <w:t>Section V – Future conditions and housing projections</w:t>
            </w:r>
            <w:r w:rsidR="00A064B0">
              <w:rPr>
                <w:webHidden/>
              </w:rPr>
              <w:tab/>
            </w:r>
            <w:r w:rsidR="00A064B0">
              <w:rPr>
                <w:webHidden/>
              </w:rPr>
              <w:fldChar w:fldCharType="begin"/>
            </w:r>
            <w:r w:rsidR="00A064B0">
              <w:rPr>
                <w:webHidden/>
              </w:rPr>
              <w:instrText xml:space="preserve"> PAGEREF _Toc128137971 \h </w:instrText>
            </w:r>
            <w:r w:rsidR="00A064B0">
              <w:rPr>
                <w:webHidden/>
              </w:rPr>
            </w:r>
            <w:r w:rsidR="00A064B0">
              <w:rPr>
                <w:webHidden/>
              </w:rPr>
              <w:fldChar w:fldCharType="separate"/>
            </w:r>
            <w:r w:rsidR="00A064B0">
              <w:rPr>
                <w:webHidden/>
              </w:rPr>
              <w:t>65</w:t>
            </w:r>
            <w:r w:rsidR="00A064B0">
              <w:rPr>
                <w:webHidden/>
              </w:rPr>
              <w:fldChar w:fldCharType="end"/>
            </w:r>
          </w:hyperlink>
        </w:p>
        <w:p w14:paraId="31179B8F" w14:textId="5269D41C" w:rsidR="00A064B0" w:rsidRDefault="0062538A">
          <w:pPr>
            <w:pStyle w:val="TOC2"/>
            <w:rPr>
              <w:rFonts w:eastAsiaTheme="minorEastAsia" w:cstheme="minorBidi"/>
            </w:rPr>
          </w:pPr>
          <w:hyperlink w:anchor="_Toc128137972" w:history="1">
            <w:r w:rsidR="00A064B0" w:rsidRPr="00C45EA7">
              <w:rPr>
                <w:rStyle w:val="Hyperlink"/>
              </w:rPr>
              <w:t>Impacts to Future Housing Supply and Affordability</w:t>
            </w:r>
            <w:r w:rsidR="00A064B0">
              <w:rPr>
                <w:webHidden/>
              </w:rPr>
              <w:tab/>
            </w:r>
            <w:r w:rsidR="00A064B0">
              <w:rPr>
                <w:webHidden/>
              </w:rPr>
              <w:fldChar w:fldCharType="begin"/>
            </w:r>
            <w:r w:rsidR="00A064B0">
              <w:rPr>
                <w:webHidden/>
              </w:rPr>
              <w:instrText xml:space="preserve"> PAGEREF _Toc128137972 \h </w:instrText>
            </w:r>
            <w:r w:rsidR="00A064B0">
              <w:rPr>
                <w:webHidden/>
              </w:rPr>
            </w:r>
            <w:r w:rsidR="00A064B0">
              <w:rPr>
                <w:webHidden/>
              </w:rPr>
              <w:fldChar w:fldCharType="separate"/>
            </w:r>
            <w:r w:rsidR="00A064B0">
              <w:rPr>
                <w:webHidden/>
              </w:rPr>
              <w:t>65</w:t>
            </w:r>
            <w:r w:rsidR="00A064B0">
              <w:rPr>
                <w:webHidden/>
              </w:rPr>
              <w:fldChar w:fldCharType="end"/>
            </w:r>
          </w:hyperlink>
        </w:p>
        <w:p w14:paraId="71B78C98" w14:textId="61B4BB62" w:rsidR="00A064B0" w:rsidRDefault="0062538A">
          <w:pPr>
            <w:pStyle w:val="TOC3"/>
            <w:rPr>
              <w:rFonts w:eastAsiaTheme="minorEastAsia" w:cstheme="minorBidi"/>
            </w:rPr>
          </w:pPr>
          <w:hyperlink w:anchor="_Toc128137973" w:history="1">
            <w:r w:rsidR="00A064B0" w:rsidRPr="00C45EA7">
              <w:rPr>
                <w:rStyle w:val="Hyperlink"/>
              </w:rPr>
              <w:t>COVID-19</w:t>
            </w:r>
            <w:r w:rsidR="00A064B0">
              <w:rPr>
                <w:webHidden/>
              </w:rPr>
              <w:tab/>
            </w:r>
            <w:r w:rsidR="00A064B0">
              <w:rPr>
                <w:webHidden/>
              </w:rPr>
              <w:fldChar w:fldCharType="begin"/>
            </w:r>
            <w:r w:rsidR="00A064B0">
              <w:rPr>
                <w:webHidden/>
              </w:rPr>
              <w:instrText xml:space="preserve"> PAGEREF _Toc128137973 \h </w:instrText>
            </w:r>
            <w:r w:rsidR="00A064B0">
              <w:rPr>
                <w:webHidden/>
              </w:rPr>
            </w:r>
            <w:r w:rsidR="00A064B0">
              <w:rPr>
                <w:webHidden/>
              </w:rPr>
              <w:fldChar w:fldCharType="separate"/>
            </w:r>
            <w:r w:rsidR="00A064B0">
              <w:rPr>
                <w:webHidden/>
              </w:rPr>
              <w:t>65</w:t>
            </w:r>
            <w:r w:rsidR="00A064B0">
              <w:rPr>
                <w:webHidden/>
              </w:rPr>
              <w:fldChar w:fldCharType="end"/>
            </w:r>
          </w:hyperlink>
        </w:p>
        <w:p w14:paraId="2999A6A5" w14:textId="35C0E32F" w:rsidR="00A064B0" w:rsidRDefault="0062538A">
          <w:pPr>
            <w:pStyle w:val="TOC3"/>
            <w:rPr>
              <w:rFonts w:eastAsiaTheme="minorEastAsia" w:cstheme="minorBidi"/>
            </w:rPr>
          </w:pPr>
          <w:hyperlink w:anchor="_Toc128137974" w:history="1">
            <w:r w:rsidR="00A064B0" w:rsidRPr="00C45EA7">
              <w:rPr>
                <w:rStyle w:val="Hyperlink"/>
              </w:rPr>
              <w:t>Climate Change</w:t>
            </w:r>
            <w:r w:rsidR="00A064B0">
              <w:rPr>
                <w:webHidden/>
              </w:rPr>
              <w:tab/>
            </w:r>
            <w:r w:rsidR="00A064B0">
              <w:rPr>
                <w:webHidden/>
              </w:rPr>
              <w:fldChar w:fldCharType="begin"/>
            </w:r>
            <w:r w:rsidR="00A064B0">
              <w:rPr>
                <w:webHidden/>
              </w:rPr>
              <w:instrText xml:space="preserve"> PAGEREF _Toc128137974 \h </w:instrText>
            </w:r>
            <w:r w:rsidR="00A064B0">
              <w:rPr>
                <w:webHidden/>
              </w:rPr>
            </w:r>
            <w:r w:rsidR="00A064B0">
              <w:rPr>
                <w:webHidden/>
              </w:rPr>
              <w:fldChar w:fldCharType="separate"/>
            </w:r>
            <w:r w:rsidR="00A064B0">
              <w:rPr>
                <w:webHidden/>
              </w:rPr>
              <w:t>66</w:t>
            </w:r>
            <w:r w:rsidR="00A064B0">
              <w:rPr>
                <w:webHidden/>
              </w:rPr>
              <w:fldChar w:fldCharType="end"/>
            </w:r>
          </w:hyperlink>
        </w:p>
        <w:p w14:paraId="069AD280" w14:textId="392D0666" w:rsidR="00A064B0" w:rsidRDefault="0062538A">
          <w:pPr>
            <w:pStyle w:val="TOC3"/>
            <w:rPr>
              <w:rFonts w:eastAsiaTheme="minorEastAsia" w:cstheme="minorBidi"/>
            </w:rPr>
          </w:pPr>
          <w:hyperlink w:anchor="_Toc128137975" w:history="1">
            <w:r w:rsidR="00A064B0" w:rsidRPr="00C45EA7">
              <w:rPr>
                <w:rStyle w:val="Hyperlink"/>
              </w:rPr>
              <w:t>Federal Monetary Policy</w:t>
            </w:r>
            <w:r w:rsidR="00A064B0">
              <w:rPr>
                <w:webHidden/>
              </w:rPr>
              <w:tab/>
            </w:r>
            <w:r w:rsidR="00A064B0">
              <w:rPr>
                <w:webHidden/>
              </w:rPr>
              <w:fldChar w:fldCharType="begin"/>
            </w:r>
            <w:r w:rsidR="00A064B0">
              <w:rPr>
                <w:webHidden/>
              </w:rPr>
              <w:instrText xml:space="preserve"> PAGEREF _Toc128137975 \h </w:instrText>
            </w:r>
            <w:r w:rsidR="00A064B0">
              <w:rPr>
                <w:webHidden/>
              </w:rPr>
            </w:r>
            <w:r w:rsidR="00A064B0">
              <w:rPr>
                <w:webHidden/>
              </w:rPr>
              <w:fldChar w:fldCharType="separate"/>
            </w:r>
            <w:r w:rsidR="00A064B0">
              <w:rPr>
                <w:webHidden/>
              </w:rPr>
              <w:t>67</w:t>
            </w:r>
            <w:r w:rsidR="00A064B0">
              <w:rPr>
                <w:webHidden/>
              </w:rPr>
              <w:fldChar w:fldCharType="end"/>
            </w:r>
          </w:hyperlink>
        </w:p>
        <w:p w14:paraId="7C8A21B5" w14:textId="0F99C49D" w:rsidR="00A064B0" w:rsidRDefault="0062538A">
          <w:pPr>
            <w:pStyle w:val="TOC3"/>
            <w:rPr>
              <w:rFonts w:eastAsiaTheme="minorEastAsia" w:cstheme="minorBidi"/>
            </w:rPr>
          </w:pPr>
          <w:hyperlink w:anchor="_Toc128137976" w:history="1">
            <w:r w:rsidR="00A064B0" w:rsidRPr="00C45EA7">
              <w:rPr>
                <w:rStyle w:val="Hyperlink"/>
              </w:rPr>
              <w:t>Construction Costs</w:t>
            </w:r>
            <w:r w:rsidR="00A064B0">
              <w:rPr>
                <w:webHidden/>
              </w:rPr>
              <w:tab/>
            </w:r>
            <w:r w:rsidR="00A064B0">
              <w:rPr>
                <w:webHidden/>
              </w:rPr>
              <w:fldChar w:fldCharType="begin"/>
            </w:r>
            <w:r w:rsidR="00A064B0">
              <w:rPr>
                <w:webHidden/>
              </w:rPr>
              <w:instrText xml:space="preserve"> PAGEREF _Toc128137976 \h </w:instrText>
            </w:r>
            <w:r w:rsidR="00A064B0">
              <w:rPr>
                <w:webHidden/>
              </w:rPr>
            </w:r>
            <w:r w:rsidR="00A064B0">
              <w:rPr>
                <w:webHidden/>
              </w:rPr>
              <w:fldChar w:fldCharType="separate"/>
            </w:r>
            <w:r w:rsidR="00A064B0">
              <w:rPr>
                <w:webHidden/>
              </w:rPr>
              <w:t>68</w:t>
            </w:r>
            <w:r w:rsidR="00A064B0">
              <w:rPr>
                <w:webHidden/>
              </w:rPr>
              <w:fldChar w:fldCharType="end"/>
            </w:r>
          </w:hyperlink>
        </w:p>
        <w:p w14:paraId="5A3C1935" w14:textId="7D01E25C" w:rsidR="00A064B0" w:rsidRDefault="0062538A">
          <w:pPr>
            <w:pStyle w:val="TOC3"/>
            <w:rPr>
              <w:rFonts w:eastAsiaTheme="minorEastAsia" w:cstheme="minorBidi"/>
            </w:rPr>
          </w:pPr>
          <w:hyperlink w:anchor="_Toc128137977" w:history="1">
            <w:r w:rsidR="00A064B0" w:rsidRPr="00C45EA7">
              <w:rPr>
                <w:rStyle w:val="Hyperlink"/>
              </w:rPr>
              <w:t>Short-Term Rentals</w:t>
            </w:r>
            <w:r w:rsidR="00A064B0">
              <w:rPr>
                <w:webHidden/>
              </w:rPr>
              <w:tab/>
            </w:r>
            <w:r w:rsidR="00A064B0">
              <w:rPr>
                <w:webHidden/>
              </w:rPr>
              <w:fldChar w:fldCharType="begin"/>
            </w:r>
            <w:r w:rsidR="00A064B0">
              <w:rPr>
                <w:webHidden/>
              </w:rPr>
              <w:instrText xml:space="preserve"> PAGEREF _Toc128137977 \h </w:instrText>
            </w:r>
            <w:r w:rsidR="00A064B0">
              <w:rPr>
                <w:webHidden/>
              </w:rPr>
            </w:r>
            <w:r w:rsidR="00A064B0">
              <w:rPr>
                <w:webHidden/>
              </w:rPr>
              <w:fldChar w:fldCharType="separate"/>
            </w:r>
            <w:r w:rsidR="00A064B0">
              <w:rPr>
                <w:webHidden/>
              </w:rPr>
              <w:t>69</w:t>
            </w:r>
            <w:r w:rsidR="00A064B0">
              <w:rPr>
                <w:webHidden/>
              </w:rPr>
              <w:fldChar w:fldCharType="end"/>
            </w:r>
          </w:hyperlink>
        </w:p>
        <w:p w14:paraId="4E9FFB37" w14:textId="790FF887" w:rsidR="00A064B0" w:rsidRDefault="0062538A">
          <w:pPr>
            <w:pStyle w:val="TOC3"/>
            <w:rPr>
              <w:rFonts w:eastAsiaTheme="minorEastAsia" w:cstheme="minorBidi"/>
            </w:rPr>
          </w:pPr>
          <w:hyperlink w:anchor="_Toc128137978" w:history="1">
            <w:r w:rsidR="00A064B0" w:rsidRPr="00C45EA7">
              <w:rPr>
                <w:rStyle w:val="Hyperlink"/>
              </w:rPr>
              <w:t>Student FlucTuation in College Towns</w:t>
            </w:r>
            <w:r w:rsidR="00A064B0">
              <w:rPr>
                <w:webHidden/>
              </w:rPr>
              <w:tab/>
            </w:r>
            <w:r w:rsidR="00A064B0">
              <w:rPr>
                <w:webHidden/>
              </w:rPr>
              <w:fldChar w:fldCharType="begin"/>
            </w:r>
            <w:r w:rsidR="00A064B0">
              <w:rPr>
                <w:webHidden/>
              </w:rPr>
              <w:instrText xml:space="preserve"> PAGEREF _Toc128137978 \h </w:instrText>
            </w:r>
            <w:r w:rsidR="00A064B0">
              <w:rPr>
                <w:webHidden/>
              </w:rPr>
            </w:r>
            <w:r w:rsidR="00A064B0">
              <w:rPr>
                <w:webHidden/>
              </w:rPr>
              <w:fldChar w:fldCharType="separate"/>
            </w:r>
            <w:r w:rsidR="00A064B0">
              <w:rPr>
                <w:webHidden/>
              </w:rPr>
              <w:t>70</w:t>
            </w:r>
            <w:r w:rsidR="00A064B0">
              <w:rPr>
                <w:webHidden/>
              </w:rPr>
              <w:fldChar w:fldCharType="end"/>
            </w:r>
          </w:hyperlink>
        </w:p>
        <w:p w14:paraId="6A755B93" w14:textId="06F1270A" w:rsidR="00A064B0" w:rsidRDefault="0062538A">
          <w:pPr>
            <w:pStyle w:val="TOC3"/>
            <w:rPr>
              <w:rFonts w:eastAsiaTheme="minorEastAsia" w:cstheme="minorBidi"/>
            </w:rPr>
          </w:pPr>
          <w:hyperlink w:anchor="_Toc128137979" w:history="1">
            <w:r w:rsidR="00A064B0" w:rsidRPr="00C45EA7">
              <w:rPr>
                <w:rStyle w:val="Hyperlink"/>
              </w:rPr>
              <w:t>Aging Populations/ Smaller HouseHolds</w:t>
            </w:r>
            <w:r w:rsidR="00A064B0">
              <w:rPr>
                <w:webHidden/>
              </w:rPr>
              <w:tab/>
            </w:r>
            <w:r w:rsidR="00A064B0">
              <w:rPr>
                <w:webHidden/>
              </w:rPr>
              <w:fldChar w:fldCharType="begin"/>
            </w:r>
            <w:r w:rsidR="00A064B0">
              <w:rPr>
                <w:webHidden/>
              </w:rPr>
              <w:instrText xml:space="preserve"> PAGEREF _Toc128137979 \h </w:instrText>
            </w:r>
            <w:r w:rsidR="00A064B0">
              <w:rPr>
                <w:webHidden/>
              </w:rPr>
            </w:r>
            <w:r w:rsidR="00A064B0">
              <w:rPr>
                <w:webHidden/>
              </w:rPr>
              <w:fldChar w:fldCharType="separate"/>
            </w:r>
            <w:r w:rsidR="00A064B0">
              <w:rPr>
                <w:webHidden/>
              </w:rPr>
              <w:t>71</w:t>
            </w:r>
            <w:r w:rsidR="00A064B0">
              <w:rPr>
                <w:webHidden/>
              </w:rPr>
              <w:fldChar w:fldCharType="end"/>
            </w:r>
          </w:hyperlink>
        </w:p>
        <w:p w14:paraId="3346F424" w14:textId="679CFD7C" w:rsidR="00A064B0" w:rsidRDefault="0062538A">
          <w:pPr>
            <w:pStyle w:val="TOC3"/>
            <w:rPr>
              <w:rFonts w:eastAsiaTheme="minorEastAsia" w:cstheme="minorBidi"/>
            </w:rPr>
          </w:pPr>
          <w:hyperlink w:anchor="_Toc128137980" w:history="1">
            <w:r w:rsidR="00A064B0" w:rsidRPr="00C45EA7">
              <w:rPr>
                <w:rStyle w:val="Hyperlink"/>
              </w:rPr>
              <w:t>Demographic Changes</w:t>
            </w:r>
            <w:r w:rsidR="00A064B0">
              <w:rPr>
                <w:webHidden/>
              </w:rPr>
              <w:tab/>
            </w:r>
            <w:r w:rsidR="00A064B0">
              <w:rPr>
                <w:webHidden/>
              </w:rPr>
              <w:fldChar w:fldCharType="begin"/>
            </w:r>
            <w:r w:rsidR="00A064B0">
              <w:rPr>
                <w:webHidden/>
              </w:rPr>
              <w:instrText xml:space="preserve"> PAGEREF _Toc128137980 \h </w:instrText>
            </w:r>
            <w:r w:rsidR="00A064B0">
              <w:rPr>
                <w:webHidden/>
              </w:rPr>
            </w:r>
            <w:r w:rsidR="00A064B0">
              <w:rPr>
                <w:webHidden/>
              </w:rPr>
              <w:fldChar w:fldCharType="separate"/>
            </w:r>
            <w:r w:rsidR="00A064B0">
              <w:rPr>
                <w:webHidden/>
              </w:rPr>
              <w:t>72</w:t>
            </w:r>
            <w:r w:rsidR="00A064B0">
              <w:rPr>
                <w:webHidden/>
              </w:rPr>
              <w:fldChar w:fldCharType="end"/>
            </w:r>
          </w:hyperlink>
        </w:p>
        <w:p w14:paraId="4410C578" w14:textId="5CBD1A9F" w:rsidR="00A064B0" w:rsidRDefault="0062538A">
          <w:pPr>
            <w:pStyle w:val="TOC2"/>
            <w:rPr>
              <w:rFonts w:eastAsiaTheme="minorEastAsia" w:cstheme="minorBidi"/>
            </w:rPr>
          </w:pPr>
          <w:hyperlink w:anchor="_Toc128137981" w:history="1">
            <w:r w:rsidR="00A064B0" w:rsidRPr="00C45EA7">
              <w:rPr>
                <w:rStyle w:val="Hyperlink"/>
              </w:rPr>
              <w:t>Housing Needs Projections</w:t>
            </w:r>
            <w:r w:rsidR="00A064B0">
              <w:rPr>
                <w:webHidden/>
              </w:rPr>
              <w:tab/>
            </w:r>
            <w:r w:rsidR="00A064B0">
              <w:rPr>
                <w:webHidden/>
              </w:rPr>
              <w:fldChar w:fldCharType="begin"/>
            </w:r>
            <w:r w:rsidR="00A064B0">
              <w:rPr>
                <w:webHidden/>
              </w:rPr>
              <w:instrText xml:space="preserve"> PAGEREF _Toc128137981 \h </w:instrText>
            </w:r>
            <w:r w:rsidR="00A064B0">
              <w:rPr>
                <w:webHidden/>
              </w:rPr>
            </w:r>
            <w:r w:rsidR="00A064B0">
              <w:rPr>
                <w:webHidden/>
              </w:rPr>
              <w:fldChar w:fldCharType="separate"/>
            </w:r>
            <w:r w:rsidR="00A064B0">
              <w:rPr>
                <w:webHidden/>
              </w:rPr>
              <w:t>73</w:t>
            </w:r>
            <w:r w:rsidR="00A064B0">
              <w:rPr>
                <w:webHidden/>
              </w:rPr>
              <w:fldChar w:fldCharType="end"/>
            </w:r>
          </w:hyperlink>
        </w:p>
        <w:p w14:paraId="527475DE" w14:textId="4573BD52" w:rsidR="00A064B0" w:rsidRDefault="0062538A">
          <w:pPr>
            <w:pStyle w:val="TOC3"/>
            <w:rPr>
              <w:rFonts w:eastAsiaTheme="minorEastAsia" w:cstheme="minorBidi"/>
            </w:rPr>
          </w:pPr>
          <w:hyperlink w:anchor="_Toc128137982" w:history="1">
            <w:r w:rsidR="00A064B0" w:rsidRPr="00C45EA7">
              <w:rPr>
                <w:rStyle w:val="Hyperlink"/>
              </w:rPr>
              <w:t>Fair Share Distribution</w:t>
            </w:r>
            <w:r w:rsidR="00A064B0">
              <w:rPr>
                <w:webHidden/>
              </w:rPr>
              <w:tab/>
            </w:r>
            <w:r w:rsidR="00A064B0">
              <w:rPr>
                <w:webHidden/>
              </w:rPr>
              <w:fldChar w:fldCharType="begin"/>
            </w:r>
            <w:r w:rsidR="00A064B0">
              <w:rPr>
                <w:webHidden/>
              </w:rPr>
              <w:instrText xml:space="preserve"> PAGEREF _Toc128137982 \h </w:instrText>
            </w:r>
            <w:r w:rsidR="00A064B0">
              <w:rPr>
                <w:webHidden/>
              </w:rPr>
            </w:r>
            <w:r w:rsidR="00A064B0">
              <w:rPr>
                <w:webHidden/>
              </w:rPr>
              <w:fldChar w:fldCharType="separate"/>
            </w:r>
            <w:r w:rsidR="00A064B0">
              <w:rPr>
                <w:webHidden/>
              </w:rPr>
              <w:t>74</w:t>
            </w:r>
            <w:r w:rsidR="00A064B0">
              <w:rPr>
                <w:webHidden/>
              </w:rPr>
              <w:fldChar w:fldCharType="end"/>
            </w:r>
          </w:hyperlink>
        </w:p>
        <w:p w14:paraId="58DAA75B" w14:textId="600A5FE5" w:rsidR="00A064B0" w:rsidRDefault="0062538A">
          <w:pPr>
            <w:pStyle w:val="TOC2"/>
            <w:rPr>
              <w:rFonts w:eastAsiaTheme="minorEastAsia" w:cstheme="minorBidi"/>
            </w:rPr>
          </w:pPr>
          <w:hyperlink w:anchor="_Toc128137983" w:history="1">
            <w:r w:rsidR="00A064B0" w:rsidRPr="00C45EA7">
              <w:rPr>
                <w:rStyle w:val="Hyperlink"/>
              </w:rPr>
              <w:t>Methodology</w:t>
            </w:r>
            <w:r w:rsidR="00A064B0">
              <w:rPr>
                <w:webHidden/>
              </w:rPr>
              <w:tab/>
            </w:r>
            <w:r w:rsidR="00A064B0">
              <w:rPr>
                <w:webHidden/>
              </w:rPr>
              <w:fldChar w:fldCharType="begin"/>
            </w:r>
            <w:r w:rsidR="00A064B0">
              <w:rPr>
                <w:webHidden/>
              </w:rPr>
              <w:instrText xml:space="preserve"> PAGEREF _Toc128137983 \h </w:instrText>
            </w:r>
            <w:r w:rsidR="00A064B0">
              <w:rPr>
                <w:webHidden/>
              </w:rPr>
            </w:r>
            <w:r w:rsidR="00A064B0">
              <w:rPr>
                <w:webHidden/>
              </w:rPr>
              <w:fldChar w:fldCharType="separate"/>
            </w:r>
            <w:r w:rsidR="00A064B0">
              <w:rPr>
                <w:webHidden/>
              </w:rPr>
              <w:t>79</w:t>
            </w:r>
            <w:r w:rsidR="00A064B0">
              <w:rPr>
                <w:webHidden/>
              </w:rPr>
              <w:fldChar w:fldCharType="end"/>
            </w:r>
          </w:hyperlink>
        </w:p>
        <w:p w14:paraId="57532280" w14:textId="630A762A" w:rsidR="00A064B0" w:rsidRDefault="0062538A">
          <w:pPr>
            <w:pStyle w:val="TOC1"/>
            <w:rPr>
              <w:rFonts w:eastAsiaTheme="minorEastAsia" w:cstheme="minorBidi"/>
              <w:b w:val="0"/>
              <w:caps w:val="0"/>
              <w:color w:val="auto"/>
            </w:rPr>
          </w:pPr>
          <w:hyperlink w:anchor="_Toc128137984" w:history="1">
            <w:r w:rsidR="00A064B0" w:rsidRPr="00C45EA7">
              <w:rPr>
                <w:rStyle w:val="Hyperlink"/>
              </w:rPr>
              <w:t>Section VI – Housing Choices, Opportunities AND BARRIERS</w:t>
            </w:r>
            <w:r w:rsidR="00A064B0">
              <w:rPr>
                <w:webHidden/>
              </w:rPr>
              <w:tab/>
            </w:r>
            <w:r w:rsidR="00A064B0">
              <w:rPr>
                <w:webHidden/>
              </w:rPr>
              <w:fldChar w:fldCharType="begin"/>
            </w:r>
            <w:r w:rsidR="00A064B0">
              <w:rPr>
                <w:webHidden/>
              </w:rPr>
              <w:instrText xml:space="preserve"> PAGEREF _Toc128137984 \h </w:instrText>
            </w:r>
            <w:r w:rsidR="00A064B0">
              <w:rPr>
                <w:webHidden/>
              </w:rPr>
            </w:r>
            <w:r w:rsidR="00A064B0">
              <w:rPr>
                <w:webHidden/>
              </w:rPr>
              <w:fldChar w:fldCharType="separate"/>
            </w:r>
            <w:r w:rsidR="00A064B0">
              <w:rPr>
                <w:webHidden/>
              </w:rPr>
              <w:t>82</w:t>
            </w:r>
            <w:r w:rsidR="00A064B0">
              <w:rPr>
                <w:webHidden/>
              </w:rPr>
              <w:fldChar w:fldCharType="end"/>
            </w:r>
          </w:hyperlink>
        </w:p>
        <w:p w14:paraId="2B5F7D8A" w14:textId="0A5DFE5E" w:rsidR="00A064B0" w:rsidRDefault="0062538A">
          <w:pPr>
            <w:pStyle w:val="TOC2"/>
            <w:rPr>
              <w:rFonts w:eastAsiaTheme="minorEastAsia" w:cstheme="minorBidi"/>
            </w:rPr>
          </w:pPr>
          <w:hyperlink w:anchor="_Toc128137985" w:history="1">
            <w:r w:rsidR="00A064B0" w:rsidRPr="00C45EA7">
              <w:rPr>
                <w:rStyle w:val="Hyperlink"/>
              </w:rPr>
              <w:t>Land Use Regulations and Other Controls</w:t>
            </w:r>
            <w:r w:rsidR="00A064B0">
              <w:rPr>
                <w:webHidden/>
              </w:rPr>
              <w:tab/>
            </w:r>
            <w:r w:rsidR="00A064B0">
              <w:rPr>
                <w:webHidden/>
              </w:rPr>
              <w:fldChar w:fldCharType="begin"/>
            </w:r>
            <w:r w:rsidR="00A064B0">
              <w:rPr>
                <w:webHidden/>
              </w:rPr>
              <w:instrText xml:space="preserve"> PAGEREF _Toc128137985 \h </w:instrText>
            </w:r>
            <w:r w:rsidR="00A064B0">
              <w:rPr>
                <w:webHidden/>
              </w:rPr>
            </w:r>
            <w:r w:rsidR="00A064B0">
              <w:rPr>
                <w:webHidden/>
              </w:rPr>
              <w:fldChar w:fldCharType="separate"/>
            </w:r>
            <w:r w:rsidR="00A064B0">
              <w:rPr>
                <w:webHidden/>
              </w:rPr>
              <w:t>82</w:t>
            </w:r>
            <w:r w:rsidR="00A064B0">
              <w:rPr>
                <w:webHidden/>
              </w:rPr>
              <w:fldChar w:fldCharType="end"/>
            </w:r>
          </w:hyperlink>
        </w:p>
        <w:p w14:paraId="095FE656" w14:textId="5FC979AA" w:rsidR="00A064B0" w:rsidRDefault="0062538A">
          <w:pPr>
            <w:pStyle w:val="TOC3"/>
            <w:rPr>
              <w:rFonts w:eastAsiaTheme="minorEastAsia" w:cstheme="minorBidi"/>
            </w:rPr>
          </w:pPr>
          <w:hyperlink w:anchor="_Toc128137986" w:history="1">
            <w:r w:rsidR="00A064B0" w:rsidRPr="00C45EA7">
              <w:rPr>
                <w:rStyle w:val="Hyperlink"/>
              </w:rPr>
              <w:t>Exclusionary Zoning Practices</w:t>
            </w:r>
            <w:r w:rsidR="00A064B0">
              <w:rPr>
                <w:webHidden/>
              </w:rPr>
              <w:tab/>
            </w:r>
            <w:r w:rsidR="00A064B0">
              <w:rPr>
                <w:webHidden/>
              </w:rPr>
              <w:fldChar w:fldCharType="begin"/>
            </w:r>
            <w:r w:rsidR="00A064B0">
              <w:rPr>
                <w:webHidden/>
              </w:rPr>
              <w:instrText xml:space="preserve"> PAGEREF _Toc128137986 \h </w:instrText>
            </w:r>
            <w:r w:rsidR="00A064B0">
              <w:rPr>
                <w:webHidden/>
              </w:rPr>
            </w:r>
            <w:r w:rsidR="00A064B0">
              <w:rPr>
                <w:webHidden/>
              </w:rPr>
              <w:fldChar w:fldCharType="separate"/>
            </w:r>
            <w:r w:rsidR="00A064B0">
              <w:rPr>
                <w:webHidden/>
              </w:rPr>
              <w:t>83</w:t>
            </w:r>
            <w:r w:rsidR="00A064B0">
              <w:rPr>
                <w:webHidden/>
              </w:rPr>
              <w:fldChar w:fldCharType="end"/>
            </w:r>
          </w:hyperlink>
        </w:p>
        <w:p w14:paraId="3F14247E" w14:textId="56619DD4" w:rsidR="00A064B0" w:rsidRDefault="0062538A">
          <w:pPr>
            <w:pStyle w:val="TOC3"/>
            <w:rPr>
              <w:rFonts w:eastAsiaTheme="minorEastAsia" w:cstheme="minorBidi"/>
            </w:rPr>
          </w:pPr>
          <w:hyperlink w:anchor="_Toc128137987" w:history="1">
            <w:r w:rsidR="00A064B0" w:rsidRPr="00BD6F71">
              <w:rPr>
                <w:rStyle w:val="Hyperlink"/>
              </w:rPr>
              <w:t>Review of Local Land Use Practices</w:t>
            </w:r>
            <w:r w:rsidR="00A064B0" w:rsidRPr="00BD6F71">
              <w:rPr>
                <w:webHidden/>
              </w:rPr>
              <w:tab/>
            </w:r>
            <w:r w:rsidR="00A064B0" w:rsidRPr="00BD6F71">
              <w:rPr>
                <w:webHidden/>
              </w:rPr>
              <w:fldChar w:fldCharType="begin"/>
            </w:r>
            <w:r w:rsidR="00A064B0" w:rsidRPr="00BD6F71">
              <w:rPr>
                <w:webHidden/>
              </w:rPr>
              <w:instrText xml:space="preserve"> PAGEREF _Toc128137987 \h </w:instrText>
            </w:r>
            <w:r w:rsidR="00A064B0" w:rsidRPr="00BD6F71">
              <w:rPr>
                <w:webHidden/>
              </w:rPr>
            </w:r>
            <w:r w:rsidR="00A064B0" w:rsidRPr="00BD6F71">
              <w:rPr>
                <w:webHidden/>
              </w:rPr>
              <w:fldChar w:fldCharType="separate"/>
            </w:r>
            <w:r w:rsidR="00A064B0" w:rsidRPr="00BD6F71">
              <w:rPr>
                <w:webHidden/>
              </w:rPr>
              <w:t>87</w:t>
            </w:r>
            <w:r w:rsidR="00A064B0" w:rsidRPr="00BD6F71">
              <w:rPr>
                <w:webHidden/>
              </w:rPr>
              <w:fldChar w:fldCharType="end"/>
            </w:r>
          </w:hyperlink>
        </w:p>
        <w:p w14:paraId="02C8D8E8" w14:textId="7B981CEC" w:rsidR="00A064B0" w:rsidRDefault="0062538A">
          <w:pPr>
            <w:pStyle w:val="TOC3"/>
            <w:rPr>
              <w:rFonts w:eastAsiaTheme="minorEastAsia" w:cstheme="minorBidi"/>
            </w:rPr>
          </w:pPr>
          <w:hyperlink w:anchor="_Toc128137988" w:history="1">
            <w:r w:rsidR="00A064B0" w:rsidRPr="00C45EA7">
              <w:rPr>
                <w:rStyle w:val="Hyperlink"/>
              </w:rPr>
              <w:t>Attitudes towards Growth</w:t>
            </w:r>
            <w:r w:rsidR="00A064B0">
              <w:rPr>
                <w:webHidden/>
              </w:rPr>
              <w:tab/>
            </w:r>
            <w:r w:rsidR="00A064B0">
              <w:rPr>
                <w:webHidden/>
              </w:rPr>
              <w:fldChar w:fldCharType="begin"/>
            </w:r>
            <w:r w:rsidR="00A064B0">
              <w:rPr>
                <w:webHidden/>
              </w:rPr>
              <w:instrText xml:space="preserve"> PAGEREF _Toc128137988 \h </w:instrText>
            </w:r>
            <w:r w:rsidR="00A064B0">
              <w:rPr>
                <w:webHidden/>
              </w:rPr>
            </w:r>
            <w:r w:rsidR="00A064B0">
              <w:rPr>
                <w:webHidden/>
              </w:rPr>
              <w:fldChar w:fldCharType="separate"/>
            </w:r>
            <w:r w:rsidR="00A064B0">
              <w:rPr>
                <w:webHidden/>
              </w:rPr>
              <w:t>89</w:t>
            </w:r>
            <w:r w:rsidR="00A064B0">
              <w:rPr>
                <w:webHidden/>
              </w:rPr>
              <w:fldChar w:fldCharType="end"/>
            </w:r>
          </w:hyperlink>
        </w:p>
        <w:p w14:paraId="6E35FBAB" w14:textId="3D043AEA" w:rsidR="00A064B0" w:rsidRDefault="0062538A">
          <w:pPr>
            <w:pStyle w:val="TOC3"/>
            <w:rPr>
              <w:rFonts w:eastAsiaTheme="minorEastAsia" w:cstheme="minorBidi"/>
            </w:rPr>
          </w:pPr>
          <w:hyperlink w:anchor="_Toc128137989" w:history="1">
            <w:r w:rsidR="00A064B0" w:rsidRPr="00C45EA7">
              <w:rPr>
                <w:rStyle w:val="Hyperlink"/>
              </w:rPr>
              <w:t>Innovative Policies &amp; Techniques</w:t>
            </w:r>
            <w:r w:rsidR="00A064B0">
              <w:rPr>
                <w:webHidden/>
              </w:rPr>
              <w:tab/>
            </w:r>
            <w:r w:rsidR="00A064B0">
              <w:rPr>
                <w:webHidden/>
              </w:rPr>
              <w:fldChar w:fldCharType="begin"/>
            </w:r>
            <w:r w:rsidR="00A064B0">
              <w:rPr>
                <w:webHidden/>
              </w:rPr>
              <w:instrText xml:space="preserve"> PAGEREF _Toc128137989 \h </w:instrText>
            </w:r>
            <w:r w:rsidR="00A064B0">
              <w:rPr>
                <w:webHidden/>
              </w:rPr>
            </w:r>
            <w:r w:rsidR="00A064B0">
              <w:rPr>
                <w:webHidden/>
              </w:rPr>
              <w:fldChar w:fldCharType="separate"/>
            </w:r>
            <w:r w:rsidR="00A064B0">
              <w:rPr>
                <w:webHidden/>
              </w:rPr>
              <w:t>91</w:t>
            </w:r>
            <w:r w:rsidR="00A064B0">
              <w:rPr>
                <w:webHidden/>
              </w:rPr>
              <w:fldChar w:fldCharType="end"/>
            </w:r>
          </w:hyperlink>
        </w:p>
        <w:p w14:paraId="2804C297" w14:textId="63E1DF88" w:rsidR="00A064B0" w:rsidRDefault="0062538A">
          <w:pPr>
            <w:pStyle w:val="TOC2"/>
            <w:rPr>
              <w:rFonts w:eastAsiaTheme="minorEastAsia" w:cstheme="minorBidi"/>
            </w:rPr>
          </w:pPr>
          <w:hyperlink w:anchor="_Toc128137990" w:history="1">
            <w:r w:rsidR="00A064B0" w:rsidRPr="00C45EA7">
              <w:rPr>
                <w:rStyle w:val="Hyperlink"/>
              </w:rPr>
              <w:t>Workforce and Employment Constraints</w:t>
            </w:r>
            <w:r w:rsidR="00A064B0">
              <w:rPr>
                <w:webHidden/>
              </w:rPr>
              <w:tab/>
            </w:r>
            <w:r w:rsidR="00A064B0">
              <w:rPr>
                <w:webHidden/>
              </w:rPr>
              <w:fldChar w:fldCharType="begin"/>
            </w:r>
            <w:r w:rsidR="00A064B0">
              <w:rPr>
                <w:webHidden/>
              </w:rPr>
              <w:instrText xml:space="preserve"> PAGEREF _Toc128137990 \h </w:instrText>
            </w:r>
            <w:r w:rsidR="00A064B0">
              <w:rPr>
                <w:webHidden/>
              </w:rPr>
            </w:r>
            <w:r w:rsidR="00A064B0">
              <w:rPr>
                <w:webHidden/>
              </w:rPr>
              <w:fldChar w:fldCharType="separate"/>
            </w:r>
            <w:r w:rsidR="00A064B0">
              <w:rPr>
                <w:webHidden/>
              </w:rPr>
              <w:t>96</w:t>
            </w:r>
            <w:r w:rsidR="00A064B0">
              <w:rPr>
                <w:webHidden/>
              </w:rPr>
              <w:fldChar w:fldCharType="end"/>
            </w:r>
          </w:hyperlink>
        </w:p>
        <w:p w14:paraId="59A9E1D0" w14:textId="7C3B8EC7" w:rsidR="00A064B0" w:rsidRDefault="0062538A">
          <w:pPr>
            <w:pStyle w:val="TOC3"/>
            <w:rPr>
              <w:rFonts w:eastAsiaTheme="minorEastAsia" w:cstheme="minorBidi"/>
            </w:rPr>
          </w:pPr>
          <w:hyperlink w:anchor="_Toc128137991" w:history="1">
            <w:r w:rsidR="00A064B0" w:rsidRPr="00C45EA7">
              <w:rPr>
                <w:rStyle w:val="Hyperlink"/>
              </w:rPr>
              <w:t>Workforce Attraction and Retention</w:t>
            </w:r>
            <w:r w:rsidR="00A064B0">
              <w:rPr>
                <w:webHidden/>
              </w:rPr>
              <w:tab/>
            </w:r>
            <w:r w:rsidR="00A064B0">
              <w:rPr>
                <w:webHidden/>
              </w:rPr>
              <w:fldChar w:fldCharType="begin"/>
            </w:r>
            <w:r w:rsidR="00A064B0">
              <w:rPr>
                <w:webHidden/>
              </w:rPr>
              <w:instrText xml:space="preserve"> PAGEREF _Toc128137991 \h </w:instrText>
            </w:r>
            <w:r w:rsidR="00A064B0">
              <w:rPr>
                <w:webHidden/>
              </w:rPr>
            </w:r>
            <w:r w:rsidR="00A064B0">
              <w:rPr>
                <w:webHidden/>
              </w:rPr>
              <w:fldChar w:fldCharType="separate"/>
            </w:r>
            <w:r w:rsidR="00A064B0">
              <w:rPr>
                <w:webHidden/>
              </w:rPr>
              <w:t>97</w:t>
            </w:r>
            <w:r w:rsidR="00A064B0">
              <w:rPr>
                <w:webHidden/>
              </w:rPr>
              <w:fldChar w:fldCharType="end"/>
            </w:r>
          </w:hyperlink>
        </w:p>
        <w:p w14:paraId="6548C2ED" w14:textId="43F88CED" w:rsidR="00A064B0" w:rsidRDefault="0062538A">
          <w:pPr>
            <w:pStyle w:val="TOC3"/>
            <w:rPr>
              <w:rFonts w:eastAsiaTheme="minorEastAsia" w:cstheme="minorBidi"/>
            </w:rPr>
          </w:pPr>
          <w:hyperlink w:anchor="_Toc128137992" w:history="1">
            <w:r w:rsidR="00A064B0" w:rsidRPr="00C45EA7">
              <w:rPr>
                <w:rStyle w:val="Hyperlink"/>
              </w:rPr>
              <w:t>Effect of job growth on housing needs</w:t>
            </w:r>
            <w:r w:rsidR="00A064B0">
              <w:rPr>
                <w:webHidden/>
              </w:rPr>
              <w:tab/>
            </w:r>
            <w:r w:rsidR="00A064B0">
              <w:rPr>
                <w:webHidden/>
              </w:rPr>
              <w:fldChar w:fldCharType="begin"/>
            </w:r>
            <w:r w:rsidR="00A064B0">
              <w:rPr>
                <w:webHidden/>
              </w:rPr>
              <w:instrText xml:space="preserve"> PAGEREF _Toc128137992 \h </w:instrText>
            </w:r>
            <w:r w:rsidR="00A064B0">
              <w:rPr>
                <w:webHidden/>
              </w:rPr>
            </w:r>
            <w:r w:rsidR="00A064B0">
              <w:rPr>
                <w:webHidden/>
              </w:rPr>
              <w:fldChar w:fldCharType="separate"/>
            </w:r>
            <w:r w:rsidR="00A064B0">
              <w:rPr>
                <w:webHidden/>
              </w:rPr>
              <w:t>97</w:t>
            </w:r>
            <w:r w:rsidR="00A064B0">
              <w:rPr>
                <w:webHidden/>
              </w:rPr>
              <w:fldChar w:fldCharType="end"/>
            </w:r>
          </w:hyperlink>
        </w:p>
        <w:p w14:paraId="336ADA30" w14:textId="75C0BC9F" w:rsidR="00A064B0" w:rsidRDefault="0062538A">
          <w:pPr>
            <w:pStyle w:val="TOC2"/>
            <w:rPr>
              <w:rFonts w:eastAsiaTheme="minorEastAsia" w:cstheme="minorBidi"/>
            </w:rPr>
          </w:pPr>
          <w:hyperlink w:anchor="_Toc128137993" w:history="1">
            <w:r w:rsidR="00A064B0" w:rsidRPr="00C45EA7">
              <w:rPr>
                <w:rStyle w:val="Hyperlink"/>
              </w:rPr>
              <w:t>Transportation and housing</w:t>
            </w:r>
            <w:r w:rsidR="00A064B0">
              <w:rPr>
                <w:webHidden/>
              </w:rPr>
              <w:tab/>
            </w:r>
            <w:r w:rsidR="00A064B0">
              <w:rPr>
                <w:webHidden/>
              </w:rPr>
              <w:fldChar w:fldCharType="begin"/>
            </w:r>
            <w:r w:rsidR="00A064B0">
              <w:rPr>
                <w:webHidden/>
              </w:rPr>
              <w:instrText xml:space="preserve"> PAGEREF _Toc128137993 \h </w:instrText>
            </w:r>
            <w:r w:rsidR="00A064B0">
              <w:rPr>
                <w:webHidden/>
              </w:rPr>
            </w:r>
            <w:r w:rsidR="00A064B0">
              <w:rPr>
                <w:webHidden/>
              </w:rPr>
              <w:fldChar w:fldCharType="separate"/>
            </w:r>
            <w:r w:rsidR="00A064B0">
              <w:rPr>
                <w:webHidden/>
              </w:rPr>
              <w:t>98</w:t>
            </w:r>
            <w:r w:rsidR="00A064B0">
              <w:rPr>
                <w:webHidden/>
              </w:rPr>
              <w:fldChar w:fldCharType="end"/>
            </w:r>
          </w:hyperlink>
        </w:p>
        <w:p w14:paraId="25411FFB" w14:textId="4B53B92A" w:rsidR="00A064B0" w:rsidRDefault="0062538A">
          <w:pPr>
            <w:pStyle w:val="TOC3"/>
            <w:rPr>
              <w:rFonts w:eastAsiaTheme="minorEastAsia" w:cstheme="minorBidi"/>
            </w:rPr>
          </w:pPr>
          <w:hyperlink w:anchor="_Toc128137994" w:history="1">
            <w:r w:rsidR="00A064B0" w:rsidRPr="00C45EA7">
              <w:rPr>
                <w:rStyle w:val="Hyperlink"/>
              </w:rPr>
              <w:t>Commuting Times</w:t>
            </w:r>
            <w:r w:rsidR="00A064B0">
              <w:rPr>
                <w:webHidden/>
              </w:rPr>
              <w:tab/>
            </w:r>
            <w:r w:rsidR="00A064B0">
              <w:rPr>
                <w:webHidden/>
              </w:rPr>
              <w:fldChar w:fldCharType="begin"/>
            </w:r>
            <w:r w:rsidR="00A064B0">
              <w:rPr>
                <w:webHidden/>
              </w:rPr>
              <w:instrText xml:space="preserve"> PAGEREF _Toc128137994 \h </w:instrText>
            </w:r>
            <w:r w:rsidR="00A064B0">
              <w:rPr>
                <w:webHidden/>
              </w:rPr>
            </w:r>
            <w:r w:rsidR="00A064B0">
              <w:rPr>
                <w:webHidden/>
              </w:rPr>
              <w:fldChar w:fldCharType="separate"/>
            </w:r>
            <w:r w:rsidR="00A064B0">
              <w:rPr>
                <w:webHidden/>
              </w:rPr>
              <w:t>100</w:t>
            </w:r>
            <w:r w:rsidR="00A064B0">
              <w:rPr>
                <w:webHidden/>
              </w:rPr>
              <w:fldChar w:fldCharType="end"/>
            </w:r>
          </w:hyperlink>
        </w:p>
        <w:p w14:paraId="4E74B108" w14:textId="0A1D3639" w:rsidR="00A064B0" w:rsidRDefault="0062538A">
          <w:pPr>
            <w:pStyle w:val="TOC3"/>
            <w:rPr>
              <w:rFonts w:eastAsiaTheme="minorEastAsia" w:cstheme="minorBidi"/>
            </w:rPr>
          </w:pPr>
          <w:hyperlink w:anchor="_Toc128137995" w:history="1">
            <w:r w:rsidR="00A064B0" w:rsidRPr="00C45EA7">
              <w:rPr>
                <w:rStyle w:val="Hyperlink"/>
              </w:rPr>
              <w:t>Availability of Bicycle/Pedestrian Infrastructure</w:t>
            </w:r>
            <w:r w:rsidR="00A064B0">
              <w:rPr>
                <w:webHidden/>
              </w:rPr>
              <w:tab/>
            </w:r>
            <w:r w:rsidR="00A064B0">
              <w:rPr>
                <w:webHidden/>
              </w:rPr>
              <w:fldChar w:fldCharType="begin"/>
            </w:r>
            <w:r w:rsidR="00A064B0">
              <w:rPr>
                <w:webHidden/>
              </w:rPr>
              <w:instrText xml:space="preserve"> PAGEREF _Toc128137995 \h </w:instrText>
            </w:r>
            <w:r w:rsidR="00A064B0">
              <w:rPr>
                <w:webHidden/>
              </w:rPr>
            </w:r>
            <w:r w:rsidR="00A064B0">
              <w:rPr>
                <w:webHidden/>
              </w:rPr>
              <w:fldChar w:fldCharType="separate"/>
            </w:r>
            <w:r w:rsidR="00A064B0">
              <w:rPr>
                <w:webHidden/>
              </w:rPr>
              <w:t>101</w:t>
            </w:r>
            <w:r w:rsidR="00A064B0">
              <w:rPr>
                <w:webHidden/>
              </w:rPr>
              <w:fldChar w:fldCharType="end"/>
            </w:r>
          </w:hyperlink>
        </w:p>
        <w:p w14:paraId="6DB8595E" w14:textId="54A91D51" w:rsidR="00A064B0" w:rsidRDefault="0062538A">
          <w:pPr>
            <w:pStyle w:val="TOC2"/>
            <w:rPr>
              <w:rFonts w:eastAsiaTheme="minorEastAsia" w:cstheme="minorBidi"/>
            </w:rPr>
          </w:pPr>
          <w:hyperlink w:anchor="_Toc128137996" w:history="1">
            <w:r w:rsidR="00A064B0" w:rsidRPr="00C45EA7">
              <w:rPr>
                <w:rStyle w:val="Hyperlink"/>
              </w:rPr>
              <w:t>Water and Sewer</w:t>
            </w:r>
            <w:r w:rsidR="00A064B0">
              <w:rPr>
                <w:webHidden/>
              </w:rPr>
              <w:tab/>
            </w:r>
            <w:r w:rsidR="00A064B0">
              <w:rPr>
                <w:webHidden/>
              </w:rPr>
              <w:fldChar w:fldCharType="begin"/>
            </w:r>
            <w:r w:rsidR="00A064B0">
              <w:rPr>
                <w:webHidden/>
              </w:rPr>
              <w:instrText xml:space="preserve"> PAGEREF _Toc128137996 \h </w:instrText>
            </w:r>
            <w:r w:rsidR="00A064B0">
              <w:rPr>
                <w:webHidden/>
              </w:rPr>
            </w:r>
            <w:r w:rsidR="00A064B0">
              <w:rPr>
                <w:webHidden/>
              </w:rPr>
              <w:fldChar w:fldCharType="separate"/>
            </w:r>
            <w:r w:rsidR="00A064B0">
              <w:rPr>
                <w:webHidden/>
              </w:rPr>
              <w:t>105</w:t>
            </w:r>
            <w:r w:rsidR="00A064B0">
              <w:rPr>
                <w:webHidden/>
              </w:rPr>
              <w:fldChar w:fldCharType="end"/>
            </w:r>
          </w:hyperlink>
        </w:p>
        <w:p w14:paraId="544966B4" w14:textId="663C8E1C" w:rsidR="00A064B0" w:rsidRDefault="0062538A">
          <w:pPr>
            <w:pStyle w:val="TOC3"/>
            <w:rPr>
              <w:rFonts w:eastAsiaTheme="minorEastAsia" w:cstheme="minorBidi"/>
            </w:rPr>
          </w:pPr>
          <w:hyperlink w:anchor="_Toc128137997" w:history="1">
            <w:r w:rsidR="00A064B0" w:rsidRPr="00C45EA7">
              <w:rPr>
                <w:rStyle w:val="Hyperlink"/>
              </w:rPr>
              <w:t>Service Coverage</w:t>
            </w:r>
            <w:r w:rsidR="00A064B0">
              <w:rPr>
                <w:webHidden/>
              </w:rPr>
              <w:tab/>
            </w:r>
            <w:r w:rsidR="00A064B0">
              <w:rPr>
                <w:webHidden/>
              </w:rPr>
              <w:fldChar w:fldCharType="begin"/>
            </w:r>
            <w:r w:rsidR="00A064B0">
              <w:rPr>
                <w:webHidden/>
              </w:rPr>
              <w:instrText xml:space="preserve"> PAGEREF _Toc128137997 \h </w:instrText>
            </w:r>
            <w:r w:rsidR="00A064B0">
              <w:rPr>
                <w:webHidden/>
              </w:rPr>
            </w:r>
            <w:r w:rsidR="00A064B0">
              <w:rPr>
                <w:webHidden/>
              </w:rPr>
              <w:fldChar w:fldCharType="separate"/>
            </w:r>
            <w:r w:rsidR="00A064B0">
              <w:rPr>
                <w:webHidden/>
              </w:rPr>
              <w:t>107</w:t>
            </w:r>
            <w:r w:rsidR="00A064B0">
              <w:rPr>
                <w:webHidden/>
              </w:rPr>
              <w:fldChar w:fldCharType="end"/>
            </w:r>
          </w:hyperlink>
        </w:p>
        <w:p w14:paraId="1EF5F576" w14:textId="2ADE2347" w:rsidR="00A064B0" w:rsidRDefault="0062538A">
          <w:pPr>
            <w:pStyle w:val="TOC2"/>
            <w:rPr>
              <w:rFonts w:eastAsiaTheme="minorEastAsia" w:cstheme="minorBidi"/>
            </w:rPr>
          </w:pPr>
          <w:hyperlink w:anchor="_Toc128137998" w:history="1">
            <w:r w:rsidR="00A064B0" w:rsidRPr="00C45EA7">
              <w:rPr>
                <w:rStyle w:val="Hyperlink"/>
              </w:rPr>
              <w:t>Broadband</w:t>
            </w:r>
            <w:r w:rsidR="00A064B0">
              <w:rPr>
                <w:webHidden/>
              </w:rPr>
              <w:tab/>
            </w:r>
            <w:r w:rsidR="00A064B0">
              <w:rPr>
                <w:webHidden/>
              </w:rPr>
              <w:fldChar w:fldCharType="begin"/>
            </w:r>
            <w:r w:rsidR="00A064B0">
              <w:rPr>
                <w:webHidden/>
              </w:rPr>
              <w:instrText xml:space="preserve"> PAGEREF _Toc128137998 \h </w:instrText>
            </w:r>
            <w:r w:rsidR="00A064B0">
              <w:rPr>
                <w:webHidden/>
              </w:rPr>
            </w:r>
            <w:r w:rsidR="00A064B0">
              <w:rPr>
                <w:webHidden/>
              </w:rPr>
              <w:fldChar w:fldCharType="separate"/>
            </w:r>
            <w:r w:rsidR="00A064B0">
              <w:rPr>
                <w:webHidden/>
              </w:rPr>
              <w:t>107</w:t>
            </w:r>
            <w:r w:rsidR="00A064B0">
              <w:rPr>
                <w:webHidden/>
              </w:rPr>
              <w:fldChar w:fldCharType="end"/>
            </w:r>
          </w:hyperlink>
        </w:p>
        <w:p w14:paraId="5CD68330" w14:textId="76133441" w:rsidR="00A064B0" w:rsidRDefault="0062538A">
          <w:pPr>
            <w:pStyle w:val="TOC3"/>
            <w:rPr>
              <w:rFonts w:eastAsiaTheme="minorEastAsia" w:cstheme="minorBidi"/>
            </w:rPr>
          </w:pPr>
          <w:hyperlink w:anchor="_Toc128137999" w:history="1">
            <w:r w:rsidR="00A064B0" w:rsidRPr="00C45EA7">
              <w:rPr>
                <w:rStyle w:val="Hyperlink"/>
              </w:rPr>
              <w:t>Overview:</w:t>
            </w:r>
            <w:r w:rsidR="00A064B0">
              <w:rPr>
                <w:webHidden/>
              </w:rPr>
              <w:tab/>
            </w:r>
            <w:r w:rsidR="00A064B0">
              <w:rPr>
                <w:webHidden/>
              </w:rPr>
              <w:fldChar w:fldCharType="begin"/>
            </w:r>
            <w:r w:rsidR="00A064B0">
              <w:rPr>
                <w:webHidden/>
              </w:rPr>
              <w:instrText xml:space="preserve"> PAGEREF _Toc128137999 \h </w:instrText>
            </w:r>
            <w:r w:rsidR="00A064B0">
              <w:rPr>
                <w:webHidden/>
              </w:rPr>
            </w:r>
            <w:r w:rsidR="00A064B0">
              <w:rPr>
                <w:webHidden/>
              </w:rPr>
              <w:fldChar w:fldCharType="separate"/>
            </w:r>
            <w:r w:rsidR="00A064B0">
              <w:rPr>
                <w:webHidden/>
              </w:rPr>
              <w:t>107</w:t>
            </w:r>
            <w:r w:rsidR="00A064B0">
              <w:rPr>
                <w:webHidden/>
              </w:rPr>
              <w:fldChar w:fldCharType="end"/>
            </w:r>
          </w:hyperlink>
        </w:p>
        <w:p w14:paraId="2C73A1AE" w14:textId="6B9E6CDA" w:rsidR="00A064B0" w:rsidRDefault="0062538A">
          <w:pPr>
            <w:pStyle w:val="TOC2"/>
            <w:rPr>
              <w:rFonts w:eastAsiaTheme="minorEastAsia" w:cstheme="minorBidi"/>
            </w:rPr>
          </w:pPr>
          <w:hyperlink w:anchor="_Toc128138000" w:history="1">
            <w:r w:rsidR="00A064B0" w:rsidRPr="00C45EA7">
              <w:rPr>
                <w:rStyle w:val="Hyperlink"/>
              </w:rPr>
              <w:t>Underserved Communities</w:t>
            </w:r>
            <w:r w:rsidR="00A064B0">
              <w:rPr>
                <w:webHidden/>
              </w:rPr>
              <w:tab/>
            </w:r>
            <w:r w:rsidR="00A064B0">
              <w:rPr>
                <w:webHidden/>
              </w:rPr>
              <w:fldChar w:fldCharType="begin"/>
            </w:r>
            <w:r w:rsidR="00A064B0">
              <w:rPr>
                <w:webHidden/>
              </w:rPr>
              <w:instrText xml:space="preserve"> PAGEREF _Toc128138000 \h </w:instrText>
            </w:r>
            <w:r w:rsidR="00A064B0">
              <w:rPr>
                <w:webHidden/>
              </w:rPr>
            </w:r>
            <w:r w:rsidR="00A064B0">
              <w:rPr>
                <w:webHidden/>
              </w:rPr>
              <w:fldChar w:fldCharType="separate"/>
            </w:r>
            <w:r w:rsidR="00A064B0">
              <w:rPr>
                <w:webHidden/>
              </w:rPr>
              <w:t>107</w:t>
            </w:r>
            <w:r w:rsidR="00A064B0">
              <w:rPr>
                <w:webHidden/>
              </w:rPr>
              <w:fldChar w:fldCharType="end"/>
            </w:r>
          </w:hyperlink>
        </w:p>
        <w:p w14:paraId="6B0E507F" w14:textId="1EB04E01" w:rsidR="00A064B0" w:rsidRDefault="0062538A">
          <w:pPr>
            <w:pStyle w:val="TOC2"/>
            <w:rPr>
              <w:rFonts w:eastAsiaTheme="minorEastAsia" w:cstheme="minorBidi"/>
            </w:rPr>
          </w:pPr>
          <w:hyperlink w:anchor="_Toc128138001" w:history="1">
            <w:r w:rsidR="00A064B0" w:rsidRPr="00C45EA7">
              <w:rPr>
                <w:rStyle w:val="Hyperlink"/>
              </w:rPr>
              <w:t>Community Development</w:t>
            </w:r>
            <w:r w:rsidR="00A064B0">
              <w:rPr>
                <w:webHidden/>
              </w:rPr>
              <w:tab/>
            </w:r>
            <w:r w:rsidR="00A064B0">
              <w:rPr>
                <w:webHidden/>
              </w:rPr>
              <w:fldChar w:fldCharType="begin"/>
            </w:r>
            <w:r w:rsidR="00A064B0">
              <w:rPr>
                <w:webHidden/>
              </w:rPr>
              <w:instrText xml:space="preserve"> PAGEREF _Toc128138001 \h </w:instrText>
            </w:r>
            <w:r w:rsidR="00A064B0">
              <w:rPr>
                <w:webHidden/>
              </w:rPr>
            </w:r>
            <w:r w:rsidR="00A064B0">
              <w:rPr>
                <w:webHidden/>
              </w:rPr>
              <w:fldChar w:fldCharType="separate"/>
            </w:r>
            <w:r w:rsidR="00A064B0">
              <w:rPr>
                <w:webHidden/>
              </w:rPr>
              <w:t>108</w:t>
            </w:r>
            <w:r w:rsidR="00A064B0">
              <w:rPr>
                <w:webHidden/>
              </w:rPr>
              <w:fldChar w:fldCharType="end"/>
            </w:r>
          </w:hyperlink>
        </w:p>
        <w:p w14:paraId="1F33127F" w14:textId="114E579B" w:rsidR="00A064B0" w:rsidRDefault="0062538A">
          <w:pPr>
            <w:pStyle w:val="TOC2"/>
            <w:rPr>
              <w:rFonts w:eastAsiaTheme="minorEastAsia" w:cstheme="minorBidi"/>
            </w:rPr>
          </w:pPr>
          <w:hyperlink w:anchor="_Toc128138002" w:history="1">
            <w:r w:rsidR="00A064B0" w:rsidRPr="00C45EA7">
              <w:rPr>
                <w:rStyle w:val="Hyperlink"/>
              </w:rPr>
              <w:t>Childcare</w:t>
            </w:r>
            <w:r w:rsidR="00A064B0">
              <w:rPr>
                <w:webHidden/>
              </w:rPr>
              <w:tab/>
            </w:r>
            <w:r w:rsidR="00A064B0">
              <w:rPr>
                <w:webHidden/>
              </w:rPr>
              <w:fldChar w:fldCharType="begin"/>
            </w:r>
            <w:r w:rsidR="00A064B0">
              <w:rPr>
                <w:webHidden/>
              </w:rPr>
              <w:instrText xml:space="preserve"> PAGEREF _Toc128138002 \h </w:instrText>
            </w:r>
            <w:r w:rsidR="00A064B0">
              <w:rPr>
                <w:webHidden/>
              </w:rPr>
            </w:r>
            <w:r w:rsidR="00A064B0">
              <w:rPr>
                <w:webHidden/>
              </w:rPr>
              <w:fldChar w:fldCharType="separate"/>
            </w:r>
            <w:r w:rsidR="00A064B0">
              <w:rPr>
                <w:webHidden/>
              </w:rPr>
              <w:t>109</w:t>
            </w:r>
            <w:r w:rsidR="00A064B0">
              <w:rPr>
                <w:webHidden/>
              </w:rPr>
              <w:fldChar w:fldCharType="end"/>
            </w:r>
          </w:hyperlink>
        </w:p>
        <w:p w14:paraId="05595D72" w14:textId="17C7622D" w:rsidR="00A064B0" w:rsidRDefault="0062538A">
          <w:pPr>
            <w:pStyle w:val="TOC2"/>
            <w:rPr>
              <w:rFonts w:eastAsiaTheme="minorEastAsia" w:cstheme="minorBidi"/>
            </w:rPr>
          </w:pPr>
          <w:hyperlink w:anchor="_Toc128138003" w:history="1">
            <w:r w:rsidR="00A064B0" w:rsidRPr="00C45EA7">
              <w:rPr>
                <w:rStyle w:val="Hyperlink"/>
              </w:rPr>
              <w:t>Food Access</w:t>
            </w:r>
            <w:r w:rsidR="00A064B0">
              <w:rPr>
                <w:webHidden/>
              </w:rPr>
              <w:tab/>
            </w:r>
            <w:r w:rsidR="00A064B0">
              <w:rPr>
                <w:webHidden/>
              </w:rPr>
              <w:fldChar w:fldCharType="begin"/>
            </w:r>
            <w:r w:rsidR="00A064B0">
              <w:rPr>
                <w:webHidden/>
              </w:rPr>
              <w:instrText xml:space="preserve"> PAGEREF _Toc128138003 \h </w:instrText>
            </w:r>
            <w:r w:rsidR="00A064B0">
              <w:rPr>
                <w:webHidden/>
              </w:rPr>
            </w:r>
            <w:r w:rsidR="00A064B0">
              <w:rPr>
                <w:webHidden/>
              </w:rPr>
              <w:fldChar w:fldCharType="separate"/>
            </w:r>
            <w:r w:rsidR="00A064B0">
              <w:rPr>
                <w:webHidden/>
              </w:rPr>
              <w:t>109</w:t>
            </w:r>
            <w:r w:rsidR="00A064B0">
              <w:rPr>
                <w:webHidden/>
              </w:rPr>
              <w:fldChar w:fldCharType="end"/>
            </w:r>
          </w:hyperlink>
        </w:p>
        <w:p w14:paraId="50628095" w14:textId="79D27BEB" w:rsidR="00A064B0" w:rsidRDefault="0062538A">
          <w:pPr>
            <w:pStyle w:val="TOC2"/>
            <w:rPr>
              <w:rFonts w:eastAsiaTheme="minorEastAsia" w:cstheme="minorBidi"/>
            </w:rPr>
          </w:pPr>
          <w:hyperlink w:anchor="_Toc128138004" w:history="1">
            <w:r w:rsidR="00A064B0" w:rsidRPr="00C45EA7">
              <w:rPr>
                <w:rStyle w:val="Hyperlink"/>
              </w:rPr>
              <w:t>Parks and other Civic Resources</w:t>
            </w:r>
            <w:r w:rsidR="00A064B0">
              <w:rPr>
                <w:webHidden/>
              </w:rPr>
              <w:tab/>
            </w:r>
            <w:r w:rsidR="00A064B0">
              <w:rPr>
                <w:webHidden/>
              </w:rPr>
              <w:fldChar w:fldCharType="begin"/>
            </w:r>
            <w:r w:rsidR="00A064B0">
              <w:rPr>
                <w:webHidden/>
              </w:rPr>
              <w:instrText xml:space="preserve"> PAGEREF _Toc128138004 \h </w:instrText>
            </w:r>
            <w:r w:rsidR="00A064B0">
              <w:rPr>
                <w:webHidden/>
              </w:rPr>
            </w:r>
            <w:r w:rsidR="00A064B0">
              <w:rPr>
                <w:webHidden/>
              </w:rPr>
              <w:fldChar w:fldCharType="separate"/>
            </w:r>
            <w:r w:rsidR="00A064B0">
              <w:rPr>
                <w:webHidden/>
              </w:rPr>
              <w:t>110</w:t>
            </w:r>
            <w:r w:rsidR="00A064B0">
              <w:rPr>
                <w:webHidden/>
              </w:rPr>
              <w:fldChar w:fldCharType="end"/>
            </w:r>
          </w:hyperlink>
        </w:p>
        <w:p w14:paraId="6DEBA75F" w14:textId="5F2D951F" w:rsidR="00A064B0" w:rsidRDefault="0062538A">
          <w:pPr>
            <w:pStyle w:val="TOC2"/>
            <w:rPr>
              <w:rFonts w:eastAsiaTheme="minorEastAsia" w:cstheme="minorBidi"/>
            </w:rPr>
          </w:pPr>
          <w:hyperlink w:anchor="_Toc128138005" w:history="1">
            <w:r w:rsidR="00A064B0" w:rsidRPr="00C45EA7">
              <w:rPr>
                <w:rStyle w:val="Hyperlink"/>
              </w:rPr>
              <w:t>Housing related Health issues</w:t>
            </w:r>
            <w:r w:rsidR="00A064B0">
              <w:rPr>
                <w:webHidden/>
              </w:rPr>
              <w:tab/>
            </w:r>
            <w:r w:rsidR="00A064B0">
              <w:rPr>
                <w:webHidden/>
              </w:rPr>
              <w:fldChar w:fldCharType="begin"/>
            </w:r>
            <w:r w:rsidR="00A064B0">
              <w:rPr>
                <w:webHidden/>
              </w:rPr>
              <w:instrText xml:space="preserve"> PAGEREF _Toc128138005 \h </w:instrText>
            </w:r>
            <w:r w:rsidR="00A064B0">
              <w:rPr>
                <w:webHidden/>
              </w:rPr>
            </w:r>
            <w:r w:rsidR="00A064B0">
              <w:rPr>
                <w:webHidden/>
              </w:rPr>
              <w:fldChar w:fldCharType="separate"/>
            </w:r>
            <w:r w:rsidR="00A064B0">
              <w:rPr>
                <w:webHidden/>
              </w:rPr>
              <w:t>111</w:t>
            </w:r>
            <w:r w:rsidR="00A064B0">
              <w:rPr>
                <w:webHidden/>
              </w:rPr>
              <w:fldChar w:fldCharType="end"/>
            </w:r>
          </w:hyperlink>
        </w:p>
        <w:p w14:paraId="0480E026" w14:textId="04EA8154" w:rsidR="00A064B0" w:rsidRDefault="0062538A">
          <w:pPr>
            <w:pStyle w:val="TOC2"/>
            <w:rPr>
              <w:rFonts w:eastAsiaTheme="minorEastAsia" w:cstheme="minorBidi"/>
            </w:rPr>
          </w:pPr>
          <w:hyperlink w:anchor="_Toc128138006" w:history="1">
            <w:r w:rsidR="00A064B0" w:rsidRPr="00C45EA7">
              <w:rPr>
                <w:rStyle w:val="Hyperlink"/>
              </w:rPr>
              <w:t>Fair Housing Approaches</w:t>
            </w:r>
            <w:r w:rsidR="00A064B0">
              <w:rPr>
                <w:webHidden/>
              </w:rPr>
              <w:tab/>
            </w:r>
            <w:r w:rsidR="00A064B0">
              <w:rPr>
                <w:webHidden/>
              </w:rPr>
              <w:fldChar w:fldCharType="begin"/>
            </w:r>
            <w:r w:rsidR="00A064B0">
              <w:rPr>
                <w:webHidden/>
              </w:rPr>
              <w:instrText xml:space="preserve"> PAGEREF _Toc128138006 \h </w:instrText>
            </w:r>
            <w:r w:rsidR="00A064B0">
              <w:rPr>
                <w:webHidden/>
              </w:rPr>
            </w:r>
            <w:r w:rsidR="00A064B0">
              <w:rPr>
                <w:webHidden/>
              </w:rPr>
              <w:fldChar w:fldCharType="separate"/>
            </w:r>
            <w:r w:rsidR="00A064B0">
              <w:rPr>
                <w:webHidden/>
              </w:rPr>
              <w:t>111</w:t>
            </w:r>
            <w:r w:rsidR="00A064B0">
              <w:rPr>
                <w:webHidden/>
              </w:rPr>
              <w:fldChar w:fldCharType="end"/>
            </w:r>
          </w:hyperlink>
        </w:p>
        <w:p w14:paraId="5F23D65D" w14:textId="444F704A" w:rsidR="00A064B0" w:rsidRDefault="0062538A">
          <w:pPr>
            <w:pStyle w:val="TOC3"/>
            <w:rPr>
              <w:rFonts w:eastAsiaTheme="minorEastAsia" w:cstheme="minorBidi"/>
            </w:rPr>
          </w:pPr>
          <w:hyperlink w:anchor="_Toc128138007" w:history="1">
            <w:r w:rsidR="00A064B0" w:rsidRPr="00C45EA7">
              <w:rPr>
                <w:rStyle w:val="Hyperlink"/>
              </w:rPr>
              <w:t>History of Fair Housing</w:t>
            </w:r>
            <w:r w:rsidR="00A064B0">
              <w:rPr>
                <w:webHidden/>
              </w:rPr>
              <w:tab/>
            </w:r>
            <w:r w:rsidR="00A064B0">
              <w:rPr>
                <w:webHidden/>
              </w:rPr>
              <w:fldChar w:fldCharType="begin"/>
            </w:r>
            <w:r w:rsidR="00A064B0">
              <w:rPr>
                <w:webHidden/>
              </w:rPr>
              <w:instrText xml:space="preserve"> PAGEREF _Toc128138007 \h </w:instrText>
            </w:r>
            <w:r w:rsidR="00A064B0">
              <w:rPr>
                <w:webHidden/>
              </w:rPr>
            </w:r>
            <w:r w:rsidR="00A064B0">
              <w:rPr>
                <w:webHidden/>
              </w:rPr>
              <w:fldChar w:fldCharType="separate"/>
            </w:r>
            <w:r w:rsidR="00A064B0">
              <w:rPr>
                <w:webHidden/>
              </w:rPr>
              <w:t>112</w:t>
            </w:r>
            <w:r w:rsidR="00A064B0">
              <w:rPr>
                <w:webHidden/>
              </w:rPr>
              <w:fldChar w:fldCharType="end"/>
            </w:r>
          </w:hyperlink>
        </w:p>
        <w:p w14:paraId="7CE38F57" w14:textId="656EF601" w:rsidR="00A064B0" w:rsidRDefault="0062538A">
          <w:pPr>
            <w:pStyle w:val="TOC3"/>
            <w:rPr>
              <w:rFonts w:eastAsiaTheme="minorEastAsia" w:cstheme="minorBidi"/>
            </w:rPr>
          </w:pPr>
          <w:hyperlink w:anchor="_Toc128138008" w:history="1">
            <w:r w:rsidR="00A064B0" w:rsidRPr="00C45EA7">
              <w:rPr>
                <w:rStyle w:val="Hyperlink"/>
              </w:rPr>
              <w:t>Disparate Impacts and Discrimination</w:t>
            </w:r>
            <w:r w:rsidR="00A064B0">
              <w:rPr>
                <w:webHidden/>
              </w:rPr>
              <w:tab/>
            </w:r>
            <w:r w:rsidR="00A064B0">
              <w:rPr>
                <w:webHidden/>
              </w:rPr>
              <w:fldChar w:fldCharType="begin"/>
            </w:r>
            <w:r w:rsidR="00A064B0">
              <w:rPr>
                <w:webHidden/>
              </w:rPr>
              <w:instrText xml:space="preserve"> PAGEREF _Toc128138008 \h </w:instrText>
            </w:r>
            <w:r w:rsidR="00A064B0">
              <w:rPr>
                <w:webHidden/>
              </w:rPr>
            </w:r>
            <w:r w:rsidR="00A064B0">
              <w:rPr>
                <w:webHidden/>
              </w:rPr>
              <w:fldChar w:fldCharType="separate"/>
            </w:r>
            <w:r w:rsidR="00A064B0">
              <w:rPr>
                <w:webHidden/>
              </w:rPr>
              <w:t>112</w:t>
            </w:r>
            <w:r w:rsidR="00A064B0">
              <w:rPr>
                <w:webHidden/>
              </w:rPr>
              <w:fldChar w:fldCharType="end"/>
            </w:r>
          </w:hyperlink>
        </w:p>
        <w:p w14:paraId="40FEE97A" w14:textId="74BCF91E" w:rsidR="00A064B0" w:rsidRDefault="0062538A">
          <w:pPr>
            <w:pStyle w:val="TOC3"/>
            <w:rPr>
              <w:rFonts w:eastAsiaTheme="minorEastAsia" w:cstheme="minorBidi"/>
            </w:rPr>
          </w:pPr>
          <w:hyperlink w:anchor="_Toc128138009" w:history="1">
            <w:r w:rsidR="00A064B0" w:rsidRPr="00C45EA7">
              <w:rPr>
                <w:rStyle w:val="Hyperlink"/>
              </w:rPr>
              <w:t>Initiatives to respond to unfair housing</w:t>
            </w:r>
            <w:r w:rsidR="00A064B0">
              <w:rPr>
                <w:webHidden/>
              </w:rPr>
              <w:tab/>
            </w:r>
            <w:r w:rsidR="00A064B0">
              <w:rPr>
                <w:webHidden/>
              </w:rPr>
              <w:fldChar w:fldCharType="begin"/>
            </w:r>
            <w:r w:rsidR="00A064B0">
              <w:rPr>
                <w:webHidden/>
              </w:rPr>
              <w:instrText xml:space="preserve"> PAGEREF _Toc128138009 \h </w:instrText>
            </w:r>
            <w:r w:rsidR="00A064B0">
              <w:rPr>
                <w:webHidden/>
              </w:rPr>
            </w:r>
            <w:r w:rsidR="00A064B0">
              <w:rPr>
                <w:webHidden/>
              </w:rPr>
              <w:fldChar w:fldCharType="separate"/>
            </w:r>
            <w:r w:rsidR="00A064B0">
              <w:rPr>
                <w:webHidden/>
              </w:rPr>
              <w:t>114</w:t>
            </w:r>
            <w:r w:rsidR="00A064B0">
              <w:rPr>
                <w:webHidden/>
              </w:rPr>
              <w:fldChar w:fldCharType="end"/>
            </w:r>
          </w:hyperlink>
        </w:p>
        <w:p w14:paraId="0E4FC451" w14:textId="74F14279" w:rsidR="00A064B0" w:rsidRDefault="0062538A">
          <w:pPr>
            <w:pStyle w:val="TOC2"/>
            <w:rPr>
              <w:rFonts w:eastAsiaTheme="minorEastAsia" w:cstheme="minorBidi"/>
            </w:rPr>
          </w:pPr>
          <w:hyperlink w:anchor="_Toc128138010" w:history="1">
            <w:r w:rsidR="00A064B0" w:rsidRPr="00C45EA7">
              <w:rPr>
                <w:rStyle w:val="Hyperlink"/>
              </w:rPr>
              <w:t>Access to Opportunities</w:t>
            </w:r>
            <w:r w:rsidR="00A064B0">
              <w:rPr>
                <w:webHidden/>
              </w:rPr>
              <w:tab/>
            </w:r>
            <w:r w:rsidR="00A064B0">
              <w:rPr>
                <w:webHidden/>
              </w:rPr>
              <w:fldChar w:fldCharType="begin"/>
            </w:r>
            <w:r w:rsidR="00A064B0">
              <w:rPr>
                <w:webHidden/>
              </w:rPr>
              <w:instrText xml:space="preserve"> PAGEREF _Toc128138010 \h </w:instrText>
            </w:r>
            <w:r w:rsidR="00A064B0">
              <w:rPr>
                <w:webHidden/>
              </w:rPr>
            </w:r>
            <w:r w:rsidR="00A064B0">
              <w:rPr>
                <w:webHidden/>
              </w:rPr>
              <w:fldChar w:fldCharType="separate"/>
            </w:r>
            <w:r w:rsidR="00A064B0">
              <w:rPr>
                <w:webHidden/>
              </w:rPr>
              <w:t>115</w:t>
            </w:r>
            <w:r w:rsidR="00A064B0">
              <w:rPr>
                <w:webHidden/>
              </w:rPr>
              <w:fldChar w:fldCharType="end"/>
            </w:r>
          </w:hyperlink>
        </w:p>
        <w:p w14:paraId="252B067C" w14:textId="42DCE53E" w:rsidR="00A064B0" w:rsidRDefault="0062538A">
          <w:pPr>
            <w:pStyle w:val="TOC3"/>
            <w:rPr>
              <w:rFonts w:eastAsiaTheme="minorEastAsia" w:cstheme="minorBidi"/>
            </w:rPr>
          </w:pPr>
          <w:hyperlink w:anchor="_Toc128138011" w:history="1">
            <w:r w:rsidR="00A064B0" w:rsidRPr="00C45EA7">
              <w:rPr>
                <w:rStyle w:val="Hyperlink"/>
              </w:rPr>
              <w:t>Areas of High Opportunity</w:t>
            </w:r>
            <w:r w:rsidR="00A064B0">
              <w:rPr>
                <w:webHidden/>
              </w:rPr>
              <w:tab/>
            </w:r>
            <w:r w:rsidR="00A064B0">
              <w:rPr>
                <w:webHidden/>
              </w:rPr>
              <w:fldChar w:fldCharType="begin"/>
            </w:r>
            <w:r w:rsidR="00A064B0">
              <w:rPr>
                <w:webHidden/>
              </w:rPr>
              <w:instrText xml:space="preserve"> PAGEREF _Toc128138011 \h </w:instrText>
            </w:r>
            <w:r w:rsidR="00A064B0">
              <w:rPr>
                <w:webHidden/>
              </w:rPr>
            </w:r>
            <w:r w:rsidR="00A064B0">
              <w:rPr>
                <w:webHidden/>
              </w:rPr>
              <w:fldChar w:fldCharType="separate"/>
            </w:r>
            <w:r w:rsidR="00A064B0">
              <w:rPr>
                <w:webHidden/>
              </w:rPr>
              <w:t>115</w:t>
            </w:r>
            <w:r w:rsidR="00A064B0">
              <w:rPr>
                <w:webHidden/>
              </w:rPr>
              <w:fldChar w:fldCharType="end"/>
            </w:r>
          </w:hyperlink>
        </w:p>
        <w:p w14:paraId="7EA47937" w14:textId="2106636E" w:rsidR="00A064B0" w:rsidRDefault="0062538A">
          <w:pPr>
            <w:pStyle w:val="TOC3"/>
            <w:rPr>
              <w:rFonts w:eastAsiaTheme="minorEastAsia" w:cstheme="minorBidi"/>
            </w:rPr>
          </w:pPr>
          <w:hyperlink w:anchor="_Toc128138012" w:history="1">
            <w:r w:rsidR="00A064B0" w:rsidRPr="00C45EA7">
              <w:rPr>
                <w:rStyle w:val="Hyperlink"/>
              </w:rPr>
              <w:t>Identifying Opportunity Areas</w:t>
            </w:r>
            <w:r w:rsidR="00A064B0">
              <w:rPr>
                <w:webHidden/>
              </w:rPr>
              <w:tab/>
            </w:r>
            <w:r w:rsidR="00A064B0">
              <w:rPr>
                <w:webHidden/>
              </w:rPr>
              <w:fldChar w:fldCharType="begin"/>
            </w:r>
            <w:r w:rsidR="00A064B0">
              <w:rPr>
                <w:webHidden/>
              </w:rPr>
              <w:instrText xml:space="preserve"> PAGEREF _Toc128138012 \h </w:instrText>
            </w:r>
            <w:r w:rsidR="00A064B0">
              <w:rPr>
                <w:webHidden/>
              </w:rPr>
            </w:r>
            <w:r w:rsidR="00A064B0">
              <w:rPr>
                <w:webHidden/>
              </w:rPr>
              <w:fldChar w:fldCharType="separate"/>
            </w:r>
            <w:r w:rsidR="00A064B0">
              <w:rPr>
                <w:webHidden/>
              </w:rPr>
              <w:t>116</w:t>
            </w:r>
            <w:r w:rsidR="00A064B0">
              <w:rPr>
                <w:webHidden/>
              </w:rPr>
              <w:fldChar w:fldCharType="end"/>
            </w:r>
          </w:hyperlink>
        </w:p>
        <w:p w14:paraId="06CB3FB3" w14:textId="3FF21370" w:rsidR="00A064B0" w:rsidRDefault="0062538A">
          <w:pPr>
            <w:pStyle w:val="TOC3"/>
            <w:rPr>
              <w:rFonts w:eastAsiaTheme="minorEastAsia" w:cstheme="minorBidi"/>
            </w:rPr>
          </w:pPr>
          <w:hyperlink w:anchor="_Toc128138013" w:history="1">
            <w:r w:rsidR="00A064B0" w:rsidRPr="00C45EA7">
              <w:rPr>
                <w:rStyle w:val="Hyperlink"/>
              </w:rPr>
              <w:t>Framing approaches to access</w:t>
            </w:r>
            <w:r w:rsidR="00A064B0">
              <w:rPr>
                <w:webHidden/>
              </w:rPr>
              <w:tab/>
            </w:r>
            <w:r w:rsidR="00A064B0">
              <w:rPr>
                <w:webHidden/>
              </w:rPr>
              <w:fldChar w:fldCharType="begin"/>
            </w:r>
            <w:r w:rsidR="00A064B0">
              <w:rPr>
                <w:webHidden/>
              </w:rPr>
              <w:instrText xml:space="preserve"> PAGEREF _Toc128138013 \h </w:instrText>
            </w:r>
            <w:r w:rsidR="00A064B0">
              <w:rPr>
                <w:webHidden/>
              </w:rPr>
            </w:r>
            <w:r w:rsidR="00A064B0">
              <w:rPr>
                <w:webHidden/>
              </w:rPr>
              <w:fldChar w:fldCharType="separate"/>
            </w:r>
            <w:r w:rsidR="00A064B0">
              <w:rPr>
                <w:webHidden/>
              </w:rPr>
              <w:t>117</w:t>
            </w:r>
            <w:r w:rsidR="00A064B0">
              <w:rPr>
                <w:webHidden/>
              </w:rPr>
              <w:fldChar w:fldCharType="end"/>
            </w:r>
          </w:hyperlink>
        </w:p>
        <w:p w14:paraId="3E576E4D" w14:textId="4B2D40DD" w:rsidR="00A064B0" w:rsidRDefault="0062538A">
          <w:pPr>
            <w:pStyle w:val="TOC1"/>
            <w:rPr>
              <w:rFonts w:eastAsiaTheme="minorEastAsia" w:cstheme="minorBidi"/>
              <w:b w:val="0"/>
              <w:caps w:val="0"/>
              <w:color w:val="auto"/>
            </w:rPr>
          </w:pPr>
          <w:hyperlink w:anchor="_Toc128138014" w:history="1">
            <w:r w:rsidR="00A064B0" w:rsidRPr="00C45EA7">
              <w:rPr>
                <w:rStyle w:val="Hyperlink"/>
              </w:rPr>
              <w:t>Section VII – Housing Toolkit</w:t>
            </w:r>
            <w:r w:rsidR="00A064B0">
              <w:rPr>
                <w:webHidden/>
              </w:rPr>
              <w:tab/>
            </w:r>
            <w:r w:rsidR="00A064B0">
              <w:rPr>
                <w:webHidden/>
              </w:rPr>
              <w:fldChar w:fldCharType="begin"/>
            </w:r>
            <w:r w:rsidR="00A064B0">
              <w:rPr>
                <w:webHidden/>
              </w:rPr>
              <w:instrText xml:space="preserve"> PAGEREF _Toc128138014 \h </w:instrText>
            </w:r>
            <w:r w:rsidR="00A064B0">
              <w:rPr>
                <w:webHidden/>
              </w:rPr>
            </w:r>
            <w:r w:rsidR="00A064B0">
              <w:rPr>
                <w:webHidden/>
              </w:rPr>
              <w:fldChar w:fldCharType="separate"/>
            </w:r>
            <w:r w:rsidR="00A064B0">
              <w:rPr>
                <w:webHidden/>
              </w:rPr>
              <w:t>118</w:t>
            </w:r>
            <w:r w:rsidR="00A064B0">
              <w:rPr>
                <w:webHidden/>
              </w:rPr>
              <w:fldChar w:fldCharType="end"/>
            </w:r>
          </w:hyperlink>
        </w:p>
        <w:p w14:paraId="3B2F4342" w14:textId="022160DB" w:rsidR="00A064B0" w:rsidRDefault="0062538A">
          <w:pPr>
            <w:pStyle w:val="TOC1"/>
            <w:rPr>
              <w:rFonts w:eastAsiaTheme="minorEastAsia" w:cstheme="minorBidi"/>
              <w:b w:val="0"/>
              <w:caps w:val="0"/>
              <w:color w:val="auto"/>
            </w:rPr>
          </w:pPr>
          <w:hyperlink w:anchor="_Toc128138015" w:history="1">
            <w:r w:rsidR="00A064B0" w:rsidRPr="00C45EA7">
              <w:rPr>
                <w:rStyle w:val="Hyperlink"/>
              </w:rPr>
              <w:t>Section IX - Conclusions</w:t>
            </w:r>
            <w:r w:rsidR="00A064B0">
              <w:rPr>
                <w:webHidden/>
              </w:rPr>
              <w:tab/>
            </w:r>
            <w:r w:rsidR="00A064B0">
              <w:rPr>
                <w:webHidden/>
              </w:rPr>
              <w:fldChar w:fldCharType="begin"/>
            </w:r>
            <w:r w:rsidR="00A064B0">
              <w:rPr>
                <w:webHidden/>
              </w:rPr>
              <w:instrText xml:space="preserve"> PAGEREF _Toc128138015 \h </w:instrText>
            </w:r>
            <w:r w:rsidR="00A064B0">
              <w:rPr>
                <w:webHidden/>
              </w:rPr>
            </w:r>
            <w:r w:rsidR="00A064B0">
              <w:rPr>
                <w:webHidden/>
              </w:rPr>
              <w:fldChar w:fldCharType="separate"/>
            </w:r>
            <w:r w:rsidR="00A064B0">
              <w:rPr>
                <w:webHidden/>
              </w:rPr>
              <w:t>119</w:t>
            </w:r>
            <w:r w:rsidR="00A064B0">
              <w:rPr>
                <w:webHidden/>
              </w:rPr>
              <w:fldChar w:fldCharType="end"/>
            </w:r>
          </w:hyperlink>
        </w:p>
        <w:p w14:paraId="1F34192A" w14:textId="64740801" w:rsidR="00A064B0" w:rsidRDefault="0062538A">
          <w:pPr>
            <w:pStyle w:val="TOC2"/>
            <w:rPr>
              <w:rFonts w:eastAsiaTheme="minorEastAsia" w:cstheme="minorBidi"/>
            </w:rPr>
          </w:pPr>
          <w:hyperlink w:anchor="_Toc128138016" w:history="1">
            <w:r w:rsidR="00A064B0" w:rsidRPr="00C45EA7">
              <w:rPr>
                <w:rStyle w:val="Hyperlink"/>
              </w:rPr>
              <w:t>Next Steps for communities</w:t>
            </w:r>
            <w:r w:rsidR="00A064B0">
              <w:rPr>
                <w:webHidden/>
              </w:rPr>
              <w:tab/>
            </w:r>
            <w:r w:rsidR="00A064B0">
              <w:rPr>
                <w:webHidden/>
              </w:rPr>
              <w:fldChar w:fldCharType="begin"/>
            </w:r>
            <w:r w:rsidR="00A064B0">
              <w:rPr>
                <w:webHidden/>
              </w:rPr>
              <w:instrText xml:space="preserve"> PAGEREF _Toc128138016 \h </w:instrText>
            </w:r>
            <w:r w:rsidR="00A064B0">
              <w:rPr>
                <w:webHidden/>
              </w:rPr>
            </w:r>
            <w:r w:rsidR="00A064B0">
              <w:rPr>
                <w:webHidden/>
              </w:rPr>
              <w:fldChar w:fldCharType="separate"/>
            </w:r>
            <w:r w:rsidR="00A064B0">
              <w:rPr>
                <w:webHidden/>
              </w:rPr>
              <w:t>124</w:t>
            </w:r>
            <w:r w:rsidR="00A064B0">
              <w:rPr>
                <w:webHidden/>
              </w:rPr>
              <w:fldChar w:fldCharType="end"/>
            </w:r>
          </w:hyperlink>
        </w:p>
        <w:p w14:paraId="2CB62019" w14:textId="65E7F734" w:rsidR="00A064B0" w:rsidRDefault="0062538A">
          <w:pPr>
            <w:pStyle w:val="TOC1"/>
            <w:rPr>
              <w:rFonts w:eastAsiaTheme="minorEastAsia" w:cstheme="minorBidi"/>
              <w:b w:val="0"/>
              <w:caps w:val="0"/>
              <w:color w:val="auto"/>
            </w:rPr>
          </w:pPr>
          <w:hyperlink w:anchor="_Toc128138017" w:history="1">
            <w:r w:rsidR="00A064B0" w:rsidRPr="00C45EA7">
              <w:rPr>
                <w:rStyle w:val="Hyperlink"/>
                <w:lang w:val="en"/>
              </w:rPr>
              <w:t>Appendix A – Glossary of Terms</w:t>
            </w:r>
            <w:r w:rsidR="00A064B0">
              <w:rPr>
                <w:webHidden/>
              </w:rPr>
              <w:tab/>
            </w:r>
            <w:r w:rsidR="00A064B0">
              <w:rPr>
                <w:webHidden/>
              </w:rPr>
              <w:fldChar w:fldCharType="begin"/>
            </w:r>
            <w:r w:rsidR="00A064B0">
              <w:rPr>
                <w:webHidden/>
              </w:rPr>
              <w:instrText xml:space="preserve"> PAGEREF _Toc128138017 \h </w:instrText>
            </w:r>
            <w:r w:rsidR="00A064B0">
              <w:rPr>
                <w:webHidden/>
              </w:rPr>
            </w:r>
            <w:r w:rsidR="00A064B0">
              <w:rPr>
                <w:webHidden/>
              </w:rPr>
              <w:fldChar w:fldCharType="separate"/>
            </w:r>
            <w:r w:rsidR="00A064B0">
              <w:rPr>
                <w:webHidden/>
              </w:rPr>
              <w:t>A</w:t>
            </w:r>
            <w:r w:rsidR="00A064B0">
              <w:rPr>
                <w:webHidden/>
              </w:rPr>
              <w:fldChar w:fldCharType="end"/>
            </w:r>
          </w:hyperlink>
        </w:p>
        <w:p w14:paraId="61FA2FA1" w14:textId="3011342A" w:rsidR="00A064B0" w:rsidRDefault="0062538A">
          <w:pPr>
            <w:pStyle w:val="TOC1"/>
            <w:rPr>
              <w:rFonts w:eastAsiaTheme="minorEastAsia" w:cstheme="minorBidi"/>
              <w:b w:val="0"/>
              <w:caps w:val="0"/>
              <w:color w:val="auto"/>
            </w:rPr>
          </w:pPr>
          <w:hyperlink w:anchor="_Toc128138018" w:history="1">
            <w:r w:rsidR="00A064B0" w:rsidRPr="00C45EA7">
              <w:rPr>
                <w:rStyle w:val="Hyperlink"/>
                <w:lang w:val="en"/>
              </w:rPr>
              <w:t>Appendix B – Engagement Process</w:t>
            </w:r>
            <w:r w:rsidR="00A064B0">
              <w:rPr>
                <w:webHidden/>
              </w:rPr>
              <w:tab/>
            </w:r>
            <w:r w:rsidR="00A064B0">
              <w:rPr>
                <w:webHidden/>
              </w:rPr>
              <w:fldChar w:fldCharType="begin"/>
            </w:r>
            <w:r w:rsidR="00A064B0">
              <w:rPr>
                <w:webHidden/>
              </w:rPr>
              <w:instrText xml:space="preserve"> PAGEREF _Toc128138018 \h </w:instrText>
            </w:r>
            <w:r w:rsidR="00A064B0">
              <w:rPr>
                <w:webHidden/>
              </w:rPr>
            </w:r>
            <w:r w:rsidR="00A064B0">
              <w:rPr>
                <w:webHidden/>
              </w:rPr>
              <w:fldChar w:fldCharType="separate"/>
            </w:r>
            <w:r w:rsidR="00A064B0">
              <w:rPr>
                <w:webHidden/>
              </w:rPr>
              <w:t>B</w:t>
            </w:r>
            <w:r w:rsidR="00A064B0">
              <w:rPr>
                <w:webHidden/>
              </w:rPr>
              <w:fldChar w:fldCharType="end"/>
            </w:r>
          </w:hyperlink>
        </w:p>
        <w:p w14:paraId="56021771" w14:textId="33B5D9B8" w:rsidR="00A064B0" w:rsidRDefault="0062538A">
          <w:pPr>
            <w:pStyle w:val="TOC1"/>
            <w:rPr>
              <w:rFonts w:eastAsiaTheme="minorEastAsia" w:cstheme="minorBidi"/>
              <w:b w:val="0"/>
              <w:caps w:val="0"/>
              <w:color w:val="auto"/>
            </w:rPr>
          </w:pPr>
          <w:hyperlink w:anchor="_Toc128138019" w:history="1">
            <w:r w:rsidR="00A064B0" w:rsidRPr="00C45EA7">
              <w:rPr>
                <w:rStyle w:val="Hyperlink"/>
                <w:lang w:val="en"/>
              </w:rPr>
              <w:t>Appendix B.1 – Engagement Documentation</w:t>
            </w:r>
            <w:r w:rsidR="00A064B0">
              <w:rPr>
                <w:webHidden/>
              </w:rPr>
              <w:tab/>
            </w:r>
            <w:r w:rsidR="00A064B0">
              <w:rPr>
                <w:webHidden/>
              </w:rPr>
              <w:fldChar w:fldCharType="begin"/>
            </w:r>
            <w:r w:rsidR="00A064B0">
              <w:rPr>
                <w:webHidden/>
              </w:rPr>
              <w:instrText xml:space="preserve"> PAGEREF _Toc128138019 \h </w:instrText>
            </w:r>
            <w:r w:rsidR="00A064B0">
              <w:rPr>
                <w:webHidden/>
              </w:rPr>
            </w:r>
            <w:r w:rsidR="00A064B0">
              <w:rPr>
                <w:webHidden/>
              </w:rPr>
              <w:fldChar w:fldCharType="separate"/>
            </w:r>
            <w:r w:rsidR="00A064B0">
              <w:rPr>
                <w:webHidden/>
              </w:rPr>
              <w:t>C</w:t>
            </w:r>
            <w:r w:rsidR="00A064B0">
              <w:rPr>
                <w:webHidden/>
              </w:rPr>
              <w:fldChar w:fldCharType="end"/>
            </w:r>
          </w:hyperlink>
        </w:p>
        <w:p w14:paraId="294A2FBB" w14:textId="12E27D54" w:rsidR="00A064B0" w:rsidRDefault="0062538A">
          <w:pPr>
            <w:pStyle w:val="TOC1"/>
            <w:rPr>
              <w:rFonts w:eastAsiaTheme="minorEastAsia" w:cstheme="minorBidi"/>
              <w:b w:val="0"/>
              <w:caps w:val="0"/>
              <w:color w:val="auto"/>
            </w:rPr>
          </w:pPr>
          <w:hyperlink w:anchor="_Toc128138020" w:history="1">
            <w:r w:rsidR="00A064B0" w:rsidRPr="00C45EA7">
              <w:rPr>
                <w:rStyle w:val="Hyperlink"/>
                <w:lang w:val="en"/>
              </w:rPr>
              <w:t>Appendix C – Quantitative Data</w:t>
            </w:r>
            <w:r w:rsidR="00A064B0">
              <w:rPr>
                <w:webHidden/>
              </w:rPr>
              <w:tab/>
            </w:r>
            <w:r w:rsidR="00A064B0">
              <w:rPr>
                <w:webHidden/>
              </w:rPr>
              <w:fldChar w:fldCharType="begin"/>
            </w:r>
            <w:r w:rsidR="00A064B0">
              <w:rPr>
                <w:webHidden/>
              </w:rPr>
              <w:instrText xml:space="preserve"> PAGEREF _Toc128138020 \h </w:instrText>
            </w:r>
            <w:r w:rsidR="00A064B0">
              <w:rPr>
                <w:webHidden/>
              </w:rPr>
            </w:r>
            <w:r w:rsidR="00A064B0">
              <w:rPr>
                <w:webHidden/>
              </w:rPr>
              <w:fldChar w:fldCharType="separate"/>
            </w:r>
            <w:r w:rsidR="00A064B0">
              <w:rPr>
                <w:webHidden/>
              </w:rPr>
              <w:t>C</w:t>
            </w:r>
            <w:r w:rsidR="00A064B0">
              <w:rPr>
                <w:webHidden/>
              </w:rPr>
              <w:fldChar w:fldCharType="end"/>
            </w:r>
          </w:hyperlink>
        </w:p>
        <w:p w14:paraId="1E15DF12" w14:textId="2C66567E" w:rsidR="00A064B0" w:rsidRDefault="0062538A">
          <w:pPr>
            <w:pStyle w:val="TOC1"/>
            <w:rPr>
              <w:rFonts w:eastAsiaTheme="minorEastAsia" w:cstheme="minorBidi"/>
              <w:b w:val="0"/>
              <w:caps w:val="0"/>
              <w:color w:val="auto"/>
            </w:rPr>
          </w:pPr>
          <w:hyperlink w:anchor="_Toc128138021" w:history="1">
            <w:r w:rsidR="00A064B0" w:rsidRPr="00C45EA7">
              <w:rPr>
                <w:rStyle w:val="Hyperlink"/>
                <w:lang w:val="en"/>
              </w:rPr>
              <w:t>Appendix D – Qualitative Data</w:t>
            </w:r>
            <w:r w:rsidR="00A064B0">
              <w:rPr>
                <w:webHidden/>
              </w:rPr>
              <w:tab/>
            </w:r>
            <w:r w:rsidR="00A064B0">
              <w:rPr>
                <w:webHidden/>
              </w:rPr>
              <w:fldChar w:fldCharType="begin"/>
            </w:r>
            <w:r w:rsidR="00A064B0">
              <w:rPr>
                <w:webHidden/>
              </w:rPr>
              <w:instrText xml:space="preserve"> PAGEREF _Toc128138021 \h </w:instrText>
            </w:r>
            <w:r w:rsidR="00A064B0">
              <w:rPr>
                <w:webHidden/>
              </w:rPr>
            </w:r>
            <w:r w:rsidR="00A064B0">
              <w:rPr>
                <w:webHidden/>
              </w:rPr>
              <w:fldChar w:fldCharType="separate"/>
            </w:r>
            <w:r w:rsidR="00A064B0">
              <w:rPr>
                <w:webHidden/>
              </w:rPr>
              <w:t>D</w:t>
            </w:r>
            <w:r w:rsidR="00A064B0">
              <w:rPr>
                <w:webHidden/>
              </w:rPr>
              <w:fldChar w:fldCharType="end"/>
            </w:r>
          </w:hyperlink>
        </w:p>
        <w:p w14:paraId="481B699D" w14:textId="772A3448" w:rsidR="00A064B0" w:rsidRDefault="0062538A">
          <w:pPr>
            <w:pStyle w:val="TOC1"/>
            <w:rPr>
              <w:rFonts w:eastAsiaTheme="minorEastAsia" w:cstheme="minorBidi"/>
              <w:b w:val="0"/>
              <w:caps w:val="0"/>
              <w:color w:val="auto"/>
            </w:rPr>
          </w:pPr>
          <w:hyperlink w:anchor="_Toc128138022" w:history="1">
            <w:r w:rsidR="00A064B0" w:rsidRPr="00C45EA7">
              <w:rPr>
                <w:rStyle w:val="Hyperlink"/>
                <w:lang w:val="en"/>
              </w:rPr>
              <w:t>Appendix E – Regional Housing Entities and Services</w:t>
            </w:r>
            <w:r w:rsidR="00A064B0">
              <w:rPr>
                <w:webHidden/>
              </w:rPr>
              <w:tab/>
            </w:r>
            <w:r w:rsidR="00A064B0">
              <w:rPr>
                <w:webHidden/>
              </w:rPr>
              <w:fldChar w:fldCharType="begin"/>
            </w:r>
            <w:r w:rsidR="00A064B0">
              <w:rPr>
                <w:webHidden/>
              </w:rPr>
              <w:instrText xml:space="preserve"> PAGEREF _Toc128138022 \h </w:instrText>
            </w:r>
            <w:r w:rsidR="00A064B0">
              <w:rPr>
                <w:webHidden/>
              </w:rPr>
            </w:r>
            <w:r w:rsidR="00A064B0">
              <w:rPr>
                <w:webHidden/>
              </w:rPr>
              <w:fldChar w:fldCharType="separate"/>
            </w:r>
            <w:r w:rsidR="00A064B0">
              <w:rPr>
                <w:webHidden/>
              </w:rPr>
              <w:t>E</w:t>
            </w:r>
            <w:r w:rsidR="00A064B0">
              <w:rPr>
                <w:webHidden/>
              </w:rPr>
              <w:fldChar w:fldCharType="end"/>
            </w:r>
          </w:hyperlink>
        </w:p>
        <w:p w14:paraId="759F46C9" w14:textId="57191924" w:rsidR="00990595" w:rsidRPr="00C64BA4" w:rsidRDefault="00F01FE9" w:rsidP="00206C45">
          <w:pPr>
            <w:spacing w:line="300" w:lineRule="auto"/>
            <w:rPr>
              <w:noProof/>
            </w:rPr>
          </w:pPr>
          <w:r w:rsidRPr="00C64BA4">
            <w:rPr>
              <w:b/>
              <w:bCs/>
              <w:noProof/>
            </w:rPr>
            <w:fldChar w:fldCharType="end"/>
          </w:r>
        </w:p>
      </w:sdtContent>
    </w:sdt>
    <w:p w14:paraId="1ABE7970" w14:textId="77777777" w:rsidR="000315B7" w:rsidRPr="00C64BA4" w:rsidRDefault="000315B7" w:rsidP="00206C45">
      <w:pPr>
        <w:spacing w:line="300" w:lineRule="auto"/>
        <w:rPr>
          <w:caps/>
          <w:color w:val="003CB4" w:themeColor="accent2" w:themeShade="80"/>
          <w:spacing w:val="20"/>
          <w:sz w:val="28"/>
          <w:szCs w:val="28"/>
          <w:lang w:bidi="en-US"/>
        </w:rPr>
      </w:pPr>
      <w:r w:rsidRPr="00C64BA4">
        <w:br w:type="page"/>
      </w:r>
    </w:p>
    <w:p w14:paraId="632AC838" w14:textId="46753D53" w:rsidR="00F01FE9" w:rsidRPr="00C64BA4" w:rsidRDefault="00F01FE9" w:rsidP="00206C45">
      <w:pPr>
        <w:pStyle w:val="TOCHeading"/>
        <w:spacing w:line="300" w:lineRule="auto"/>
      </w:pPr>
      <w:r w:rsidRPr="00C64BA4">
        <w:lastRenderedPageBreak/>
        <w:t>List of Figures</w:t>
      </w:r>
    </w:p>
    <w:p w14:paraId="2E3EF272" w14:textId="7018864E" w:rsidR="005547CC" w:rsidRDefault="00F01FE9">
      <w:pPr>
        <w:pStyle w:val="TableofFigures"/>
        <w:rPr>
          <w:sz w:val="22"/>
        </w:rPr>
      </w:pPr>
      <w:r w:rsidRPr="00C64BA4">
        <w:fldChar w:fldCharType="begin"/>
      </w:r>
      <w:r w:rsidRPr="00C64BA4">
        <w:instrText xml:space="preserve"> TOC \h \z \c "Figure" </w:instrText>
      </w:r>
      <w:r w:rsidRPr="00C64BA4">
        <w:fldChar w:fldCharType="separate"/>
      </w:r>
      <w:hyperlink r:id="rId19" w:anchor="_Toc128137860" w:history="1">
        <w:r w:rsidR="005547CC" w:rsidRPr="00EF3655">
          <w:rPr>
            <w:rStyle w:val="Hyperlink"/>
          </w:rPr>
          <w:t>Figure 1: Canal Street Homeless Encamplement</w:t>
        </w:r>
        <w:r w:rsidR="005547CC">
          <w:rPr>
            <w:webHidden/>
          </w:rPr>
          <w:tab/>
        </w:r>
        <w:r w:rsidR="005547CC">
          <w:rPr>
            <w:webHidden/>
          </w:rPr>
          <w:fldChar w:fldCharType="begin"/>
        </w:r>
        <w:r w:rsidR="005547CC">
          <w:rPr>
            <w:webHidden/>
          </w:rPr>
          <w:instrText xml:space="preserve"> PAGEREF _Toc128137860 \h </w:instrText>
        </w:r>
        <w:r w:rsidR="005547CC">
          <w:rPr>
            <w:webHidden/>
          </w:rPr>
        </w:r>
        <w:r w:rsidR="005547CC">
          <w:rPr>
            <w:webHidden/>
          </w:rPr>
          <w:fldChar w:fldCharType="separate"/>
        </w:r>
        <w:r w:rsidR="005547CC">
          <w:rPr>
            <w:webHidden/>
          </w:rPr>
          <w:t>15</w:t>
        </w:r>
        <w:r w:rsidR="005547CC">
          <w:rPr>
            <w:webHidden/>
          </w:rPr>
          <w:fldChar w:fldCharType="end"/>
        </w:r>
      </w:hyperlink>
    </w:p>
    <w:p w14:paraId="3FE7C22D" w14:textId="5D5AB171" w:rsidR="005547CC" w:rsidRDefault="0062538A">
      <w:pPr>
        <w:pStyle w:val="TableofFigures"/>
        <w:rPr>
          <w:sz w:val="22"/>
        </w:rPr>
      </w:pPr>
      <w:hyperlink w:anchor="_Toc128137861" w:history="1">
        <w:r w:rsidR="005547CC" w:rsidRPr="00EF3655">
          <w:rPr>
            <w:rStyle w:val="Hyperlink"/>
          </w:rPr>
          <w:t>Figure 2: SNHPC Member Municipalities</w:t>
        </w:r>
        <w:r w:rsidR="005547CC">
          <w:rPr>
            <w:webHidden/>
          </w:rPr>
          <w:tab/>
        </w:r>
        <w:r w:rsidR="005547CC">
          <w:rPr>
            <w:webHidden/>
          </w:rPr>
          <w:fldChar w:fldCharType="begin"/>
        </w:r>
        <w:r w:rsidR="005547CC">
          <w:rPr>
            <w:webHidden/>
          </w:rPr>
          <w:instrText xml:space="preserve"> PAGEREF _Toc128137861 \h </w:instrText>
        </w:r>
        <w:r w:rsidR="005547CC">
          <w:rPr>
            <w:webHidden/>
          </w:rPr>
        </w:r>
        <w:r w:rsidR="005547CC">
          <w:rPr>
            <w:webHidden/>
          </w:rPr>
          <w:fldChar w:fldCharType="separate"/>
        </w:r>
        <w:r w:rsidR="005547CC">
          <w:rPr>
            <w:webHidden/>
          </w:rPr>
          <w:t>16</w:t>
        </w:r>
        <w:r w:rsidR="005547CC">
          <w:rPr>
            <w:webHidden/>
          </w:rPr>
          <w:fldChar w:fldCharType="end"/>
        </w:r>
      </w:hyperlink>
    </w:p>
    <w:p w14:paraId="39110C1E" w14:textId="6C049473" w:rsidR="005547CC" w:rsidRDefault="0062538A">
      <w:pPr>
        <w:pStyle w:val="TableofFigures"/>
        <w:rPr>
          <w:sz w:val="22"/>
        </w:rPr>
      </w:pPr>
      <w:hyperlink w:anchor="_Toc128137862" w:history="1">
        <w:r w:rsidR="005547CC" w:rsidRPr="00EF3655">
          <w:rPr>
            <w:rStyle w:val="Hyperlink"/>
          </w:rPr>
          <w:t>Figure 3: Regional Growth</w:t>
        </w:r>
        <w:r w:rsidR="005547CC">
          <w:rPr>
            <w:webHidden/>
          </w:rPr>
          <w:tab/>
        </w:r>
        <w:r w:rsidR="005547CC">
          <w:rPr>
            <w:webHidden/>
          </w:rPr>
          <w:fldChar w:fldCharType="begin"/>
        </w:r>
        <w:r w:rsidR="005547CC">
          <w:rPr>
            <w:webHidden/>
          </w:rPr>
          <w:instrText xml:space="preserve"> PAGEREF _Toc128137862 \h </w:instrText>
        </w:r>
        <w:r w:rsidR="005547CC">
          <w:rPr>
            <w:webHidden/>
          </w:rPr>
        </w:r>
        <w:r w:rsidR="005547CC">
          <w:rPr>
            <w:webHidden/>
          </w:rPr>
          <w:fldChar w:fldCharType="separate"/>
        </w:r>
        <w:r w:rsidR="005547CC">
          <w:rPr>
            <w:webHidden/>
          </w:rPr>
          <w:t>18</w:t>
        </w:r>
        <w:r w:rsidR="005547CC">
          <w:rPr>
            <w:webHidden/>
          </w:rPr>
          <w:fldChar w:fldCharType="end"/>
        </w:r>
      </w:hyperlink>
    </w:p>
    <w:p w14:paraId="5E0AB795" w14:textId="0D95FC23" w:rsidR="005547CC" w:rsidRDefault="0062538A">
      <w:pPr>
        <w:pStyle w:val="TableofFigures"/>
        <w:rPr>
          <w:sz w:val="22"/>
        </w:rPr>
      </w:pPr>
      <w:hyperlink w:anchor="_Toc128137863" w:history="1">
        <w:r w:rsidR="005547CC" w:rsidRPr="00EF3655">
          <w:rPr>
            <w:rStyle w:val="Hyperlink"/>
          </w:rPr>
          <w:t>Figure 4: Where The People Live</w:t>
        </w:r>
        <w:r w:rsidR="005547CC">
          <w:rPr>
            <w:webHidden/>
          </w:rPr>
          <w:tab/>
        </w:r>
        <w:r w:rsidR="005547CC">
          <w:rPr>
            <w:webHidden/>
          </w:rPr>
          <w:fldChar w:fldCharType="begin"/>
        </w:r>
        <w:r w:rsidR="005547CC">
          <w:rPr>
            <w:webHidden/>
          </w:rPr>
          <w:instrText xml:space="preserve"> PAGEREF _Toc128137863 \h </w:instrText>
        </w:r>
        <w:r w:rsidR="005547CC">
          <w:rPr>
            <w:webHidden/>
          </w:rPr>
        </w:r>
        <w:r w:rsidR="005547CC">
          <w:rPr>
            <w:webHidden/>
          </w:rPr>
          <w:fldChar w:fldCharType="separate"/>
        </w:r>
        <w:r w:rsidR="005547CC">
          <w:rPr>
            <w:webHidden/>
          </w:rPr>
          <w:t>20</w:t>
        </w:r>
        <w:r w:rsidR="005547CC">
          <w:rPr>
            <w:webHidden/>
          </w:rPr>
          <w:fldChar w:fldCharType="end"/>
        </w:r>
      </w:hyperlink>
    </w:p>
    <w:p w14:paraId="5C31C36B" w14:textId="05584E53" w:rsidR="005547CC" w:rsidRDefault="0062538A">
      <w:pPr>
        <w:pStyle w:val="TableofFigures"/>
        <w:rPr>
          <w:sz w:val="22"/>
        </w:rPr>
      </w:pPr>
      <w:hyperlink w:anchor="_Toc128137864" w:history="1">
        <w:r w:rsidR="005547CC" w:rsidRPr="00EF3655">
          <w:rPr>
            <w:rStyle w:val="Hyperlink"/>
          </w:rPr>
          <w:t>Figure 5: Older adult growth in SNHPC Region. Source: US Census Bureau</w:t>
        </w:r>
        <w:r w:rsidR="005547CC">
          <w:rPr>
            <w:webHidden/>
          </w:rPr>
          <w:tab/>
        </w:r>
        <w:r w:rsidR="005547CC">
          <w:rPr>
            <w:webHidden/>
          </w:rPr>
          <w:fldChar w:fldCharType="begin"/>
        </w:r>
        <w:r w:rsidR="005547CC">
          <w:rPr>
            <w:webHidden/>
          </w:rPr>
          <w:instrText xml:space="preserve"> PAGEREF _Toc128137864 \h </w:instrText>
        </w:r>
        <w:r w:rsidR="005547CC">
          <w:rPr>
            <w:webHidden/>
          </w:rPr>
        </w:r>
        <w:r w:rsidR="005547CC">
          <w:rPr>
            <w:webHidden/>
          </w:rPr>
          <w:fldChar w:fldCharType="separate"/>
        </w:r>
        <w:r w:rsidR="005547CC">
          <w:rPr>
            <w:webHidden/>
          </w:rPr>
          <w:t>23</w:t>
        </w:r>
        <w:r w:rsidR="005547CC">
          <w:rPr>
            <w:webHidden/>
          </w:rPr>
          <w:fldChar w:fldCharType="end"/>
        </w:r>
      </w:hyperlink>
    </w:p>
    <w:p w14:paraId="7C22B61C" w14:textId="61798413" w:rsidR="005547CC" w:rsidRDefault="0062538A">
      <w:pPr>
        <w:pStyle w:val="TableofFigures"/>
        <w:rPr>
          <w:sz w:val="22"/>
        </w:rPr>
      </w:pPr>
      <w:hyperlink w:anchor="_Toc128137865" w:history="1">
        <w:r w:rsidR="005547CC" w:rsidRPr="00EF3655">
          <w:rPr>
            <w:rStyle w:val="Hyperlink"/>
          </w:rPr>
          <w:t>Figure 6: SNHPC Public School Enrollment by Municipality</w:t>
        </w:r>
        <w:r w:rsidR="005547CC">
          <w:rPr>
            <w:webHidden/>
          </w:rPr>
          <w:tab/>
        </w:r>
        <w:r w:rsidR="005547CC">
          <w:rPr>
            <w:webHidden/>
          </w:rPr>
          <w:fldChar w:fldCharType="begin"/>
        </w:r>
        <w:r w:rsidR="005547CC">
          <w:rPr>
            <w:webHidden/>
          </w:rPr>
          <w:instrText xml:space="preserve"> PAGEREF _Toc128137865 \h </w:instrText>
        </w:r>
        <w:r w:rsidR="005547CC">
          <w:rPr>
            <w:webHidden/>
          </w:rPr>
        </w:r>
        <w:r w:rsidR="005547CC">
          <w:rPr>
            <w:webHidden/>
          </w:rPr>
          <w:fldChar w:fldCharType="separate"/>
        </w:r>
        <w:r w:rsidR="005547CC">
          <w:rPr>
            <w:webHidden/>
          </w:rPr>
          <w:t>28</w:t>
        </w:r>
        <w:r w:rsidR="005547CC">
          <w:rPr>
            <w:webHidden/>
          </w:rPr>
          <w:fldChar w:fldCharType="end"/>
        </w:r>
      </w:hyperlink>
    </w:p>
    <w:p w14:paraId="5AB152FF" w14:textId="1CADE59E" w:rsidR="005547CC" w:rsidRDefault="0062538A">
      <w:pPr>
        <w:pStyle w:val="TableofFigures"/>
        <w:rPr>
          <w:sz w:val="22"/>
        </w:rPr>
      </w:pPr>
      <w:hyperlink r:id="rId20" w:anchor="_Toc128137866" w:history="1">
        <w:r w:rsidR="005547CC" w:rsidRPr="00EF3655">
          <w:rPr>
            <w:rStyle w:val="Hyperlink"/>
          </w:rPr>
          <w:t>Figure 7: Refugees by City of Resettlement (2012-2021)</w:t>
        </w:r>
        <w:r w:rsidR="005547CC">
          <w:rPr>
            <w:webHidden/>
          </w:rPr>
          <w:tab/>
        </w:r>
        <w:r w:rsidR="005547CC">
          <w:rPr>
            <w:webHidden/>
          </w:rPr>
          <w:fldChar w:fldCharType="begin"/>
        </w:r>
        <w:r w:rsidR="005547CC">
          <w:rPr>
            <w:webHidden/>
          </w:rPr>
          <w:instrText xml:space="preserve"> PAGEREF _Toc128137866 \h </w:instrText>
        </w:r>
        <w:r w:rsidR="005547CC">
          <w:rPr>
            <w:webHidden/>
          </w:rPr>
        </w:r>
        <w:r w:rsidR="005547CC">
          <w:rPr>
            <w:webHidden/>
          </w:rPr>
          <w:fldChar w:fldCharType="separate"/>
        </w:r>
        <w:r w:rsidR="005547CC">
          <w:rPr>
            <w:webHidden/>
          </w:rPr>
          <w:t>31</w:t>
        </w:r>
        <w:r w:rsidR="005547CC">
          <w:rPr>
            <w:webHidden/>
          </w:rPr>
          <w:fldChar w:fldCharType="end"/>
        </w:r>
      </w:hyperlink>
    </w:p>
    <w:p w14:paraId="5FC9E02B" w14:textId="06A35530" w:rsidR="005547CC" w:rsidRDefault="0062538A">
      <w:pPr>
        <w:pStyle w:val="TableofFigures"/>
        <w:rPr>
          <w:sz w:val="22"/>
        </w:rPr>
      </w:pPr>
      <w:hyperlink w:anchor="_Toc128137867" w:history="1">
        <w:r w:rsidR="005547CC" w:rsidRPr="00EF3655">
          <w:rPr>
            <w:rStyle w:val="Hyperlink"/>
          </w:rPr>
          <w:t>Figure 8: Homeless Population</w:t>
        </w:r>
        <w:r w:rsidR="005547CC">
          <w:rPr>
            <w:webHidden/>
          </w:rPr>
          <w:tab/>
        </w:r>
        <w:r w:rsidR="005547CC">
          <w:rPr>
            <w:webHidden/>
          </w:rPr>
          <w:fldChar w:fldCharType="begin"/>
        </w:r>
        <w:r w:rsidR="005547CC">
          <w:rPr>
            <w:webHidden/>
          </w:rPr>
          <w:instrText xml:space="preserve"> PAGEREF _Toc128137867 \h </w:instrText>
        </w:r>
        <w:r w:rsidR="005547CC">
          <w:rPr>
            <w:webHidden/>
          </w:rPr>
        </w:r>
        <w:r w:rsidR="005547CC">
          <w:rPr>
            <w:webHidden/>
          </w:rPr>
          <w:fldChar w:fldCharType="separate"/>
        </w:r>
        <w:r w:rsidR="005547CC">
          <w:rPr>
            <w:webHidden/>
          </w:rPr>
          <w:t>36</w:t>
        </w:r>
        <w:r w:rsidR="005547CC">
          <w:rPr>
            <w:webHidden/>
          </w:rPr>
          <w:fldChar w:fldCharType="end"/>
        </w:r>
      </w:hyperlink>
    </w:p>
    <w:p w14:paraId="5EA9C229" w14:textId="424FBBBE" w:rsidR="005547CC" w:rsidRDefault="0062538A">
      <w:pPr>
        <w:pStyle w:val="TableofFigures"/>
        <w:rPr>
          <w:sz w:val="22"/>
        </w:rPr>
      </w:pPr>
      <w:hyperlink w:anchor="_Toc128137868" w:history="1">
        <w:r w:rsidR="005547CC" w:rsidRPr="00EF3655">
          <w:rPr>
            <w:rStyle w:val="Hyperlink"/>
          </w:rPr>
          <w:t>Figure 9: Equity Area</w:t>
        </w:r>
        <w:r w:rsidR="005547CC">
          <w:rPr>
            <w:webHidden/>
          </w:rPr>
          <w:tab/>
        </w:r>
        <w:r w:rsidR="005547CC">
          <w:rPr>
            <w:webHidden/>
          </w:rPr>
          <w:fldChar w:fldCharType="begin"/>
        </w:r>
        <w:r w:rsidR="005547CC">
          <w:rPr>
            <w:webHidden/>
          </w:rPr>
          <w:instrText xml:space="preserve"> PAGEREF _Toc128137868 \h </w:instrText>
        </w:r>
        <w:r w:rsidR="005547CC">
          <w:rPr>
            <w:webHidden/>
          </w:rPr>
        </w:r>
        <w:r w:rsidR="005547CC">
          <w:rPr>
            <w:webHidden/>
          </w:rPr>
          <w:fldChar w:fldCharType="separate"/>
        </w:r>
        <w:r w:rsidR="005547CC">
          <w:rPr>
            <w:webHidden/>
          </w:rPr>
          <w:t>44</w:t>
        </w:r>
        <w:r w:rsidR="005547CC">
          <w:rPr>
            <w:webHidden/>
          </w:rPr>
          <w:fldChar w:fldCharType="end"/>
        </w:r>
      </w:hyperlink>
    </w:p>
    <w:p w14:paraId="318A985B" w14:textId="5EBC780C" w:rsidR="005547CC" w:rsidRDefault="0062538A">
      <w:pPr>
        <w:pStyle w:val="TableofFigures"/>
        <w:rPr>
          <w:sz w:val="22"/>
        </w:rPr>
      </w:pPr>
      <w:hyperlink w:anchor="_Toc128137869" w:history="1">
        <w:r w:rsidR="005547CC" w:rsidRPr="00EF3655">
          <w:rPr>
            <w:rStyle w:val="Hyperlink"/>
          </w:rPr>
          <w:t>Figure 10: SNHPC Active Property Listings (12- Month Moving Average)</w:t>
        </w:r>
        <w:r w:rsidR="005547CC">
          <w:rPr>
            <w:webHidden/>
          </w:rPr>
          <w:tab/>
        </w:r>
        <w:r w:rsidR="005547CC">
          <w:rPr>
            <w:webHidden/>
          </w:rPr>
          <w:fldChar w:fldCharType="begin"/>
        </w:r>
        <w:r w:rsidR="005547CC">
          <w:rPr>
            <w:webHidden/>
          </w:rPr>
          <w:instrText xml:space="preserve"> PAGEREF _Toc128137869 \h </w:instrText>
        </w:r>
        <w:r w:rsidR="005547CC">
          <w:rPr>
            <w:webHidden/>
          </w:rPr>
        </w:r>
        <w:r w:rsidR="005547CC">
          <w:rPr>
            <w:webHidden/>
          </w:rPr>
          <w:fldChar w:fldCharType="separate"/>
        </w:r>
        <w:r w:rsidR="005547CC">
          <w:rPr>
            <w:webHidden/>
          </w:rPr>
          <w:t>51</w:t>
        </w:r>
        <w:r w:rsidR="005547CC">
          <w:rPr>
            <w:webHidden/>
          </w:rPr>
          <w:fldChar w:fldCharType="end"/>
        </w:r>
      </w:hyperlink>
    </w:p>
    <w:p w14:paraId="2D039F65" w14:textId="6770EF39" w:rsidR="005547CC" w:rsidRDefault="0062538A">
      <w:pPr>
        <w:pStyle w:val="TableofFigures"/>
        <w:rPr>
          <w:sz w:val="22"/>
        </w:rPr>
      </w:pPr>
      <w:hyperlink w:anchor="_Toc128137870" w:history="1">
        <w:r w:rsidR="005547CC" w:rsidRPr="00EF3655">
          <w:rPr>
            <w:rStyle w:val="Hyperlink"/>
          </w:rPr>
          <w:t>Figure 11: SNHPC Nominal Median Purchase Price (12- Month Moving Average)</w:t>
        </w:r>
        <w:r w:rsidR="005547CC">
          <w:rPr>
            <w:webHidden/>
          </w:rPr>
          <w:tab/>
        </w:r>
        <w:r w:rsidR="005547CC">
          <w:rPr>
            <w:webHidden/>
          </w:rPr>
          <w:fldChar w:fldCharType="begin"/>
        </w:r>
        <w:r w:rsidR="005547CC">
          <w:rPr>
            <w:webHidden/>
          </w:rPr>
          <w:instrText xml:space="preserve"> PAGEREF _Toc128137870 \h </w:instrText>
        </w:r>
        <w:r w:rsidR="005547CC">
          <w:rPr>
            <w:webHidden/>
          </w:rPr>
        </w:r>
        <w:r w:rsidR="005547CC">
          <w:rPr>
            <w:webHidden/>
          </w:rPr>
          <w:fldChar w:fldCharType="separate"/>
        </w:r>
        <w:r w:rsidR="005547CC">
          <w:rPr>
            <w:webHidden/>
          </w:rPr>
          <w:t>51</w:t>
        </w:r>
        <w:r w:rsidR="005547CC">
          <w:rPr>
            <w:webHidden/>
          </w:rPr>
          <w:fldChar w:fldCharType="end"/>
        </w:r>
      </w:hyperlink>
    </w:p>
    <w:p w14:paraId="7F06B257" w14:textId="71CF6BD8" w:rsidR="005547CC" w:rsidRDefault="0062538A">
      <w:pPr>
        <w:pStyle w:val="TableofFigures"/>
        <w:rPr>
          <w:sz w:val="22"/>
        </w:rPr>
      </w:pPr>
      <w:hyperlink r:id="rId21" w:anchor="_Toc128137871" w:history="1">
        <w:r w:rsidR="005547CC" w:rsidRPr="00EF3655">
          <w:rPr>
            <w:rStyle w:val="Hyperlink"/>
          </w:rPr>
          <w:t>Figure 12: Households by Income</w:t>
        </w:r>
        <w:r w:rsidR="005547CC">
          <w:rPr>
            <w:webHidden/>
          </w:rPr>
          <w:tab/>
        </w:r>
        <w:r w:rsidR="005547CC">
          <w:rPr>
            <w:webHidden/>
          </w:rPr>
          <w:fldChar w:fldCharType="begin"/>
        </w:r>
        <w:r w:rsidR="005547CC">
          <w:rPr>
            <w:webHidden/>
          </w:rPr>
          <w:instrText xml:space="preserve"> PAGEREF _Toc128137871 \h </w:instrText>
        </w:r>
        <w:r w:rsidR="005547CC">
          <w:rPr>
            <w:webHidden/>
          </w:rPr>
        </w:r>
        <w:r w:rsidR="005547CC">
          <w:rPr>
            <w:webHidden/>
          </w:rPr>
          <w:fldChar w:fldCharType="separate"/>
        </w:r>
        <w:r w:rsidR="005547CC">
          <w:rPr>
            <w:webHidden/>
          </w:rPr>
          <w:t>52</w:t>
        </w:r>
        <w:r w:rsidR="005547CC">
          <w:rPr>
            <w:webHidden/>
          </w:rPr>
          <w:fldChar w:fldCharType="end"/>
        </w:r>
      </w:hyperlink>
    </w:p>
    <w:p w14:paraId="3EF4ACD7" w14:textId="4A7FCE80" w:rsidR="005547CC" w:rsidRDefault="0062538A">
      <w:pPr>
        <w:pStyle w:val="TableofFigures"/>
        <w:rPr>
          <w:sz w:val="22"/>
        </w:rPr>
      </w:pPr>
      <w:hyperlink w:anchor="_Toc128137872" w:history="1">
        <w:r w:rsidR="005547CC" w:rsidRPr="00EF3655">
          <w:rPr>
            <w:rStyle w:val="Hyperlink"/>
          </w:rPr>
          <w:t>Figure 13: Median Household Income</w:t>
        </w:r>
        <w:r w:rsidR="005547CC">
          <w:rPr>
            <w:webHidden/>
          </w:rPr>
          <w:tab/>
        </w:r>
        <w:r w:rsidR="005547CC">
          <w:rPr>
            <w:webHidden/>
          </w:rPr>
          <w:fldChar w:fldCharType="begin"/>
        </w:r>
        <w:r w:rsidR="005547CC">
          <w:rPr>
            <w:webHidden/>
          </w:rPr>
          <w:instrText xml:space="preserve"> PAGEREF _Toc128137872 \h </w:instrText>
        </w:r>
        <w:r w:rsidR="005547CC">
          <w:rPr>
            <w:webHidden/>
          </w:rPr>
        </w:r>
        <w:r w:rsidR="005547CC">
          <w:rPr>
            <w:webHidden/>
          </w:rPr>
          <w:fldChar w:fldCharType="separate"/>
        </w:r>
        <w:r w:rsidR="005547CC">
          <w:rPr>
            <w:webHidden/>
          </w:rPr>
          <w:t>52</w:t>
        </w:r>
        <w:r w:rsidR="005547CC">
          <w:rPr>
            <w:webHidden/>
          </w:rPr>
          <w:fldChar w:fldCharType="end"/>
        </w:r>
      </w:hyperlink>
    </w:p>
    <w:p w14:paraId="4B978A0C" w14:textId="5EBE7D09" w:rsidR="005547CC" w:rsidRDefault="0062538A">
      <w:pPr>
        <w:pStyle w:val="TableofFigures"/>
        <w:rPr>
          <w:sz w:val="22"/>
        </w:rPr>
      </w:pPr>
      <w:hyperlink w:anchor="_Toc128137873" w:history="1">
        <w:r w:rsidR="005547CC" w:rsidRPr="00EF3655">
          <w:rPr>
            <w:rStyle w:val="Hyperlink"/>
          </w:rPr>
          <w:t>Figure 14: Percentage of Households by Area Median Income (AMI) in the SNHPC Region</w:t>
        </w:r>
        <w:r w:rsidR="005547CC">
          <w:rPr>
            <w:webHidden/>
          </w:rPr>
          <w:tab/>
        </w:r>
        <w:r w:rsidR="005547CC">
          <w:rPr>
            <w:webHidden/>
          </w:rPr>
          <w:fldChar w:fldCharType="begin"/>
        </w:r>
        <w:r w:rsidR="005547CC">
          <w:rPr>
            <w:webHidden/>
          </w:rPr>
          <w:instrText xml:space="preserve"> PAGEREF _Toc128137873 \h </w:instrText>
        </w:r>
        <w:r w:rsidR="005547CC">
          <w:rPr>
            <w:webHidden/>
          </w:rPr>
        </w:r>
        <w:r w:rsidR="005547CC">
          <w:rPr>
            <w:webHidden/>
          </w:rPr>
          <w:fldChar w:fldCharType="separate"/>
        </w:r>
        <w:r w:rsidR="005547CC">
          <w:rPr>
            <w:webHidden/>
          </w:rPr>
          <w:t>54</w:t>
        </w:r>
        <w:r w:rsidR="005547CC">
          <w:rPr>
            <w:webHidden/>
          </w:rPr>
          <w:fldChar w:fldCharType="end"/>
        </w:r>
      </w:hyperlink>
    </w:p>
    <w:p w14:paraId="0F97D550" w14:textId="7200CC07" w:rsidR="005547CC" w:rsidRDefault="0062538A">
      <w:pPr>
        <w:pStyle w:val="TableofFigures"/>
        <w:rPr>
          <w:sz w:val="22"/>
        </w:rPr>
      </w:pPr>
      <w:hyperlink w:anchor="_Toc128137874" w:history="1">
        <w:r w:rsidR="005547CC" w:rsidRPr="00EF3655">
          <w:rPr>
            <w:rStyle w:val="Hyperlink"/>
          </w:rPr>
          <w:t>Figure 15: Percentage of Households by Area Median Income (AMI) in NH</w:t>
        </w:r>
        <w:r w:rsidR="005547CC">
          <w:rPr>
            <w:webHidden/>
          </w:rPr>
          <w:tab/>
        </w:r>
        <w:r w:rsidR="005547CC">
          <w:rPr>
            <w:webHidden/>
          </w:rPr>
          <w:fldChar w:fldCharType="begin"/>
        </w:r>
        <w:r w:rsidR="005547CC">
          <w:rPr>
            <w:webHidden/>
          </w:rPr>
          <w:instrText xml:space="preserve"> PAGEREF _Toc128137874 \h </w:instrText>
        </w:r>
        <w:r w:rsidR="005547CC">
          <w:rPr>
            <w:webHidden/>
          </w:rPr>
        </w:r>
        <w:r w:rsidR="005547CC">
          <w:rPr>
            <w:webHidden/>
          </w:rPr>
          <w:fldChar w:fldCharType="separate"/>
        </w:r>
        <w:r w:rsidR="005547CC">
          <w:rPr>
            <w:webHidden/>
          </w:rPr>
          <w:t>54</w:t>
        </w:r>
        <w:r w:rsidR="005547CC">
          <w:rPr>
            <w:webHidden/>
          </w:rPr>
          <w:fldChar w:fldCharType="end"/>
        </w:r>
      </w:hyperlink>
    </w:p>
    <w:p w14:paraId="4EDF2791" w14:textId="73A95682" w:rsidR="005547CC" w:rsidRDefault="0062538A">
      <w:pPr>
        <w:pStyle w:val="TableofFigures"/>
        <w:rPr>
          <w:sz w:val="22"/>
        </w:rPr>
      </w:pPr>
      <w:hyperlink w:anchor="_Toc128137875" w:history="1">
        <w:r w:rsidR="005547CC" w:rsidRPr="00EF3655">
          <w:rPr>
            <w:rStyle w:val="Hyperlink"/>
          </w:rPr>
          <w:t>Figure 16: US Construction Costs Have Historically Not Driven the Rising Cost of Housing</w:t>
        </w:r>
        <w:r w:rsidR="005547CC">
          <w:rPr>
            <w:webHidden/>
          </w:rPr>
          <w:tab/>
        </w:r>
        <w:r w:rsidR="005547CC">
          <w:rPr>
            <w:webHidden/>
          </w:rPr>
          <w:fldChar w:fldCharType="begin"/>
        </w:r>
        <w:r w:rsidR="005547CC">
          <w:rPr>
            <w:webHidden/>
          </w:rPr>
          <w:instrText xml:space="preserve"> PAGEREF _Toc128137875 \h </w:instrText>
        </w:r>
        <w:r w:rsidR="005547CC">
          <w:rPr>
            <w:webHidden/>
          </w:rPr>
        </w:r>
        <w:r w:rsidR="005547CC">
          <w:rPr>
            <w:webHidden/>
          </w:rPr>
          <w:fldChar w:fldCharType="separate"/>
        </w:r>
        <w:r w:rsidR="005547CC">
          <w:rPr>
            <w:webHidden/>
          </w:rPr>
          <w:t>59</w:t>
        </w:r>
        <w:r w:rsidR="005547CC">
          <w:rPr>
            <w:webHidden/>
          </w:rPr>
          <w:fldChar w:fldCharType="end"/>
        </w:r>
      </w:hyperlink>
    </w:p>
    <w:p w14:paraId="61FDC6C8" w14:textId="3128E180" w:rsidR="005547CC" w:rsidRDefault="0062538A">
      <w:pPr>
        <w:pStyle w:val="TableofFigures"/>
        <w:rPr>
          <w:sz w:val="22"/>
        </w:rPr>
      </w:pPr>
      <w:hyperlink r:id="rId22" w:anchor="_Toc128137876" w:history="1">
        <w:r w:rsidR="005547CC" w:rsidRPr="00EF3655">
          <w:rPr>
            <w:rStyle w:val="Hyperlink"/>
          </w:rPr>
          <w:t>Figure 17: New Hampshire's Population Growth Rate Over Time</w:t>
        </w:r>
        <w:r w:rsidR="005547CC">
          <w:rPr>
            <w:webHidden/>
          </w:rPr>
          <w:tab/>
        </w:r>
        <w:r w:rsidR="005547CC">
          <w:rPr>
            <w:webHidden/>
          </w:rPr>
          <w:fldChar w:fldCharType="begin"/>
        </w:r>
        <w:r w:rsidR="005547CC">
          <w:rPr>
            <w:webHidden/>
          </w:rPr>
          <w:instrText xml:space="preserve"> PAGEREF _Toc128137876 \h </w:instrText>
        </w:r>
        <w:r w:rsidR="005547CC">
          <w:rPr>
            <w:webHidden/>
          </w:rPr>
        </w:r>
        <w:r w:rsidR="005547CC">
          <w:rPr>
            <w:webHidden/>
          </w:rPr>
          <w:fldChar w:fldCharType="separate"/>
        </w:r>
        <w:r w:rsidR="005547CC">
          <w:rPr>
            <w:webHidden/>
          </w:rPr>
          <w:t>73</w:t>
        </w:r>
        <w:r w:rsidR="005547CC">
          <w:rPr>
            <w:webHidden/>
          </w:rPr>
          <w:fldChar w:fldCharType="end"/>
        </w:r>
      </w:hyperlink>
    </w:p>
    <w:p w14:paraId="5FBFD014" w14:textId="0A8C1A77" w:rsidR="005547CC" w:rsidRDefault="0062538A">
      <w:pPr>
        <w:pStyle w:val="TableofFigures"/>
        <w:rPr>
          <w:sz w:val="22"/>
        </w:rPr>
      </w:pPr>
      <w:hyperlink r:id="rId23" w:anchor="_Toc128137877" w:history="1">
        <w:r w:rsidR="005547CC" w:rsidRPr="00EF3655">
          <w:rPr>
            <w:rStyle w:val="Hyperlink"/>
          </w:rPr>
          <w:t>Figure 18: SNHPC Age GroupS as a Percentage of the Total Population</w:t>
        </w:r>
        <w:r w:rsidR="005547CC">
          <w:rPr>
            <w:webHidden/>
          </w:rPr>
          <w:tab/>
        </w:r>
        <w:r w:rsidR="005547CC">
          <w:rPr>
            <w:webHidden/>
          </w:rPr>
          <w:fldChar w:fldCharType="begin"/>
        </w:r>
        <w:r w:rsidR="005547CC">
          <w:rPr>
            <w:webHidden/>
          </w:rPr>
          <w:instrText xml:space="preserve"> PAGEREF _Toc128137877 \h </w:instrText>
        </w:r>
        <w:r w:rsidR="005547CC">
          <w:rPr>
            <w:webHidden/>
          </w:rPr>
        </w:r>
        <w:r w:rsidR="005547CC">
          <w:rPr>
            <w:webHidden/>
          </w:rPr>
          <w:fldChar w:fldCharType="separate"/>
        </w:r>
        <w:r w:rsidR="005547CC">
          <w:rPr>
            <w:webHidden/>
          </w:rPr>
          <w:t>73</w:t>
        </w:r>
        <w:r w:rsidR="005547CC">
          <w:rPr>
            <w:webHidden/>
          </w:rPr>
          <w:fldChar w:fldCharType="end"/>
        </w:r>
      </w:hyperlink>
    </w:p>
    <w:p w14:paraId="5C9E7EE8" w14:textId="48509063" w:rsidR="005547CC" w:rsidRDefault="0062538A">
      <w:pPr>
        <w:pStyle w:val="TableofFigures"/>
        <w:rPr>
          <w:sz w:val="22"/>
        </w:rPr>
      </w:pPr>
      <w:hyperlink w:anchor="_Toc128137878" w:history="1">
        <w:r w:rsidR="005547CC" w:rsidRPr="00EF3655">
          <w:rPr>
            <w:rStyle w:val="Hyperlink"/>
          </w:rPr>
          <w:t>Figure 19: Average Annual SNHPC Net New Housing Units</w:t>
        </w:r>
        <w:r w:rsidR="005547CC">
          <w:rPr>
            <w:webHidden/>
          </w:rPr>
          <w:tab/>
        </w:r>
        <w:r w:rsidR="005547CC">
          <w:rPr>
            <w:webHidden/>
          </w:rPr>
          <w:fldChar w:fldCharType="begin"/>
        </w:r>
        <w:r w:rsidR="005547CC">
          <w:rPr>
            <w:webHidden/>
          </w:rPr>
          <w:instrText xml:space="preserve"> PAGEREF _Toc128137878 \h </w:instrText>
        </w:r>
        <w:r w:rsidR="005547CC">
          <w:rPr>
            <w:webHidden/>
          </w:rPr>
        </w:r>
        <w:r w:rsidR="005547CC">
          <w:rPr>
            <w:webHidden/>
          </w:rPr>
          <w:fldChar w:fldCharType="separate"/>
        </w:r>
        <w:r w:rsidR="005547CC">
          <w:rPr>
            <w:webHidden/>
          </w:rPr>
          <w:t>79</w:t>
        </w:r>
        <w:r w:rsidR="005547CC">
          <w:rPr>
            <w:webHidden/>
          </w:rPr>
          <w:fldChar w:fldCharType="end"/>
        </w:r>
      </w:hyperlink>
    </w:p>
    <w:p w14:paraId="47777CD9" w14:textId="5F4B8288" w:rsidR="005547CC" w:rsidRDefault="0062538A">
      <w:pPr>
        <w:pStyle w:val="TableofFigures"/>
        <w:rPr>
          <w:sz w:val="22"/>
        </w:rPr>
      </w:pPr>
      <w:hyperlink w:anchor="_Toc128137879" w:history="1">
        <w:r w:rsidR="005547CC" w:rsidRPr="00EF3655">
          <w:rPr>
            <w:rStyle w:val="Hyperlink"/>
          </w:rPr>
          <w:t>Figure 20: Home-Building Industry Survey Result</w:t>
        </w:r>
        <w:r w:rsidR="005547CC">
          <w:rPr>
            <w:webHidden/>
          </w:rPr>
          <w:tab/>
        </w:r>
        <w:r w:rsidR="005547CC">
          <w:rPr>
            <w:webHidden/>
          </w:rPr>
          <w:fldChar w:fldCharType="begin"/>
        </w:r>
        <w:r w:rsidR="005547CC">
          <w:rPr>
            <w:webHidden/>
          </w:rPr>
          <w:instrText xml:space="preserve"> PAGEREF _Toc128137879 \h </w:instrText>
        </w:r>
        <w:r w:rsidR="005547CC">
          <w:rPr>
            <w:webHidden/>
          </w:rPr>
        </w:r>
        <w:r w:rsidR="005547CC">
          <w:rPr>
            <w:webHidden/>
          </w:rPr>
          <w:fldChar w:fldCharType="separate"/>
        </w:r>
        <w:r w:rsidR="005547CC">
          <w:rPr>
            <w:webHidden/>
          </w:rPr>
          <w:t>83</w:t>
        </w:r>
        <w:r w:rsidR="005547CC">
          <w:rPr>
            <w:webHidden/>
          </w:rPr>
          <w:fldChar w:fldCharType="end"/>
        </w:r>
      </w:hyperlink>
    </w:p>
    <w:p w14:paraId="4DFD6041" w14:textId="263C93E8" w:rsidR="005547CC" w:rsidRDefault="0062538A">
      <w:pPr>
        <w:pStyle w:val="TableofFigures"/>
        <w:rPr>
          <w:sz w:val="22"/>
        </w:rPr>
      </w:pPr>
      <w:hyperlink w:anchor="_Toc128137880" w:history="1">
        <w:r w:rsidR="005547CC" w:rsidRPr="00EF3655">
          <w:rPr>
            <w:rStyle w:val="Hyperlink"/>
          </w:rPr>
          <w:t>Figure 21: Title VI/EJ Population Concentrations for SNHPC Census Tracts</w:t>
        </w:r>
        <w:r w:rsidR="005547CC">
          <w:rPr>
            <w:webHidden/>
          </w:rPr>
          <w:tab/>
        </w:r>
        <w:r w:rsidR="005547CC">
          <w:rPr>
            <w:webHidden/>
          </w:rPr>
          <w:fldChar w:fldCharType="begin"/>
        </w:r>
        <w:r w:rsidR="005547CC">
          <w:rPr>
            <w:webHidden/>
          </w:rPr>
          <w:instrText xml:space="preserve"> PAGEREF _Toc128137880 \h </w:instrText>
        </w:r>
        <w:r w:rsidR="005547CC">
          <w:rPr>
            <w:webHidden/>
          </w:rPr>
        </w:r>
        <w:r w:rsidR="005547CC">
          <w:rPr>
            <w:webHidden/>
          </w:rPr>
          <w:fldChar w:fldCharType="separate"/>
        </w:r>
        <w:r w:rsidR="005547CC">
          <w:rPr>
            <w:webHidden/>
          </w:rPr>
          <w:t>84</w:t>
        </w:r>
        <w:r w:rsidR="005547CC">
          <w:rPr>
            <w:webHidden/>
          </w:rPr>
          <w:fldChar w:fldCharType="end"/>
        </w:r>
      </w:hyperlink>
    </w:p>
    <w:p w14:paraId="0C628C23" w14:textId="7E57F54B" w:rsidR="005547CC" w:rsidRDefault="0062538A">
      <w:pPr>
        <w:pStyle w:val="TableofFigures"/>
        <w:rPr>
          <w:sz w:val="22"/>
        </w:rPr>
      </w:pPr>
      <w:hyperlink w:anchor="_Toc128137881" w:history="1">
        <w:r w:rsidR="005547CC" w:rsidRPr="00EF3655">
          <w:rPr>
            <w:rStyle w:val="Hyperlink"/>
          </w:rPr>
          <w:t>Figure 22: Average Property Value by Acreage Decile for SNHPC Single-Family Homes</w:t>
        </w:r>
        <w:r w:rsidR="005547CC">
          <w:rPr>
            <w:webHidden/>
          </w:rPr>
          <w:tab/>
        </w:r>
        <w:r w:rsidR="005547CC">
          <w:rPr>
            <w:webHidden/>
          </w:rPr>
          <w:fldChar w:fldCharType="begin"/>
        </w:r>
        <w:r w:rsidR="005547CC">
          <w:rPr>
            <w:webHidden/>
          </w:rPr>
          <w:instrText xml:space="preserve"> PAGEREF _Toc128137881 \h </w:instrText>
        </w:r>
        <w:r w:rsidR="005547CC">
          <w:rPr>
            <w:webHidden/>
          </w:rPr>
        </w:r>
        <w:r w:rsidR="005547CC">
          <w:rPr>
            <w:webHidden/>
          </w:rPr>
          <w:fldChar w:fldCharType="separate"/>
        </w:r>
        <w:r w:rsidR="005547CC">
          <w:rPr>
            <w:webHidden/>
          </w:rPr>
          <w:t>85</w:t>
        </w:r>
        <w:r w:rsidR="005547CC">
          <w:rPr>
            <w:webHidden/>
          </w:rPr>
          <w:fldChar w:fldCharType="end"/>
        </w:r>
      </w:hyperlink>
    </w:p>
    <w:p w14:paraId="3BA6CB1E" w14:textId="45738157" w:rsidR="005547CC" w:rsidRDefault="0062538A">
      <w:pPr>
        <w:pStyle w:val="TableofFigures"/>
        <w:rPr>
          <w:sz w:val="22"/>
        </w:rPr>
      </w:pPr>
      <w:hyperlink w:anchor="_Toc128137882" w:history="1">
        <w:r w:rsidR="005547CC" w:rsidRPr="00EF3655">
          <w:rPr>
            <w:rStyle w:val="Hyperlink"/>
          </w:rPr>
          <w:t>Figure 23: Derry Single-Family Homes: Value per Acre</w:t>
        </w:r>
        <w:r w:rsidR="005547CC">
          <w:rPr>
            <w:webHidden/>
          </w:rPr>
          <w:tab/>
        </w:r>
        <w:r w:rsidR="005547CC">
          <w:rPr>
            <w:webHidden/>
          </w:rPr>
          <w:fldChar w:fldCharType="begin"/>
        </w:r>
        <w:r w:rsidR="005547CC">
          <w:rPr>
            <w:webHidden/>
          </w:rPr>
          <w:instrText xml:space="preserve"> PAGEREF _Toc128137882 \h </w:instrText>
        </w:r>
        <w:r w:rsidR="005547CC">
          <w:rPr>
            <w:webHidden/>
          </w:rPr>
        </w:r>
        <w:r w:rsidR="005547CC">
          <w:rPr>
            <w:webHidden/>
          </w:rPr>
          <w:fldChar w:fldCharType="separate"/>
        </w:r>
        <w:r w:rsidR="005547CC">
          <w:rPr>
            <w:webHidden/>
          </w:rPr>
          <w:t>86</w:t>
        </w:r>
        <w:r w:rsidR="005547CC">
          <w:rPr>
            <w:webHidden/>
          </w:rPr>
          <w:fldChar w:fldCharType="end"/>
        </w:r>
      </w:hyperlink>
    </w:p>
    <w:p w14:paraId="08CB24C7" w14:textId="65DDD9D7" w:rsidR="005547CC" w:rsidRDefault="0062538A">
      <w:pPr>
        <w:pStyle w:val="TableofFigures"/>
        <w:rPr>
          <w:sz w:val="22"/>
        </w:rPr>
      </w:pPr>
      <w:hyperlink w:anchor="_Toc128137883" w:history="1">
        <w:r w:rsidR="005547CC" w:rsidRPr="00EF3655">
          <w:rPr>
            <w:rStyle w:val="Hyperlink"/>
          </w:rPr>
          <w:t>Figure 24: Chester Community Forum</w:t>
        </w:r>
        <w:r w:rsidR="005547CC">
          <w:rPr>
            <w:webHidden/>
          </w:rPr>
          <w:tab/>
        </w:r>
        <w:r w:rsidR="005547CC">
          <w:rPr>
            <w:webHidden/>
          </w:rPr>
          <w:fldChar w:fldCharType="begin"/>
        </w:r>
        <w:r w:rsidR="005547CC">
          <w:rPr>
            <w:webHidden/>
          </w:rPr>
          <w:instrText xml:space="preserve"> PAGEREF _Toc128137883 \h </w:instrText>
        </w:r>
        <w:r w:rsidR="005547CC">
          <w:rPr>
            <w:webHidden/>
          </w:rPr>
        </w:r>
        <w:r w:rsidR="005547CC">
          <w:rPr>
            <w:webHidden/>
          </w:rPr>
          <w:fldChar w:fldCharType="separate"/>
        </w:r>
        <w:r w:rsidR="005547CC">
          <w:rPr>
            <w:webHidden/>
          </w:rPr>
          <w:t>92</w:t>
        </w:r>
        <w:r w:rsidR="005547CC">
          <w:rPr>
            <w:webHidden/>
          </w:rPr>
          <w:fldChar w:fldCharType="end"/>
        </w:r>
      </w:hyperlink>
    </w:p>
    <w:p w14:paraId="744EA8D4" w14:textId="48BC5412" w:rsidR="005547CC" w:rsidRDefault="0062538A">
      <w:pPr>
        <w:pStyle w:val="TableofFigures"/>
        <w:rPr>
          <w:sz w:val="22"/>
        </w:rPr>
      </w:pPr>
      <w:hyperlink w:anchor="_Toc128137884" w:history="1">
        <w:r w:rsidR="005547CC" w:rsidRPr="00EF3655">
          <w:rPr>
            <w:rStyle w:val="Hyperlink"/>
          </w:rPr>
          <w:t>Figure 25: Cost Burdened Households</w:t>
        </w:r>
        <w:r w:rsidR="005547CC">
          <w:rPr>
            <w:webHidden/>
          </w:rPr>
          <w:tab/>
        </w:r>
        <w:r w:rsidR="005547CC">
          <w:rPr>
            <w:webHidden/>
          </w:rPr>
          <w:fldChar w:fldCharType="begin"/>
        </w:r>
        <w:r w:rsidR="005547CC">
          <w:rPr>
            <w:webHidden/>
          </w:rPr>
          <w:instrText xml:space="preserve"> PAGEREF _Toc128137884 \h </w:instrText>
        </w:r>
        <w:r w:rsidR="005547CC">
          <w:rPr>
            <w:webHidden/>
          </w:rPr>
        </w:r>
        <w:r w:rsidR="005547CC">
          <w:rPr>
            <w:webHidden/>
          </w:rPr>
          <w:fldChar w:fldCharType="separate"/>
        </w:r>
        <w:r w:rsidR="005547CC">
          <w:rPr>
            <w:webHidden/>
          </w:rPr>
          <w:t>100</w:t>
        </w:r>
        <w:r w:rsidR="005547CC">
          <w:rPr>
            <w:webHidden/>
          </w:rPr>
          <w:fldChar w:fldCharType="end"/>
        </w:r>
      </w:hyperlink>
    </w:p>
    <w:p w14:paraId="08AFB23F" w14:textId="4CA9B701" w:rsidR="005547CC" w:rsidRDefault="0062538A">
      <w:pPr>
        <w:pStyle w:val="TableofFigures"/>
        <w:rPr>
          <w:sz w:val="22"/>
        </w:rPr>
      </w:pPr>
      <w:hyperlink w:anchor="_Toc128137885" w:history="1">
        <w:r w:rsidR="005547CC" w:rsidRPr="00EF3655">
          <w:rPr>
            <w:rStyle w:val="Hyperlink"/>
          </w:rPr>
          <w:t>Figure 26: How Transportation Decisions Drive Land Use</w:t>
        </w:r>
        <w:r w:rsidR="005547CC">
          <w:rPr>
            <w:webHidden/>
          </w:rPr>
          <w:tab/>
        </w:r>
        <w:r w:rsidR="005547CC">
          <w:rPr>
            <w:webHidden/>
          </w:rPr>
          <w:fldChar w:fldCharType="begin"/>
        </w:r>
        <w:r w:rsidR="005547CC">
          <w:rPr>
            <w:webHidden/>
          </w:rPr>
          <w:instrText xml:space="preserve"> PAGEREF _Toc128137885 \h </w:instrText>
        </w:r>
        <w:r w:rsidR="005547CC">
          <w:rPr>
            <w:webHidden/>
          </w:rPr>
        </w:r>
        <w:r w:rsidR="005547CC">
          <w:rPr>
            <w:webHidden/>
          </w:rPr>
          <w:fldChar w:fldCharType="separate"/>
        </w:r>
        <w:r w:rsidR="005547CC">
          <w:rPr>
            <w:webHidden/>
          </w:rPr>
          <w:t>104</w:t>
        </w:r>
        <w:r w:rsidR="005547CC">
          <w:rPr>
            <w:webHidden/>
          </w:rPr>
          <w:fldChar w:fldCharType="end"/>
        </w:r>
      </w:hyperlink>
    </w:p>
    <w:p w14:paraId="5755DDA6" w14:textId="1EB26361" w:rsidR="005547CC" w:rsidRDefault="0062538A">
      <w:pPr>
        <w:pStyle w:val="TableofFigures"/>
        <w:rPr>
          <w:sz w:val="22"/>
        </w:rPr>
      </w:pPr>
      <w:hyperlink w:anchor="_Toc128137886" w:history="1">
        <w:r w:rsidR="005547CC" w:rsidRPr="00EF3655">
          <w:rPr>
            <w:rStyle w:val="Hyperlink"/>
          </w:rPr>
          <w:t>Figure 27: Off-Street Spaced Reserved for Parking in Manchester</w:t>
        </w:r>
        <w:r w:rsidR="005547CC">
          <w:rPr>
            <w:webHidden/>
          </w:rPr>
          <w:tab/>
        </w:r>
        <w:r w:rsidR="005547CC">
          <w:rPr>
            <w:webHidden/>
          </w:rPr>
          <w:fldChar w:fldCharType="begin"/>
        </w:r>
        <w:r w:rsidR="005547CC">
          <w:rPr>
            <w:webHidden/>
          </w:rPr>
          <w:instrText xml:space="preserve"> PAGEREF _Toc128137886 \h </w:instrText>
        </w:r>
        <w:r w:rsidR="005547CC">
          <w:rPr>
            <w:webHidden/>
          </w:rPr>
        </w:r>
        <w:r w:rsidR="005547CC">
          <w:rPr>
            <w:webHidden/>
          </w:rPr>
          <w:fldChar w:fldCharType="separate"/>
        </w:r>
        <w:r w:rsidR="005547CC">
          <w:rPr>
            <w:webHidden/>
          </w:rPr>
          <w:t>105</w:t>
        </w:r>
        <w:r w:rsidR="005547CC">
          <w:rPr>
            <w:webHidden/>
          </w:rPr>
          <w:fldChar w:fldCharType="end"/>
        </w:r>
      </w:hyperlink>
    </w:p>
    <w:p w14:paraId="1424FD14" w14:textId="32E9B6E1" w:rsidR="005547CC" w:rsidRDefault="0062538A">
      <w:pPr>
        <w:pStyle w:val="TableofFigures"/>
        <w:rPr>
          <w:sz w:val="22"/>
        </w:rPr>
      </w:pPr>
      <w:hyperlink w:anchor="_Toc128137887" w:history="1">
        <w:r w:rsidR="005547CC" w:rsidRPr="00EF3655">
          <w:rPr>
            <w:rStyle w:val="Hyperlink"/>
          </w:rPr>
          <w:t>Figure 28: Water and Sewer Service</w:t>
        </w:r>
        <w:r w:rsidR="005547CC">
          <w:rPr>
            <w:webHidden/>
          </w:rPr>
          <w:tab/>
        </w:r>
        <w:r w:rsidR="005547CC">
          <w:rPr>
            <w:webHidden/>
          </w:rPr>
          <w:fldChar w:fldCharType="begin"/>
        </w:r>
        <w:r w:rsidR="005547CC">
          <w:rPr>
            <w:webHidden/>
          </w:rPr>
          <w:instrText xml:space="preserve"> PAGEREF _Toc128137887 \h </w:instrText>
        </w:r>
        <w:r w:rsidR="005547CC">
          <w:rPr>
            <w:webHidden/>
          </w:rPr>
        </w:r>
        <w:r w:rsidR="005547CC">
          <w:rPr>
            <w:webHidden/>
          </w:rPr>
          <w:fldChar w:fldCharType="separate"/>
        </w:r>
        <w:r w:rsidR="005547CC">
          <w:rPr>
            <w:webHidden/>
          </w:rPr>
          <w:t>106</w:t>
        </w:r>
        <w:r w:rsidR="005547CC">
          <w:rPr>
            <w:webHidden/>
          </w:rPr>
          <w:fldChar w:fldCharType="end"/>
        </w:r>
      </w:hyperlink>
    </w:p>
    <w:p w14:paraId="6A0D9E96" w14:textId="784E4494" w:rsidR="005547CC" w:rsidRDefault="0062538A">
      <w:pPr>
        <w:pStyle w:val="TableofFigures"/>
        <w:rPr>
          <w:sz w:val="22"/>
        </w:rPr>
      </w:pPr>
      <w:hyperlink w:anchor="_Toc128137888" w:history="1">
        <w:r w:rsidR="005547CC" w:rsidRPr="00EF3655">
          <w:rPr>
            <w:rStyle w:val="Hyperlink"/>
          </w:rPr>
          <w:t>Figure 29: Food Access Map</w:t>
        </w:r>
        <w:r w:rsidR="005547CC">
          <w:rPr>
            <w:webHidden/>
          </w:rPr>
          <w:tab/>
        </w:r>
        <w:r w:rsidR="005547CC">
          <w:rPr>
            <w:webHidden/>
          </w:rPr>
          <w:fldChar w:fldCharType="begin"/>
        </w:r>
        <w:r w:rsidR="005547CC">
          <w:rPr>
            <w:webHidden/>
          </w:rPr>
          <w:instrText xml:space="preserve"> PAGEREF _Toc128137888 \h </w:instrText>
        </w:r>
        <w:r w:rsidR="005547CC">
          <w:rPr>
            <w:webHidden/>
          </w:rPr>
        </w:r>
        <w:r w:rsidR="005547CC">
          <w:rPr>
            <w:webHidden/>
          </w:rPr>
          <w:fldChar w:fldCharType="separate"/>
        </w:r>
        <w:r w:rsidR="005547CC">
          <w:rPr>
            <w:webHidden/>
          </w:rPr>
          <w:t>110</w:t>
        </w:r>
        <w:r w:rsidR="005547CC">
          <w:rPr>
            <w:webHidden/>
          </w:rPr>
          <w:fldChar w:fldCharType="end"/>
        </w:r>
      </w:hyperlink>
    </w:p>
    <w:p w14:paraId="2789D4C8" w14:textId="11B78519" w:rsidR="005547CC" w:rsidRDefault="0062538A">
      <w:pPr>
        <w:pStyle w:val="TableofFigures"/>
        <w:rPr>
          <w:sz w:val="22"/>
        </w:rPr>
      </w:pPr>
      <w:hyperlink r:id="rId24" w:anchor="_Toc128137889" w:history="1">
        <w:r w:rsidR="005547CC" w:rsidRPr="00EF3655">
          <w:rPr>
            <w:rStyle w:val="Hyperlink"/>
          </w:rPr>
          <w:t>Figure 30: Radon Risk by County.</w:t>
        </w:r>
        <w:r w:rsidR="005547CC">
          <w:rPr>
            <w:webHidden/>
          </w:rPr>
          <w:tab/>
        </w:r>
        <w:r w:rsidR="005547CC">
          <w:rPr>
            <w:webHidden/>
          </w:rPr>
          <w:fldChar w:fldCharType="begin"/>
        </w:r>
        <w:r w:rsidR="005547CC">
          <w:rPr>
            <w:webHidden/>
          </w:rPr>
          <w:instrText xml:space="preserve"> PAGEREF _Toc128137889 \h </w:instrText>
        </w:r>
        <w:r w:rsidR="005547CC">
          <w:rPr>
            <w:webHidden/>
          </w:rPr>
        </w:r>
        <w:r w:rsidR="005547CC">
          <w:rPr>
            <w:webHidden/>
          </w:rPr>
          <w:fldChar w:fldCharType="separate"/>
        </w:r>
        <w:r w:rsidR="005547CC">
          <w:rPr>
            <w:webHidden/>
          </w:rPr>
          <w:t>111</w:t>
        </w:r>
        <w:r w:rsidR="005547CC">
          <w:rPr>
            <w:webHidden/>
          </w:rPr>
          <w:fldChar w:fldCharType="end"/>
        </w:r>
      </w:hyperlink>
    </w:p>
    <w:p w14:paraId="6DB4D2E5" w14:textId="223ACCE4" w:rsidR="005547CC" w:rsidRDefault="0062538A">
      <w:pPr>
        <w:pStyle w:val="TableofFigures"/>
        <w:rPr>
          <w:sz w:val="22"/>
        </w:rPr>
      </w:pPr>
      <w:hyperlink w:anchor="_Toc128137890" w:history="1">
        <w:r w:rsidR="005547CC" w:rsidRPr="00EF3655">
          <w:rPr>
            <w:rStyle w:val="Hyperlink"/>
          </w:rPr>
          <w:t>Figure 31: New Hampshire Housing Finance Authority Area Opportunity Index</w:t>
        </w:r>
        <w:r w:rsidR="005547CC">
          <w:rPr>
            <w:webHidden/>
          </w:rPr>
          <w:tab/>
        </w:r>
        <w:r w:rsidR="005547CC">
          <w:rPr>
            <w:webHidden/>
          </w:rPr>
          <w:fldChar w:fldCharType="begin"/>
        </w:r>
        <w:r w:rsidR="005547CC">
          <w:rPr>
            <w:webHidden/>
          </w:rPr>
          <w:instrText xml:space="preserve"> PAGEREF _Toc128137890 \h </w:instrText>
        </w:r>
        <w:r w:rsidR="005547CC">
          <w:rPr>
            <w:webHidden/>
          </w:rPr>
        </w:r>
        <w:r w:rsidR="005547CC">
          <w:rPr>
            <w:webHidden/>
          </w:rPr>
          <w:fldChar w:fldCharType="separate"/>
        </w:r>
        <w:r w:rsidR="005547CC">
          <w:rPr>
            <w:webHidden/>
          </w:rPr>
          <w:t>117</w:t>
        </w:r>
        <w:r w:rsidR="005547CC">
          <w:rPr>
            <w:webHidden/>
          </w:rPr>
          <w:fldChar w:fldCharType="end"/>
        </w:r>
      </w:hyperlink>
    </w:p>
    <w:p w14:paraId="4D0B9E04" w14:textId="26EBAE0B" w:rsidR="005547CC" w:rsidRDefault="0062538A">
      <w:pPr>
        <w:pStyle w:val="TableofFigures"/>
        <w:rPr>
          <w:sz w:val="22"/>
        </w:rPr>
      </w:pPr>
      <w:hyperlink w:anchor="_Toc128137891" w:history="1">
        <w:r w:rsidR="005547CC" w:rsidRPr="00EF3655">
          <w:rPr>
            <w:rStyle w:val="Hyperlink"/>
          </w:rPr>
          <w:t>Figure 32: General Public Survey Response on level of agreement for housing types</w:t>
        </w:r>
        <w:r w:rsidR="005547CC">
          <w:rPr>
            <w:webHidden/>
          </w:rPr>
          <w:tab/>
        </w:r>
        <w:r w:rsidR="005547CC">
          <w:rPr>
            <w:webHidden/>
          </w:rPr>
          <w:fldChar w:fldCharType="begin"/>
        </w:r>
        <w:r w:rsidR="005547CC">
          <w:rPr>
            <w:webHidden/>
          </w:rPr>
          <w:instrText xml:space="preserve"> PAGEREF _Toc128137891 \h </w:instrText>
        </w:r>
        <w:r w:rsidR="005547CC">
          <w:rPr>
            <w:webHidden/>
          </w:rPr>
        </w:r>
        <w:r w:rsidR="005547CC">
          <w:rPr>
            <w:webHidden/>
          </w:rPr>
          <w:fldChar w:fldCharType="separate"/>
        </w:r>
        <w:r w:rsidR="005547CC">
          <w:rPr>
            <w:webHidden/>
          </w:rPr>
          <w:t>121</w:t>
        </w:r>
        <w:r w:rsidR="005547CC">
          <w:rPr>
            <w:webHidden/>
          </w:rPr>
          <w:fldChar w:fldCharType="end"/>
        </w:r>
      </w:hyperlink>
    </w:p>
    <w:p w14:paraId="3F44AE46" w14:textId="51B9DEFC" w:rsidR="00F01FE9" w:rsidRPr="00C64BA4" w:rsidRDefault="00F01FE9" w:rsidP="00206C45">
      <w:pPr>
        <w:spacing w:line="300" w:lineRule="auto"/>
      </w:pPr>
      <w:r w:rsidRPr="00C64BA4">
        <w:fldChar w:fldCharType="end"/>
      </w:r>
    </w:p>
    <w:p w14:paraId="48DE778A" w14:textId="77777777" w:rsidR="00F01FE9" w:rsidRPr="00C64BA4" w:rsidRDefault="00F01FE9" w:rsidP="00206C45">
      <w:pPr>
        <w:pStyle w:val="TOCHeading"/>
        <w:spacing w:line="300" w:lineRule="auto"/>
      </w:pPr>
      <w:r w:rsidRPr="00C64BA4">
        <w:lastRenderedPageBreak/>
        <w:t>List of Tables</w:t>
      </w:r>
    </w:p>
    <w:p w14:paraId="7AFAF1DF" w14:textId="054A1105" w:rsidR="00A064B0" w:rsidRDefault="009753F3">
      <w:pPr>
        <w:pStyle w:val="TableofFigures"/>
        <w:rPr>
          <w:sz w:val="22"/>
        </w:rPr>
      </w:pPr>
      <w:r w:rsidRPr="00C64BA4">
        <w:rPr>
          <w:b/>
          <w:bCs/>
        </w:rPr>
        <w:fldChar w:fldCharType="begin"/>
      </w:r>
      <w:r w:rsidRPr="00C64BA4">
        <w:rPr>
          <w:b/>
          <w:bCs/>
        </w:rPr>
        <w:instrText>TOC \h \z \c "Table"</w:instrText>
      </w:r>
      <w:r w:rsidRPr="00C64BA4">
        <w:rPr>
          <w:b/>
          <w:bCs/>
        </w:rPr>
        <w:fldChar w:fldCharType="separate"/>
      </w:r>
      <w:hyperlink w:anchor="_Toc128137892" w:history="1">
        <w:r w:rsidR="00A064B0" w:rsidRPr="00CD1813">
          <w:rPr>
            <w:rStyle w:val="Hyperlink"/>
          </w:rPr>
          <w:t>Table 1: Housing Unit Type as Percentage of Total Housing Units</w:t>
        </w:r>
        <w:r w:rsidR="00A064B0">
          <w:rPr>
            <w:webHidden/>
          </w:rPr>
          <w:tab/>
        </w:r>
        <w:r w:rsidR="00A064B0">
          <w:rPr>
            <w:webHidden/>
          </w:rPr>
          <w:fldChar w:fldCharType="begin"/>
        </w:r>
        <w:r w:rsidR="00A064B0">
          <w:rPr>
            <w:webHidden/>
          </w:rPr>
          <w:instrText xml:space="preserve"> PAGEREF _Toc128137892 \h </w:instrText>
        </w:r>
        <w:r w:rsidR="00A064B0">
          <w:rPr>
            <w:webHidden/>
          </w:rPr>
        </w:r>
        <w:r w:rsidR="00A064B0">
          <w:rPr>
            <w:webHidden/>
          </w:rPr>
          <w:fldChar w:fldCharType="separate"/>
        </w:r>
        <w:r w:rsidR="00A064B0">
          <w:rPr>
            <w:webHidden/>
          </w:rPr>
          <w:t>2</w:t>
        </w:r>
        <w:r w:rsidR="00A064B0">
          <w:rPr>
            <w:webHidden/>
          </w:rPr>
          <w:fldChar w:fldCharType="end"/>
        </w:r>
      </w:hyperlink>
    </w:p>
    <w:p w14:paraId="081DEEC7" w14:textId="039B1F26" w:rsidR="00A064B0" w:rsidRDefault="0062538A">
      <w:pPr>
        <w:pStyle w:val="TableofFigures"/>
        <w:rPr>
          <w:sz w:val="22"/>
        </w:rPr>
      </w:pPr>
      <w:hyperlink w:anchor="_Toc128137893" w:history="1">
        <w:r w:rsidR="00A064B0" w:rsidRPr="00CD1813">
          <w:rPr>
            <w:rStyle w:val="Hyperlink"/>
          </w:rPr>
          <w:t>Table 2: Percentage of Households Paying 30% or More of Their Income on Housing</w:t>
        </w:r>
        <w:r w:rsidR="00A064B0">
          <w:rPr>
            <w:webHidden/>
          </w:rPr>
          <w:tab/>
        </w:r>
        <w:r w:rsidR="00A064B0">
          <w:rPr>
            <w:webHidden/>
          </w:rPr>
          <w:fldChar w:fldCharType="begin"/>
        </w:r>
        <w:r w:rsidR="00A064B0">
          <w:rPr>
            <w:webHidden/>
          </w:rPr>
          <w:instrText xml:space="preserve"> PAGEREF _Toc128137893 \h </w:instrText>
        </w:r>
        <w:r w:rsidR="00A064B0">
          <w:rPr>
            <w:webHidden/>
          </w:rPr>
        </w:r>
        <w:r w:rsidR="00A064B0">
          <w:rPr>
            <w:webHidden/>
          </w:rPr>
          <w:fldChar w:fldCharType="separate"/>
        </w:r>
        <w:r w:rsidR="00A064B0">
          <w:rPr>
            <w:webHidden/>
          </w:rPr>
          <w:t>4</w:t>
        </w:r>
        <w:r w:rsidR="00A064B0">
          <w:rPr>
            <w:webHidden/>
          </w:rPr>
          <w:fldChar w:fldCharType="end"/>
        </w:r>
      </w:hyperlink>
    </w:p>
    <w:p w14:paraId="7F5DF805" w14:textId="3D0F4C1F" w:rsidR="00A064B0" w:rsidRDefault="0062538A">
      <w:pPr>
        <w:pStyle w:val="TableofFigures"/>
        <w:rPr>
          <w:sz w:val="22"/>
        </w:rPr>
      </w:pPr>
      <w:hyperlink w:anchor="_Toc128137894" w:history="1">
        <w:r w:rsidR="00A064B0" w:rsidRPr="00CD1813">
          <w:rPr>
            <w:rStyle w:val="Hyperlink"/>
          </w:rPr>
          <w:t>Table 3: Total Population</w:t>
        </w:r>
        <w:r w:rsidR="00A064B0">
          <w:rPr>
            <w:webHidden/>
          </w:rPr>
          <w:tab/>
        </w:r>
        <w:r w:rsidR="00A064B0">
          <w:rPr>
            <w:webHidden/>
          </w:rPr>
          <w:fldChar w:fldCharType="begin"/>
        </w:r>
        <w:r w:rsidR="00A064B0">
          <w:rPr>
            <w:webHidden/>
          </w:rPr>
          <w:instrText xml:space="preserve"> PAGEREF _Toc128137894 \h </w:instrText>
        </w:r>
        <w:r w:rsidR="00A064B0">
          <w:rPr>
            <w:webHidden/>
          </w:rPr>
        </w:r>
        <w:r w:rsidR="00A064B0">
          <w:rPr>
            <w:webHidden/>
          </w:rPr>
          <w:fldChar w:fldCharType="separate"/>
        </w:r>
        <w:r w:rsidR="00A064B0">
          <w:rPr>
            <w:webHidden/>
          </w:rPr>
          <w:t>21</w:t>
        </w:r>
        <w:r w:rsidR="00A064B0">
          <w:rPr>
            <w:webHidden/>
          </w:rPr>
          <w:fldChar w:fldCharType="end"/>
        </w:r>
      </w:hyperlink>
    </w:p>
    <w:p w14:paraId="5300CCB4" w14:textId="55E502D4" w:rsidR="00A064B0" w:rsidRDefault="0062538A">
      <w:pPr>
        <w:pStyle w:val="TableofFigures"/>
        <w:rPr>
          <w:sz w:val="22"/>
        </w:rPr>
      </w:pPr>
      <w:hyperlink w:anchor="_Toc128137895" w:history="1">
        <w:r w:rsidR="00A064B0" w:rsidRPr="00CD1813">
          <w:rPr>
            <w:rStyle w:val="Hyperlink"/>
          </w:rPr>
          <w:t>Table 4: SNHPC Historical and Project Populations</w:t>
        </w:r>
        <w:r w:rsidR="00A064B0">
          <w:rPr>
            <w:webHidden/>
          </w:rPr>
          <w:tab/>
        </w:r>
        <w:r w:rsidR="00A064B0">
          <w:rPr>
            <w:webHidden/>
          </w:rPr>
          <w:fldChar w:fldCharType="begin"/>
        </w:r>
        <w:r w:rsidR="00A064B0">
          <w:rPr>
            <w:webHidden/>
          </w:rPr>
          <w:instrText xml:space="preserve"> PAGEREF _Toc128137895 \h </w:instrText>
        </w:r>
        <w:r w:rsidR="00A064B0">
          <w:rPr>
            <w:webHidden/>
          </w:rPr>
        </w:r>
        <w:r w:rsidR="00A064B0">
          <w:rPr>
            <w:webHidden/>
          </w:rPr>
          <w:fldChar w:fldCharType="separate"/>
        </w:r>
        <w:r w:rsidR="00A064B0">
          <w:rPr>
            <w:webHidden/>
          </w:rPr>
          <w:t>22</w:t>
        </w:r>
        <w:r w:rsidR="00A064B0">
          <w:rPr>
            <w:webHidden/>
          </w:rPr>
          <w:fldChar w:fldCharType="end"/>
        </w:r>
      </w:hyperlink>
    </w:p>
    <w:p w14:paraId="60B9FD04" w14:textId="06AF6186" w:rsidR="00A064B0" w:rsidRDefault="0062538A">
      <w:pPr>
        <w:pStyle w:val="TableofFigures"/>
        <w:rPr>
          <w:sz w:val="22"/>
        </w:rPr>
      </w:pPr>
      <w:hyperlink w:anchor="_Toc128137896" w:history="1">
        <w:r w:rsidR="00A064B0" w:rsidRPr="00CD1813">
          <w:rPr>
            <w:rStyle w:val="Hyperlink"/>
          </w:rPr>
          <w:t>Table 5: Minors per Household</w:t>
        </w:r>
        <w:r w:rsidR="00A064B0">
          <w:rPr>
            <w:webHidden/>
          </w:rPr>
          <w:tab/>
        </w:r>
        <w:r w:rsidR="00A064B0">
          <w:rPr>
            <w:webHidden/>
          </w:rPr>
          <w:fldChar w:fldCharType="begin"/>
        </w:r>
        <w:r w:rsidR="00A064B0">
          <w:rPr>
            <w:webHidden/>
          </w:rPr>
          <w:instrText xml:space="preserve"> PAGEREF _Toc128137896 \h </w:instrText>
        </w:r>
        <w:r w:rsidR="00A064B0">
          <w:rPr>
            <w:webHidden/>
          </w:rPr>
        </w:r>
        <w:r w:rsidR="00A064B0">
          <w:rPr>
            <w:webHidden/>
          </w:rPr>
          <w:fldChar w:fldCharType="separate"/>
        </w:r>
        <w:r w:rsidR="00A064B0">
          <w:rPr>
            <w:webHidden/>
          </w:rPr>
          <w:t>23</w:t>
        </w:r>
        <w:r w:rsidR="00A064B0">
          <w:rPr>
            <w:webHidden/>
          </w:rPr>
          <w:fldChar w:fldCharType="end"/>
        </w:r>
      </w:hyperlink>
    </w:p>
    <w:p w14:paraId="5A2C644F" w14:textId="0EA85CAB" w:rsidR="00A064B0" w:rsidRDefault="0062538A">
      <w:pPr>
        <w:pStyle w:val="TableofFigures"/>
        <w:rPr>
          <w:sz w:val="22"/>
        </w:rPr>
      </w:pPr>
      <w:hyperlink w:anchor="_Toc128137897" w:history="1">
        <w:r w:rsidR="00A064B0" w:rsidRPr="00CD1813">
          <w:rPr>
            <w:rStyle w:val="Hyperlink"/>
          </w:rPr>
          <w:t>Table 6: 2020 Persons per Household</w:t>
        </w:r>
        <w:r w:rsidR="00A064B0">
          <w:rPr>
            <w:webHidden/>
          </w:rPr>
          <w:tab/>
        </w:r>
        <w:r w:rsidR="00A064B0">
          <w:rPr>
            <w:webHidden/>
          </w:rPr>
          <w:fldChar w:fldCharType="begin"/>
        </w:r>
        <w:r w:rsidR="00A064B0">
          <w:rPr>
            <w:webHidden/>
          </w:rPr>
          <w:instrText xml:space="preserve"> PAGEREF _Toc128137897 \h </w:instrText>
        </w:r>
        <w:r w:rsidR="00A064B0">
          <w:rPr>
            <w:webHidden/>
          </w:rPr>
        </w:r>
        <w:r w:rsidR="00A064B0">
          <w:rPr>
            <w:webHidden/>
          </w:rPr>
          <w:fldChar w:fldCharType="separate"/>
        </w:r>
        <w:r w:rsidR="00A064B0">
          <w:rPr>
            <w:webHidden/>
          </w:rPr>
          <w:t>24</w:t>
        </w:r>
        <w:r w:rsidR="00A064B0">
          <w:rPr>
            <w:webHidden/>
          </w:rPr>
          <w:fldChar w:fldCharType="end"/>
        </w:r>
      </w:hyperlink>
    </w:p>
    <w:p w14:paraId="74110D14" w14:textId="30DC60D8" w:rsidR="00A064B0" w:rsidRDefault="0062538A">
      <w:pPr>
        <w:pStyle w:val="TableofFigures"/>
        <w:rPr>
          <w:sz w:val="22"/>
        </w:rPr>
      </w:pPr>
      <w:hyperlink w:anchor="_Toc128137898" w:history="1">
        <w:r w:rsidR="00A064B0" w:rsidRPr="00CD1813">
          <w:rPr>
            <w:rStyle w:val="Hyperlink"/>
          </w:rPr>
          <w:t>Table 7: Owner Versus Renter</w:t>
        </w:r>
        <w:r w:rsidR="00A064B0">
          <w:rPr>
            <w:webHidden/>
          </w:rPr>
          <w:tab/>
        </w:r>
        <w:r w:rsidR="00A064B0">
          <w:rPr>
            <w:webHidden/>
          </w:rPr>
          <w:fldChar w:fldCharType="begin"/>
        </w:r>
        <w:r w:rsidR="00A064B0">
          <w:rPr>
            <w:webHidden/>
          </w:rPr>
          <w:instrText xml:space="preserve"> PAGEREF _Toc128137898 \h </w:instrText>
        </w:r>
        <w:r w:rsidR="00A064B0">
          <w:rPr>
            <w:webHidden/>
          </w:rPr>
        </w:r>
        <w:r w:rsidR="00A064B0">
          <w:rPr>
            <w:webHidden/>
          </w:rPr>
          <w:fldChar w:fldCharType="separate"/>
        </w:r>
        <w:r w:rsidR="00A064B0">
          <w:rPr>
            <w:webHidden/>
          </w:rPr>
          <w:t>26</w:t>
        </w:r>
        <w:r w:rsidR="00A064B0">
          <w:rPr>
            <w:webHidden/>
          </w:rPr>
          <w:fldChar w:fldCharType="end"/>
        </w:r>
      </w:hyperlink>
    </w:p>
    <w:p w14:paraId="4D2FA510" w14:textId="5A5F2EF1" w:rsidR="00A064B0" w:rsidRDefault="0062538A">
      <w:pPr>
        <w:pStyle w:val="TableofFigures"/>
        <w:rPr>
          <w:sz w:val="22"/>
        </w:rPr>
      </w:pPr>
      <w:hyperlink w:anchor="_Toc128137899" w:history="1">
        <w:r w:rsidR="00A064B0" w:rsidRPr="00CD1813">
          <w:rPr>
            <w:rStyle w:val="Hyperlink"/>
          </w:rPr>
          <w:t>Table 8: Commuter Origin/ Destination</w:t>
        </w:r>
        <w:r w:rsidR="00A064B0">
          <w:rPr>
            <w:webHidden/>
          </w:rPr>
          <w:tab/>
        </w:r>
        <w:r w:rsidR="00A064B0">
          <w:rPr>
            <w:webHidden/>
          </w:rPr>
          <w:fldChar w:fldCharType="begin"/>
        </w:r>
        <w:r w:rsidR="00A064B0">
          <w:rPr>
            <w:webHidden/>
          </w:rPr>
          <w:instrText xml:space="preserve"> PAGEREF _Toc128137899 \h </w:instrText>
        </w:r>
        <w:r w:rsidR="00A064B0">
          <w:rPr>
            <w:webHidden/>
          </w:rPr>
        </w:r>
        <w:r w:rsidR="00A064B0">
          <w:rPr>
            <w:webHidden/>
          </w:rPr>
          <w:fldChar w:fldCharType="separate"/>
        </w:r>
        <w:r w:rsidR="00A064B0">
          <w:rPr>
            <w:webHidden/>
          </w:rPr>
          <w:t>27</w:t>
        </w:r>
        <w:r w:rsidR="00A064B0">
          <w:rPr>
            <w:webHidden/>
          </w:rPr>
          <w:fldChar w:fldCharType="end"/>
        </w:r>
      </w:hyperlink>
    </w:p>
    <w:p w14:paraId="37DC26C3" w14:textId="33721498" w:rsidR="00A064B0" w:rsidRDefault="0062538A">
      <w:pPr>
        <w:pStyle w:val="TableofFigures"/>
        <w:rPr>
          <w:sz w:val="22"/>
        </w:rPr>
      </w:pPr>
      <w:hyperlink w:anchor="_Toc128137900" w:history="1">
        <w:r w:rsidR="00A064B0" w:rsidRPr="00CD1813">
          <w:rPr>
            <w:rStyle w:val="Hyperlink"/>
          </w:rPr>
          <w:t>Table 9: Commuting Characteristics of Protected Classes</w:t>
        </w:r>
        <w:r w:rsidR="00A064B0">
          <w:rPr>
            <w:webHidden/>
          </w:rPr>
          <w:tab/>
        </w:r>
        <w:r w:rsidR="00A064B0">
          <w:rPr>
            <w:webHidden/>
          </w:rPr>
          <w:fldChar w:fldCharType="begin"/>
        </w:r>
        <w:r w:rsidR="00A064B0">
          <w:rPr>
            <w:webHidden/>
          </w:rPr>
          <w:instrText xml:space="preserve"> PAGEREF _Toc128137900 \h </w:instrText>
        </w:r>
        <w:r w:rsidR="00A064B0">
          <w:rPr>
            <w:webHidden/>
          </w:rPr>
        </w:r>
        <w:r w:rsidR="00A064B0">
          <w:rPr>
            <w:webHidden/>
          </w:rPr>
          <w:fldChar w:fldCharType="separate"/>
        </w:r>
        <w:r w:rsidR="00A064B0">
          <w:rPr>
            <w:webHidden/>
          </w:rPr>
          <w:t>27</w:t>
        </w:r>
        <w:r w:rsidR="00A064B0">
          <w:rPr>
            <w:webHidden/>
          </w:rPr>
          <w:fldChar w:fldCharType="end"/>
        </w:r>
      </w:hyperlink>
    </w:p>
    <w:p w14:paraId="13C7D96A" w14:textId="09690C88" w:rsidR="00A064B0" w:rsidRDefault="0062538A">
      <w:pPr>
        <w:pStyle w:val="TableofFigures"/>
        <w:rPr>
          <w:sz w:val="22"/>
        </w:rPr>
      </w:pPr>
      <w:hyperlink w:anchor="_Toc128137901" w:history="1">
        <w:r w:rsidR="00A064B0" w:rsidRPr="00CD1813">
          <w:rPr>
            <w:rStyle w:val="Hyperlink"/>
          </w:rPr>
          <w:t>Table 10: Net Migration (2010-20)</w:t>
        </w:r>
        <w:r w:rsidR="00A064B0">
          <w:rPr>
            <w:webHidden/>
          </w:rPr>
          <w:tab/>
        </w:r>
        <w:r w:rsidR="00A064B0">
          <w:rPr>
            <w:webHidden/>
          </w:rPr>
          <w:fldChar w:fldCharType="begin"/>
        </w:r>
        <w:r w:rsidR="00A064B0">
          <w:rPr>
            <w:webHidden/>
          </w:rPr>
          <w:instrText xml:space="preserve"> PAGEREF _Toc128137901 \h </w:instrText>
        </w:r>
        <w:r w:rsidR="00A064B0">
          <w:rPr>
            <w:webHidden/>
          </w:rPr>
        </w:r>
        <w:r w:rsidR="00A064B0">
          <w:rPr>
            <w:webHidden/>
          </w:rPr>
          <w:fldChar w:fldCharType="separate"/>
        </w:r>
        <w:r w:rsidR="00A064B0">
          <w:rPr>
            <w:webHidden/>
          </w:rPr>
          <w:t>29</w:t>
        </w:r>
        <w:r w:rsidR="00A064B0">
          <w:rPr>
            <w:webHidden/>
          </w:rPr>
          <w:fldChar w:fldCharType="end"/>
        </w:r>
      </w:hyperlink>
    </w:p>
    <w:p w14:paraId="74EC716D" w14:textId="3836EEBA" w:rsidR="00A064B0" w:rsidRDefault="0062538A">
      <w:pPr>
        <w:pStyle w:val="TableofFigures"/>
        <w:rPr>
          <w:sz w:val="22"/>
        </w:rPr>
      </w:pPr>
      <w:hyperlink w:anchor="_Toc128137902" w:history="1">
        <w:r w:rsidR="00A064B0" w:rsidRPr="00CD1813">
          <w:rPr>
            <w:rStyle w:val="Hyperlink"/>
          </w:rPr>
          <w:t>Table 11: Percent of Residents</w:t>
        </w:r>
        <w:r w:rsidR="00A064B0">
          <w:rPr>
            <w:webHidden/>
          </w:rPr>
          <w:tab/>
        </w:r>
        <w:r w:rsidR="00A064B0">
          <w:rPr>
            <w:webHidden/>
          </w:rPr>
          <w:fldChar w:fldCharType="begin"/>
        </w:r>
        <w:r w:rsidR="00A064B0">
          <w:rPr>
            <w:webHidden/>
          </w:rPr>
          <w:instrText xml:space="preserve"> PAGEREF _Toc128137902 \h </w:instrText>
        </w:r>
        <w:r w:rsidR="00A064B0">
          <w:rPr>
            <w:webHidden/>
          </w:rPr>
        </w:r>
        <w:r w:rsidR="00A064B0">
          <w:rPr>
            <w:webHidden/>
          </w:rPr>
          <w:fldChar w:fldCharType="separate"/>
        </w:r>
        <w:r w:rsidR="00A064B0">
          <w:rPr>
            <w:webHidden/>
          </w:rPr>
          <w:t>30</w:t>
        </w:r>
        <w:r w:rsidR="00A064B0">
          <w:rPr>
            <w:webHidden/>
          </w:rPr>
          <w:fldChar w:fldCharType="end"/>
        </w:r>
      </w:hyperlink>
    </w:p>
    <w:p w14:paraId="2DC84C19" w14:textId="2226AE4B" w:rsidR="00A064B0" w:rsidRDefault="0062538A">
      <w:pPr>
        <w:pStyle w:val="TableofFigures"/>
        <w:rPr>
          <w:sz w:val="22"/>
        </w:rPr>
      </w:pPr>
      <w:hyperlink w:anchor="_Toc128137903" w:history="1">
        <w:r w:rsidR="00A064B0" w:rsidRPr="00CD1813">
          <w:rPr>
            <w:rStyle w:val="Hyperlink"/>
          </w:rPr>
          <w:t>Table 12: Percent Racial or Hispanic/Latino Minority</w:t>
        </w:r>
        <w:r w:rsidR="00A064B0">
          <w:rPr>
            <w:webHidden/>
          </w:rPr>
          <w:tab/>
        </w:r>
        <w:r w:rsidR="00A064B0">
          <w:rPr>
            <w:webHidden/>
          </w:rPr>
          <w:fldChar w:fldCharType="begin"/>
        </w:r>
        <w:r w:rsidR="00A064B0">
          <w:rPr>
            <w:webHidden/>
          </w:rPr>
          <w:instrText xml:space="preserve"> PAGEREF _Toc128137903 \h </w:instrText>
        </w:r>
        <w:r w:rsidR="00A064B0">
          <w:rPr>
            <w:webHidden/>
          </w:rPr>
        </w:r>
        <w:r w:rsidR="00A064B0">
          <w:rPr>
            <w:webHidden/>
          </w:rPr>
          <w:fldChar w:fldCharType="separate"/>
        </w:r>
        <w:r w:rsidR="00A064B0">
          <w:rPr>
            <w:webHidden/>
          </w:rPr>
          <w:t>31</w:t>
        </w:r>
        <w:r w:rsidR="00A064B0">
          <w:rPr>
            <w:webHidden/>
          </w:rPr>
          <w:fldChar w:fldCharType="end"/>
        </w:r>
      </w:hyperlink>
    </w:p>
    <w:p w14:paraId="781C2B54" w14:textId="6B78B301" w:rsidR="00A064B0" w:rsidRDefault="0062538A">
      <w:pPr>
        <w:pStyle w:val="TableofFigures"/>
        <w:rPr>
          <w:sz w:val="22"/>
        </w:rPr>
      </w:pPr>
      <w:hyperlink w:anchor="_Toc128137904" w:history="1">
        <w:r w:rsidR="00A064B0" w:rsidRPr="00CD1813">
          <w:rPr>
            <w:rStyle w:val="Hyperlink"/>
          </w:rPr>
          <w:t>Table 13: Percent of Population with a Disability</w:t>
        </w:r>
        <w:r w:rsidR="00A064B0">
          <w:rPr>
            <w:webHidden/>
          </w:rPr>
          <w:tab/>
        </w:r>
        <w:r w:rsidR="00A064B0">
          <w:rPr>
            <w:webHidden/>
          </w:rPr>
          <w:fldChar w:fldCharType="begin"/>
        </w:r>
        <w:r w:rsidR="00A064B0">
          <w:rPr>
            <w:webHidden/>
          </w:rPr>
          <w:instrText xml:space="preserve"> PAGEREF _Toc128137904 \h </w:instrText>
        </w:r>
        <w:r w:rsidR="00A064B0">
          <w:rPr>
            <w:webHidden/>
          </w:rPr>
        </w:r>
        <w:r w:rsidR="00A064B0">
          <w:rPr>
            <w:webHidden/>
          </w:rPr>
          <w:fldChar w:fldCharType="separate"/>
        </w:r>
        <w:r w:rsidR="00A064B0">
          <w:rPr>
            <w:webHidden/>
          </w:rPr>
          <w:t>32</w:t>
        </w:r>
        <w:r w:rsidR="00A064B0">
          <w:rPr>
            <w:webHidden/>
          </w:rPr>
          <w:fldChar w:fldCharType="end"/>
        </w:r>
      </w:hyperlink>
    </w:p>
    <w:p w14:paraId="6BB723F5" w14:textId="1D914D0A" w:rsidR="00A064B0" w:rsidRDefault="0062538A">
      <w:pPr>
        <w:pStyle w:val="TableofFigures"/>
        <w:rPr>
          <w:sz w:val="22"/>
        </w:rPr>
      </w:pPr>
      <w:hyperlink w:anchor="_Toc128137905" w:history="1">
        <w:r w:rsidR="00A064B0" w:rsidRPr="00CD1813">
          <w:rPr>
            <w:rStyle w:val="Hyperlink"/>
          </w:rPr>
          <w:t>Table 14: Percent of Population Less than 18 Years Old</w:t>
        </w:r>
        <w:r w:rsidR="00A064B0">
          <w:rPr>
            <w:webHidden/>
          </w:rPr>
          <w:tab/>
        </w:r>
        <w:r w:rsidR="00A064B0">
          <w:rPr>
            <w:webHidden/>
          </w:rPr>
          <w:fldChar w:fldCharType="begin"/>
        </w:r>
        <w:r w:rsidR="00A064B0">
          <w:rPr>
            <w:webHidden/>
          </w:rPr>
          <w:instrText xml:space="preserve"> PAGEREF _Toc128137905 \h </w:instrText>
        </w:r>
        <w:r w:rsidR="00A064B0">
          <w:rPr>
            <w:webHidden/>
          </w:rPr>
        </w:r>
        <w:r w:rsidR="00A064B0">
          <w:rPr>
            <w:webHidden/>
          </w:rPr>
          <w:fldChar w:fldCharType="separate"/>
        </w:r>
        <w:r w:rsidR="00A064B0">
          <w:rPr>
            <w:webHidden/>
          </w:rPr>
          <w:t>33</w:t>
        </w:r>
        <w:r w:rsidR="00A064B0">
          <w:rPr>
            <w:webHidden/>
          </w:rPr>
          <w:fldChar w:fldCharType="end"/>
        </w:r>
      </w:hyperlink>
    </w:p>
    <w:p w14:paraId="6BEB6450" w14:textId="350B7B74" w:rsidR="00A064B0" w:rsidRDefault="0062538A">
      <w:pPr>
        <w:pStyle w:val="TableofFigures"/>
        <w:rPr>
          <w:sz w:val="22"/>
        </w:rPr>
      </w:pPr>
      <w:hyperlink w:anchor="_Toc128137906" w:history="1">
        <w:r w:rsidR="00A064B0" w:rsidRPr="00CD1813">
          <w:rPr>
            <w:rStyle w:val="Hyperlink"/>
          </w:rPr>
          <w:t>Table 15: Percent of Population 65 Years or Older</w:t>
        </w:r>
        <w:r w:rsidR="00A064B0">
          <w:rPr>
            <w:webHidden/>
          </w:rPr>
          <w:tab/>
        </w:r>
        <w:r w:rsidR="00A064B0">
          <w:rPr>
            <w:webHidden/>
          </w:rPr>
          <w:fldChar w:fldCharType="begin"/>
        </w:r>
        <w:r w:rsidR="00A064B0">
          <w:rPr>
            <w:webHidden/>
          </w:rPr>
          <w:instrText xml:space="preserve"> PAGEREF _Toc128137906 \h </w:instrText>
        </w:r>
        <w:r w:rsidR="00A064B0">
          <w:rPr>
            <w:webHidden/>
          </w:rPr>
        </w:r>
        <w:r w:rsidR="00A064B0">
          <w:rPr>
            <w:webHidden/>
          </w:rPr>
          <w:fldChar w:fldCharType="separate"/>
        </w:r>
        <w:r w:rsidR="00A064B0">
          <w:rPr>
            <w:webHidden/>
          </w:rPr>
          <w:t>34</w:t>
        </w:r>
        <w:r w:rsidR="00A064B0">
          <w:rPr>
            <w:webHidden/>
          </w:rPr>
          <w:fldChar w:fldCharType="end"/>
        </w:r>
      </w:hyperlink>
    </w:p>
    <w:p w14:paraId="40744A12" w14:textId="3051CABF" w:rsidR="00A064B0" w:rsidRDefault="0062538A">
      <w:pPr>
        <w:pStyle w:val="TableofFigures"/>
        <w:rPr>
          <w:sz w:val="22"/>
        </w:rPr>
      </w:pPr>
      <w:hyperlink w:anchor="_Toc128137907" w:history="1">
        <w:r w:rsidR="00A064B0" w:rsidRPr="00CD1813">
          <w:rPr>
            <w:rStyle w:val="Hyperlink"/>
          </w:rPr>
          <w:t>Table 16: Percent of Households Without a Vehicle</w:t>
        </w:r>
        <w:r w:rsidR="00A064B0">
          <w:rPr>
            <w:webHidden/>
          </w:rPr>
          <w:tab/>
        </w:r>
        <w:r w:rsidR="00A064B0">
          <w:rPr>
            <w:webHidden/>
          </w:rPr>
          <w:fldChar w:fldCharType="begin"/>
        </w:r>
        <w:r w:rsidR="00A064B0">
          <w:rPr>
            <w:webHidden/>
          </w:rPr>
          <w:instrText xml:space="preserve"> PAGEREF _Toc128137907 \h </w:instrText>
        </w:r>
        <w:r w:rsidR="00A064B0">
          <w:rPr>
            <w:webHidden/>
          </w:rPr>
        </w:r>
        <w:r w:rsidR="00A064B0">
          <w:rPr>
            <w:webHidden/>
          </w:rPr>
          <w:fldChar w:fldCharType="separate"/>
        </w:r>
        <w:r w:rsidR="00A064B0">
          <w:rPr>
            <w:webHidden/>
          </w:rPr>
          <w:t>35</w:t>
        </w:r>
        <w:r w:rsidR="00A064B0">
          <w:rPr>
            <w:webHidden/>
          </w:rPr>
          <w:fldChar w:fldCharType="end"/>
        </w:r>
      </w:hyperlink>
    </w:p>
    <w:p w14:paraId="484A7BDD" w14:textId="23A7B16F" w:rsidR="00A064B0" w:rsidRDefault="0062538A">
      <w:pPr>
        <w:pStyle w:val="TableofFigures"/>
        <w:rPr>
          <w:sz w:val="22"/>
        </w:rPr>
      </w:pPr>
      <w:hyperlink w:anchor="_Toc128137908" w:history="1">
        <w:r w:rsidR="00A064B0" w:rsidRPr="00CD1813">
          <w:rPr>
            <w:rStyle w:val="Hyperlink"/>
          </w:rPr>
          <w:t>Table 17: Average Number of Homeless School Students 2017-2021</w:t>
        </w:r>
        <w:r w:rsidR="00A064B0">
          <w:rPr>
            <w:webHidden/>
          </w:rPr>
          <w:tab/>
        </w:r>
        <w:r w:rsidR="00A064B0">
          <w:rPr>
            <w:webHidden/>
          </w:rPr>
          <w:fldChar w:fldCharType="begin"/>
        </w:r>
        <w:r w:rsidR="00A064B0">
          <w:rPr>
            <w:webHidden/>
          </w:rPr>
          <w:instrText xml:space="preserve"> PAGEREF _Toc128137908 \h </w:instrText>
        </w:r>
        <w:r w:rsidR="00A064B0">
          <w:rPr>
            <w:webHidden/>
          </w:rPr>
        </w:r>
        <w:r w:rsidR="00A064B0">
          <w:rPr>
            <w:webHidden/>
          </w:rPr>
          <w:fldChar w:fldCharType="separate"/>
        </w:r>
        <w:r w:rsidR="00A064B0">
          <w:rPr>
            <w:webHidden/>
          </w:rPr>
          <w:t>37</w:t>
        </w:r>
        <w:r w:rsidR="00A064B0">
          <w:rPr>
            <w:webHidden/>
          </w:rPr>
          <w:fldChar w:fldCharType="end"/>
        </w:r>
      </w:hyperlink>
    </w:p>
    <w:p w14:paraId="6C7EB9A1" w14:textId="5A7995DE" w:rsidR="00A064B0" w:rsidRDefault="0062538A">
      <w:pPr>
        <w:pStyle w:val="TableofFigures"/>
        <w:rPr>
          <w:sz w:val="22"/>
        </w:rPr>
      </w:pPr>
      <w:hyperlink w:anchor="_Toc128137909" w:history="1">
        <w:r w:rsidR="00A064B0" w:rsidRPr="00CD1813">
          <w:rPr>
            <w:rStyle w:val="Hyperlink"/>
          </w:rPr>
          <w:t>Table 18: Male Vs Female Residents 2020</w:t>
        </w:r>
        <w:r w:rsidR="00A064B0">
          <w:rPr>
            <w:webHidden/>
          </w:rPr>
          <w:tab/>
        </w:r>
        <w:r w:rsidR="00A064B0">
          <w:rPr>
            <w:webHidden/>
          </w:rPr>
          <w:fldChar w:fldCharType="begin"/>
        </w:r>
        <w:r w:rsidR="00A064B0">
          <w:rPr>
            <w:webHidden/>
          </w:rPr>
          <w:instrText xml:space="preserve"> PAGEREF _Toc128137909 \h </w:instrText>
        </w:r>
        <w:r w:rsidR="00A064B0">
          <w:rPr>
            <w:webHidden/>
          </w:rPr>
        </w:r>
        <w:r w:rsidR="00A064B0">
          <w:rPr>
            <w:webHidden/>
          </w:rPr>
          <w:fldChar w:fldCharType="separate"/>
        </w:r>
        <w:r w:rsidR="00A064B0">
          <w:rPr>
            <w:webHidden/>
          </w:rPr>
          <w:t>39</w:t>
        </w:r>
        <w:r w:rsidR="00A064B0">
          <w:rPr>
            <w:webHidden/>
          </w:rPr>
          <w:fldChar w:fldCharType="end"/>
        </w:r>
      </w:hyperlink>
    </w:p>
    <w:p w14:paraId="54A4485A" w14:textId="74F01B24" w:rsidR="00A064B0" w:rsidRDefault="0062538A">
      <w:pPr>
        <w:pStyle w:val="TableofFigures"/>
        <w:rPr>
          <w:sz w:val="22"/>
        </w:rPr>
      </w:pPr>
      <w:hyperlink w:anchor="_Toc128137910" w:history="1">
        <w:r w:rsidR="00A064B0" w:rsidRPr="00CD1813">
          <w:rPr>
            <w:rStyle w:val="Hyperlink"/>
          </w:rPr>
          <w:t>Table 19: Dissimilarity Index: Comparision Between the Concentrations of Two Populations</w:t>
        </w:r>
        <w:r w:rsidR="00A064B0">
          <w:rPr>
            <w:webHidden/>
          </w:rPr>
          <w:tab/>
        </w:r>
        <w:r w:rsidR="00A064B0">
          <w:rPr>
            <w:webHidden/>
          </w:rPr>
          <w:fldChar w:fldCharType="begin"/>
        </w:r>
        <w:r w:rsidR="00A064B0">
          <w:rPr>
            <w:webHidden/>
          </w:rPr>
          <w:instrText xml:space="preserve"> PAGEREF _Toc128137910 \h </w:instrText>
        </w:r>
        <w:r w:rsidR="00A064B0">
          <w:rPr>
            <w:webHidden/>
          </w:rPr>
        </w:r>
        <w:r w:rsidR="00A064B0">
          <w:rPr>
            <w:webHidden/>
          </w:rPr>
          <w:fldChar w:fldCharType="separate"/>
        </w:r>
        <w:r w:rsidR="00A064B0">
          <w:rPr>
            <w:webHidden/>
          </w:rPr>
          <w:t>41</w:t>
        </w:r>
        <w:r w:rsidR="00A064B0">
          <w:rPr>
            <w:webHidden/>
          </w:rPr>
          <w:fldChar w:fldCharType="end"/>
        </w:r>
      </w:hyperlink>
    </w:p>
    <w:p w14:paraId="3D789011" w14:textId="345880C4" w:rsidR="00A064B0" w:rsidRDefault="0062538A">
      <w:pPr>
        <w:pStyle w:val="TableofFigures"/>
        <w:rPr>
          <w:sz w:val="22"/>
        </w:rPr>
      </w:pPr>
      <w:hyperlink w:anchor="_Toc128137911" w:history="1">
        <w:r w:rsidR="00A064B0" w:rsidRPr="00CD1813">
          <w:rPr>
            <w:rStyle w:val="Hyperlink"/>
          </w:rPr>
          <w:t>Table 20: Communities of Concern</w:t>
        </w:r>
        <w:r w:rsidR="00A064B0">
          <w:rPr>
            <w:webHidden/>
          </w:rPr>
          <w:tab/>
        </w:r>
        <w:r w:rsidR="00A064B0">
          <w:rPr>
            <w:webHidden/>
          </w:rPr>
          <w:fldChar w:fldCharType="begin"/>
        </w:r>
        <w:r w:rsidR="00A064B0">
          <w:rPr>
            <w:webHidden/>
          </w:rPr>
          <w:instrText xml:space="preserve"> PAGEREF _Toc128137911 \h </w:instrText>
        </w:r>
        <w:r w:rsidR="00A064B0">
          <w:rPr>
            <w:webHidden/>
          </w:rPr>
        </w:r>
        <w:r w:rsidR="00A064B0">
          <w:rPr>
            <w:webHidden/>
          </w:rPr>
          <w:fldChar w:fldCharType="separate"/>
        </w:r>
        <w:r w:rsidR="00A064B0">
          <w:rPr>
            <w:webHidden/>
          </w:rPr>
          <w:t>42</w:t>
        </w:r>
        <w:r w:rsidR="00A064B0">
          <w:rPr>
            <w:webHidden/>
          </w:rPr>
          <w:fldChar w:fldCharType="end"/>
        </w:r>
      </w:hyperlink>
    </w:p>
    <w:p w14:paraId="553BC12E" w14:textId="2AACCDFA" w:rsidR="00A064B0" w:rsidRDefault="0062538A">
      <w:pPr>
        <w:pStyle w:val="TableofFigures"/>
        <w:rPr>
          <w:sz w:val="22"/>
        </w:rPr>
      </w:pPr>
      <w:hyperlink w:anchor="_Toc128137912" w:history="1">
        <w:r w:rsidR="00A064B0" w:rsidRPr="00CD1813">
          <w:rPr>
            <w:rStyle w:val="Hyperlink"/>
          </w:rPr>
          <w:t>Table 21: Communities of Concern- Scoring Thresholds</w:t>
        </w:r>
        <w:r w:rsidR="00A064B0">
          <w:rPr>
            <w:webHidden/>
          </w:rPr>
          <w:tab/>
        </w:r>
        <w:r w:rsidR="00A064B0">
          <w:rPr>
            <w:webHidden/>
          </w:rPr>
          <w:fldChar w:fldCharType="begin"/>
        </w:r>
        <w:r w:rsidR="00A064B0">
          <w:rPr>
            <w:webHidden/>
          </w:rPr>
          <w:instrText xml:space="preserve"> PAGEREF _Toc128137912 \h </w:instrText>
        </w:r>
        <w:r w:rsidR="00A064B0">
          <w:rPr>
            <w:webHidden/>
          </w:rPr>
        </w:r>
        <w:r w:rsidR="00A064B0">
          <w:rPr>
            <w:webHidden/>
          </w:rPr>
          <w:fldChar w:fldCharType="separate"/>
        </w:r>
        <w:r w:rsidR="00A064B0">
          <w:rPr>
            <w:webHidden/>
          </w:rPr>
          <w:t>43</w:t>
        </w:r>
        <w:r w:rsidR="00A064B0">
          <w:rPr>
            <w:webHidden/>
          </w:rPr>
          <w:fldChar w:fldCharType="end"/>
        </w:r>
      </w:hyperlink>
    </w:p>
    <w:p w14:paraId="706ED5DA" w14:textId="5CEB8CDA" w:rsidR="00A064B0" w:rsidRDefault="0062538A">
      <w:pPr>
        <w:pStyle w:val="TableofFigures"/>
        <w:rPr>
          <w:sz w:val="22"/>
        </w:rPr>
      </w:pPr>
      <w:hyperlink w:anchor="_Toc128137913" w:history="1">
        <w:r w:rsidR="00A064B0" w:rsidRPr="00CD1813">
          <w:rPr>
            <w:rStyle w:val="Hyperlink"/>
          </w:rPr>
          <w:t>Table 22: Density of Communities of Concern</w:t>
        </w:r>
        <w:r w:rsidR="00A064B0">
          <w:rPr>
            <w:webHidden/>
          </w:rPr>
          <w:tab/>
        </w:r>
        <w:r w:rsidR="00A064B0">
          <w:rPr>
            <w:webHidden/>
          </w:rPr>
          <w:fldChar w:fldCharType="begin"/>
        </w:r>
        <w:r w:rsidR="00A064B0">
          <w:rPr>
            <w:webHidden/>
          </w:rPr>
          <w:instrText xml:space="preserve"> PAGEREF _Toc128137913 \h </w:instrText>
        </w:r>
        <w:r w:rsidR="00A064B0">
          <w:rPr>
            <w:webHidden/>
          </w:rPr>
        </w:r>
        <w:r w:rsidR="00A064B0">
          <w:rPr>
            <w:webHidden/>
          </w:rPr>
          <w:fldChar w:fldCharType="separate"/>
        </w:r>
        <w:r w:rsidR="00A064B0">
          <w:rPr>
            <w:webHidden/>
          </w:rPr>
          <w:t>43</w:t>
        </w:r>
        <w:r w:rsidR="00A064B0">
          <w:rPr>
            <w:webHidden/>
          </w:rPr>
          <w:fldChar w:fldCharType="end"/>
        </w:r>
      </w:hyperlink>
    </w:p>
    <w:p w14:paraId="670F0BB9" w14:textId="0F651765" w:rsidR="00A064B0" w:rsidRDefault="0062538A">
      <w:pPr>
        <w:pStyle w:val="TableofFigures"/>
        <w:rPr>
          <w:sz w:val="22"/>
        </w:rPr>
      </w:pPr>
      <w:hyperlink w:anchor="_Toc128137914" w:history="1">
        <w:r w:rsidR="00A064B0" w:rsidRPr="00CD1813">
          <w:rPr>
            <w:rStyle w:val="Hyperlink"/>
          </w:rPr>
          <w:t>Table 23: Total Housing units</w:t>
        </w:r>
        <w:r w:rsidR="00A064B0">
          <w:rPr>
            <w:webHidden/>
          </w:rPr>
          <w:tab/>
        </w:r>
        <w:r w:rsidR="00A064B0">
          <w:rPr>
            <w:webHidden/>
          </w:rPr>
          <w:fldChar w:fldCharType="begin"/>
        </w:r>
        <w:r w:rsidR="00A064B0">
          <w:rPr>
            <w:webHidden/>
          </w:rPr>
          <w:instrText xml:space="preserve"> PAGEREF _Toc128137914 \h </w:instrText>
        </w:r>
        <w:r w:rsidR="00A064B0">
          <w:rPr>
            <w:webHidden/>
          </w:rPr>
        </w:r>
        <w:r w:rsidR="00A064B0">
          <w:rPr>
            <w:webHidden/>
          </w:rPr>
          <w:fldChar w:fldCharType="separate"/>
        </w:r>
        <w:r w:rsidR="00A064B0">
          <w:rPr>
            <w:webHidden/>
          </w:rPr>
          <w:t>45</w:t>
        </w:r>
        <w:r w:rsidR="00A064B0">
          <w:rPr>
            <w:webHidden/>
          </w:rPr>
          <w:fldChar w:fldCharType="end"/>
        </w:r>
      </w:hyperlink>
    </w:p>
    <w:p w14:paraId="4741980A" w14:textId="384BFCC6" w:rsidR="00A064B0" w:rsidRDefault="0062538A">
      <w:pPr>
        <w:pStyle w:val="TableofFigures"/>
        <w:rPr>
          <w:sz w:val="22"/>
        </w:rPr>
      </w:pPr>
      <w:hyperlink w:anchor="_Toc128137915" w:history="1">
        <w:r w:rsidR="00A064B0" w:rsidRPr="00CD1813">
          <w:rPr>
            <w:rStyle w:val="Hyperlink"/>
          </w:rPr>
          <w:t>Table 24: Housing Choice Voucher Program (Section 8) Participant Housing Units by Municipality</w:t>
        </w:r>
        <w:r w:rsidR="00A064B0">
          <w:rPr>
            <w:webHidden/>
          </w:rPr>
          <w:tab/>
        </w:r>
        <w:r w:rsidR="00A064B0">
          <w:rPr>
            <w:webHidden/>
          </w:rPr>
          <w:fldChar w:fldCharType="begin"/>
        </w:r>
        <w:r w:rsidR="00A064B0">
          <w:rPr>
            <w:webHidden/>
          </w:rPr>
          <w:instrText xml:space="preserve"> PAGEREF _Toc128137915 \h </w:instrText>
        </w:r>
        <w:r w:rsidR="00A064B0">
          <w:rPr>
            <w:webHidden/>
          </w:rPr>
        </w:r>
        <w:r w:rsidR="00A064B0">
          <w:rPr>
            <w:webHidden/>
          </w:rPr>
          <w:fldChar w:fldCharType="separate"/>
        </w:r>
        <w:r w:rsidR="00A064B0">
          <w:rPr>
            <w:webHidden/>
          </w:rPr>
          <w:t>48</w:t>
        </w:r>
        <w:r w:rsidR="00A064B0">
          <w:rPr>
            <w:webHidden/>
          </w:rPr>
          <w:fldChar w:fldCharType="end"/>
        </w:r>
      </w:hyperlink>
    </w:p>
    <w:p w14:paraId="3A729DB0" w14:textId="7267DEFA" w:rsidR="00A064B0" w:rsidRDefault="0062538A">
      <w:pPr>
        <w:pStyle w:val="TableofFigures"/>
        <w:rPr>
          <w:sz w:val="22"/>
        </w:rPr>
      </w:pPr>
      <w:hyperlink w:anchor="_Toc128137916" w:history="1">
        <w:r w:rsidR="00A064B0" w:rsidRPr="00CD1813">
          <w:rPr>
            <w:rStyle w:val="Hyperlink"/>
          </w:rPr>
          <w:t>Table 25: NH Housing Finance Authority's Documented Assisted Housing Units 2022</w:t>
        </w:r>
        <w:r w:rsidR="00A064B0">
          <w:rPr>
            <w:webHidden/>
          </w:rPr>
          <w:tab/>
        </w:r>
        <w:r w:rsidR="00A064B0">
          <w:rPr>
            <w:webHidden/>
          </w:rPr>
          <w:fldChar w:fldCharType="begin"/>
        </w:r>
        <w:r w:rsidR="00A064B0">
          <w:rPr>
            <w:webHidden/>
          </w:rPr>
          <w:instrText xml:space="preserve"> PAGEREF _Toc128137916 \h </w:instrText>
        </w:r>
        <w:r w:rsidR="00A064B0">
          <w:rPr>
            <w:webHidden/>
          </w:rPr>
        </w:r>
        <w:r w:rsidR="00A064B0">
          <w:rPr>
            <w:webHidden/>
          </w:rPr>
          <w:fldChar w:fldCharType="separate"/>
        </w:r>
        <w:r w:rsidR="00A064B0">
          <w:rPr>
            <w:webHidden/>
          </w:rPr>
          <w:t>49</w:t>
        </w:r>
        <w:r w:rsidR="00A064B0">
          <w:rPr>
            <w:webHidden/>
          </w:rPr>
          <w:fldChar w:fldCharType="end"/>
        </w:r>
      </w:hyperlink>
    </w:p>
    <w:p w14:paraId="5A182B8C" w14:textId="68BCDAB8" w:rsidR="00A064B0" w:rsidRDefault="0062538A">
      <w:pPr>
        <w:pStyle w:val="TableofFigures"/>
        <w:rPr>
          <w:sz w:val="22"/>
        </w:rPr>
      </w:pPr>
      <w:hyperlink w:anchor="_Toc128137917" w:history="1">
        <w:r w:rsidR="00A064B0" w:rsidRPr="00CD1813">
          <w:rPr>
            <w:rStyle w:val="Hyperlink"/>
          </w:rPr>
          <w:t>Table 26: Percent Households by Area Median Income (AMI) 2020</w:t>
        </w:r>
        <w:r w:rsidR="00A064B0">
          <w:rPr>
            <w:webHidden/>
          </w:rPr>
          <w:tab/>
        </w:r>
        <w:r w:rsidR="00A064B0">
          <w:rPr>
            <w:webHidden/>
          </w:rPr>
          <w:fldChar w:fldCharType="begin"/>
        </w:r>
        <w:r w:rsidR="00A064B0">
          <w:rPr>
            <w:webHidden/>
          </w:rPr>
          <w:instrText xml:space="preserve"> PAGEREF _Toc128137917 \h </w:instrText>
        </w:r>
        <w:r w:rsidR="00A064B0">
          <w:rPr>
            <w:webHidden/>
          </w:rPr>
        </w:r>
        <w:r w:rsidR="00A064B0">
          <w:rPr>
            <w:webHidden/>
          </w:rPr>
          <w:fldChar w:fldCharType="separate"/>
        </w:r>
        <w:r w:rsidR="00A064B0">
          <w:rPr>
            <w:webHidden/>
          </w:rPr>
          <w:t>53</w:t>
        </w:r>
        <w:r w:rsidR="00A064B0">
          <w:rPr>
            <w:webHidden/>
          </w:rPr>
          <w:fldChar w:fldCharType="end"/>
        </w:r>
      </w:hyperlink>
    </w:p>
    <w:p w14:paraId="6C4B860E" w14:textId="08BE38F3" w:rsidR="00A064B0" w:rsidRDefault="0062538A">
      <w:pPr>
        <w:pStyle w:val="TableofFigures"/>
        <w:rPr>
          <w:sz w:val="22"/>
        </w:rPr>
      </w:pPr>
      <w:hyperlink w:anchor="_Toc128137918" w:history="1">
        <w:r w:rsidR="00A064B0" w:rsidRPr="00CD1813">
          <w:rPr>
            <w:rStyle w:val="Hyperlink"/>
          </w:rPr>
          <w:t>Table 27: Rental Affordability by Occupation (Southern New Hampshire Planning Commission)</w:t>
        </w:r>
        <w:r w:rsidR="00A064B0">
          <w:rPr>
            <w:webHidden/>
          </w:rPr>
          <w:tab/>
        </w:r>
        <w:r w:rsidR="00A064B0">
          <w:rPr>
            <w:webHidden/>
          </w:rPr>
          <w:fldChar w:fldCharType="begin"/>
        </w:r>
        <w:r w:rsidR="00A064B0">
          <w:rPr>
            <w:webHidden/>
          </w:rPr>
          <w:instrText xml:space="preserve"> PAGEREF _Toc128137918 \h </w:instrText>
        </w:r>
        <w:r w:rsidR="00A064B0">
          <w:rPr>
            <w:webHidden/>
          </w:rPr>
        </w:r>
        <w:r w:rsidR="00A064B0">
          <w:rPr>
            <w:webHidden/>
          </w:rPr>
          <w:fldChar w:fldCharType="separate"/>
        </w:r>
        <w:r w:rsidR="00A064B0">
          <w:rPr>
            <w:webHidden/>
          </w:rPr>
          <w:t>55</w:t>
        </w:r>
        <w:r w:rsidR="00A064B0">
          <w:rPr>
            <w:webHidden/>
          </w:rPr>
          <w:fldChar w:fldCharType="end"/>
        </w:r>
      </w:hyperlink>
    </w:p>
    <w:p w14:paraId="2862AC04" w14:textId="3A8A71A4" w:rsidR="00A064B0" w:rsidRDefault="0062538A">
      <w:pPr>
        <w:pStyle w:val="TableofFigures"/>
        <w:rPr>
          <w:sz w:val="22"/>
        </w:rPr>
      </w:pPr>
      <w:hyperlink w:anchor="_Toc128137919" w:history="1">
        <w:r w:rsidR="00A064B0" w:rsidRPr="00CD1813">
          <w:rPr>
            <w:rStyle w:val="Hyperlink"/>
          </w:rPr>
          <w:t>Table 28: Purchase Affordability by Occupation (Southern New Hampshire Planning Commission)</w:t>
        </w:r>
        <w:r w:rsidR="00A064B0">
          <w:rPr>
            <w:webHidden/>
          </w:rPr>
          <w:tab/>
        </w:r>
        <w:r w:rsidR="00A064B0">
          <w:rPr>
            <w:webHidden/>
          </w:rPr>
          <w:fldChar w:fldCharType="begin"/>
        </w:r>
        <w:r w:rsidR="00A064B0">
          <w:rPr>
            <w:webHidden/>
          </w:rPr>
          <w:instrText xml:space="preserve"> PAGEREF _Toc128137919 \h </w:instrText>
        </w:r>
        <w:r w:rsidR="00A064B0">
          <w:rPr>
            <w:webHidden/>
          </w:rPr>
        </w:r>
        <w:r w:rsidR="00A064B0">
          <w:rPr>
            <w:webHidden/>
          </w:rPr>
          <w:fldChar w:fldCharType="separate"/>
        </w:r>
        <w:r w:rsidR="00A064B0">
          <w:rPr>
            <w:webHidden/>
          </w:rPr>
          <w:t>57</w:t>
        </w:r>
        <w:r w:rsidR="00A064B0">
          <w:rPr>
            <w:webHidden/>
          </w:rPr>
          <w:fldChar w:fldCharType="end"/>
        </w:r>
      </w:hyperlink>
    </w:p>
    <w:p w14:paraId="6C6DE2B4" w14:textId="1D9A1527" w:rsidR="00A064B0" w:rsidRDefault="0062538A">
      <w:pPr>
        <w:pStyle w:val="TableofFigures"/>
        <w:rPr>
          <w:sz w:val="22"/>
        </w:rPr>
      </w:pPr>
      <w:hyperlink w:anchor="_Toc128137920" w:history="1">
        <w:r w:rsidR="00A064B0" w:rsidRPr="00CD1813">
          <w:rPr>
            <w:rStyle w:val="Hyperlink"/>
          </w:rPr>
          <w:t>Table 29: Potential Homeowner Gap</w:t>
        </w:r>
        <w:r w:rsidR="00A064B0">
          <w:rPr>
            <w:webHidden/>
          </w:rPr>
          <w:tab/>
        </w:r>
        <w:r w:rsidR="00A064B0">
          <w:rPr>
            <w:webHidden/>
          </w:rPr>
          <w:fldChar w:fldCharType="begin"/>
        </w:r>
        <w:r w:rsidR="00A064B0">
          <w:rPr>
            <w:webHidden/>
          </w:rPr>
          <w:instrText xml:space="preserve"> PAGEREF _Toc128137920 \h </w:instrText>
        </w:r>
        <w:r w:rsidR="00A064B0">
          <w:rPr>
            <w:webHidden/>
          </w:rPr>
        </w:r>
        <w:r w:rsidR="00A064B0">
          <w:rPr>
            <w:webHidden/>
          </w:rPr>
          <w:fldChar w:fldCharType="separate"/>
        </w:r>
        <w:r w:rsidR="00A064B0">
          <w:rPr>
            <w:webHidden/>
          </w:rPr>
          <w:t>61</w:t>
        </w:r>
        <w:r w:rsidR="00A064B0">
          <w:rPr>
            <w:webHidden/>
          </w:rPr>
          <w:fldChar w:fldCharType="end"/>
        </w:r>
      </w:hyperlink>
    </w:p>
    <w:p w14:paraId="4E9EF7A5" w14:textId="3F3A1790" w:rsidR="00A064B0" w:rsidRDefault="0062538A">
      <w:pPr>
        <w:pStyle w:val="TableofFigures"/>
        <w:rPr>
          <w:sz w:val="22"/>
        </w:rPr>
      </w:pPr>
      <w:hyperlink w:anchor="_Toc128137921" w:history="1">
        <w:r w:rsidR="00A064B0" w:rsidRPr="00CD1813">
          <w:rPr>
            <w:rStyle w:val="Hyperlink"/>
          </w:rPr>
          <w:t>Table 30: Total Population</w:t>
        </w:r>
        <w:r w:rsidR="00A064B0">
          <w:rPr>
            <w:webHidden/>
          </w:rPr>
          <w:tab/>
        </w:r>
        <w:r w:rsidR="00A064B0">
          <w:rPr>
            <w:webHidden/>
          </w:rPr>
          <w:fldChar w:fldCharType="begin"/>
        </w:r>
        <w:r w:rsidR="00A064B0">
          <w:rPr>
            <w:webHidden/>
          </w:rPr>
          <w:instrText xml:space="preserve"> PAGEREF _Toc128137921 \h </w:instrText>
        </w:r>
        <w:r w:rsidR="00A064B0">
          <w:rPr>
            <w:webHidden/>
          </w:rPr>
        </w:r>
        <w:r w:rsidR="00A064B0">
          <w:rPr>
            <w:webHidden/>
          </w:rPr>
          <w:fldChar w:fldCharType="separate"/>
        </w:r>
        <w:r w:rsidR="00A064B0">
          <w:rPr>
            <w:webHidden/>
          </w:rPr>
          <w:t>72</w:t>
        </w:r>
        <w:r w:rsidR="00A064B0">
          <w:rPr>
            <w:webHidden/>
          </w:rPr>
          <w:fldChar w:fldCharType="end"/>
        </w:r>
      </w:hyperlink>
    </w:p>
    <w:p w14:paraId="438F5047" w14:textId="1C5C2F13" w:rsidR="00A064B0" w:rsidRDefault="0062538A">
      <w:pPr>
        <w:pStyle w:val="TableofFigures"/>
        <w:rPr>
          <w:sz w:val="22"/>
        </w:rPr>
      </w:pPr>
      <w:hyperlink w:anchor="_Toc128137922" w:history="1">
        <w:r w:rsidR="00A064B0" w:rsidRPr="00CD1813">
          <w:rPr>
            <w:rStyle w:val="Hyperlink"/>
          </w:rPr>
          <w:t>Table 31: Fair Share Cumulative Net New Housing Units</w:t>
        </w:r>
        <w:r w:rsidR="00A064B0">
          <w:rPr>
            <w:webHidden/>
          </w:rPr>
          <w:tab/>
        </w:r>
        <w:r w:rsidR="00A064B0">
          <w:rPr>
            <w:webHidden/>
          </w:rPr>
          <w:fldChar w:fldCharType="begin"/>
        </w:r>
        <w:r w:rsidR="00A064B0">
          <w:rPr>
            <w:webHidden/>
          </w:rPr>
          <w:instrText xml:space="preserve"> PAGEREF _Toc128137922 \h </w:instrText>
        </w:r>
        <w:r w:rsidR="00A064B0">
          <w:rPr>
            <w:webHidden/>
          </w:rPr>
        </w:r>
        <w:r w:rsidR="00A064B0">
          <w:rPr>
            <w:webHidden/>
          </w:rPr>
          <w:fldChar w:fldCharType="separate"/>
        </w:r>
        <w:r w:rsidR="00A064B0">
          <w:rPr>
            <w:webHidden/>
          </w:rPr>
          <w:t>75</w:t>
        </w:r>
        <w:r w:rsidR="00A064B0">
          <w:rPr>
            <w:webHidden/>
          </w:rPr>
          <w:fldChar w:fldCharType="end"/>
        </w:r>
      </w:hyperlink>
    </w:p>
    <w:p w14:paraId="6C079DBD" w14:textId="709F7DE1" w:rsidR="00A064B0" w:rsidRDefault="0062538A">
      <w:pPr>
        <w:pStyle w:val="TableofFigures"/>
        <w:rPr>
          <w:sz w:val="22"/>
        </w:rPr>
      </w:pPr>
      <w:hyperlink w:anchor="_Toc128137923" w:history="1">
        <w:r w:rsidR="00A064B0" w:rsidRPr="00CD1813">
          <w:rPr>
            <w:rStyle w:val="Hyperlink"/>
          </w:rPr>
          <w:t>Table 32: Fair Share Cumulative Net New Owner-Occupied Housing Units by Income</w:t>
        </w:r>
        <w:r w:rsidR="00A064B0">
          <w:rPr>
            <w:webHidden/>
          </w:rPr>
          <w:tab/>
        </w:r>
        <w:r w:rsidR="00A064B0">
          <w:rPr>
            <w:webHidden/>
          </w:rPr>
          <w:fldChar w:fldCharType="begin"/>
        </w:r>
        <w:r w:rsidR="00A064B0">
          <w:rPr>
            <w:webHidden/>
          </w:rPr>
          <w:instrText xml:space="preserve"> PAGEREF _Toc128137923 \h </w:instrText>
        </w:r>
        <w:r w:rsidR="00A064B0">
          <w:rPr>
            <w:webHidden/>
          </w:rPr>
        </w:r>
        <w:r w:rsidR="00A064B0">
          <w:rPr>
            <w:webHidden/>
          </w:rPr>
          <w:fldChar w:fldCharType="separate"/>
        </w:r>
        <w:r w:rsidR="00A064B0">
          <w:rPr>
            <w:webHidden/>
          </w:rPr>
          <w:t>76</w:t>
        </w:r>
        <w:r w:rsidR="00A064B0">
          <w:rPr>
            <w:webHidden/>
          </w:rPr>
          <w:fldChar w:fldCharType="end"/>
        </w:r>
      </w:hyperlink>
    </w:p>
    <w:p w14:paraId="7B3B55B7" w14:textId="4FBB2601" w:rsidR="00A064B0" w:rsidRDefault="0062538A">
      <w:pPr>
        <w:pStyle w:val="TableofFigures"/>
        <w:rPr>
          <w:sz w:val="22"/>
        </w:rPr>
      </w:pPr>
      <w:hyperlink w:anchor="_Toc128137924" w:history="1">
        <w:r w:rsidR="00A064B0" w:rsidRPr="00CD1813">
          <w:rPr>
            <w:rStyle w:val="Hyperlink"/>
          </w:rPr>
          <w:t>Table 33: Average Annual Net New Housing Units</w:t>
        </w:r>
        <w:r w:rsidR="00A064B0">
          <w:rPr>
            <w:webHidden/>
          </w:rPr>
          <w:tab/>
        </w:r>
        <w:r w:rsidR="00A064B0">
          <w:rPr>
            <w:webHidden/>
          </w:rPr>
          <w:fldChar w:fldCharType="begin"/>
        </w:r>
        <w:r w:rsidR="00A064B0">
          <w:rPr>
            <w:webHidden/>
          </w:rPr>
          <w:instrText xml:space="preserve"> PAGEREF _Toc128137924 \h </w:instrText>
        </w:r>
        <w:r w:rsidR="00A064B0">
          <w:rPr>
            <w:webHidden/>
          </w:rPr>
        </w:r>
        <w:r w:rsidR="00A064B0">
          <w:rPr>
            <w:webHidden/>
          </w:rPr>
          <w:fldChar w:fldCharType="separate"/>
        </w:r>
        <w:r w:rsidR="00A064B0">
          <w:rPr>
            <w:webHidden/>
          </w:rPr>
          <w:t>77</w:t>
        </w:r>
        <w:r w:rsidR="00A064B0">
          <w:rPr>
            <w:webHidden/>
          </w:rPr>
          <w:fldChar w:fldCharType="end"/>
        </w:r>
      </w:hyperlink>
    </w:p>
    <w:p w14:paraId="2E5449A3" w14:textId="3A2D168C" w:rsidR="00A064B0" w:rsidRDefault="0062538A">
      <w:pPr>
        <w:pStyle w:val="TableofFigures"/>
        <w:rPr>
          <w:sz w:val="22"/>
        </w:rPr>
      </w:pPr>
      <w:hyperlink w:anchor="_Toc128137925" w:history="1">
        <w:r w:rsidR="00A064B0" w:rsidRPr="00CD1813">
          <w:rPr>
            <w:rStyle w:val="Hyperlink"/>
          </w:rPr>
          <w:t>Table 34: Average Annual Net New Housing Units (%)</w:t>
        </w:r>
        <w:r w:rsidR="00A064B0">
          <w:rPr>
            <w:webHidden/>
          </w:rPr>
          <w:tab/>
        </w:r>
        <w:r w:rsidR="00A064B0">
          <w:rPr>
            <w:webHidden/>
          </w:rPr>
          <w:fldChar w:fldCharType="begin"/>
        </w:r>
        <w:r w:rsidR="00A064B0">
          <w:rPr>
            <w:webHidden/>
          </w:rPr>
          <w:instrText xml:space="preserve"> PAGEREF _Toc128137925 \h </w:instrText>
        </w:r>
        <w:r w:rsidR="00A064B0">
          <w:rPr>
            <w:webHidden/>
          </w:rPr>
        </w:r>
        <w:r w:rsidR="00A064B0">
          <w:rPr>
            <w:webHidden/>
          </w:rPr>
          <w:fldChar w:fldCharType="separate"/>
        </w:r>
        <w:r w:rsidR="00A064B0">
          <w:rPr>
            <w:webHidden/>
          </w:rPr>
          <w:t>78</w:t>
        </w:r>
        <w:r w:rsidR="00A064B0">
          <w:rPr>
            <w:webHidden/>
          </w:rPr>
          <w:fldChar w:fldCharType="end"/>
        </w:r>
      </w:hyperlink>
    </w:p>
    <w:p w14:paraId="7299CB4D" w14:textId="75EDA99E" w:rsidR="00A064B0" w:rsidRDefault="0062538A">
      <w:pPr>
        <w:pStyle w:val="TableofFigures"/>
        <w:rPr>
          <w:sz w:val="22"/>
        </w:rPr>
      </w:pPr>
      <w:hyperlink w:anchor="_Toc128137926" w:history="1">
        <w:r w:rsidR="00A064B0" w:rsidRPr="00CD1813">
          <w:rPr>
            <w:rStyle w:val="Hyperlink"/>
          </w:rPr>
          <w:t>Table 35: Housing and Transportation Costs as a Percentage of Income</w:t>
        </w:r>
        <w:r w:rsidR="00A064B0">
          <w:rPr>
            <w:webHidden/>
          </w:rPr>
          <w:tab/>
        </w:r>
        <w:r w:rsidR="00A064B0">
          <w:rPr>
            <w:webHidden/>
          </w:rPr>
          <w:fldChar w:fldCharType="begin"/>
        </w:r>
        <w:r w:rsidR="00A064B0">
          <w:rPr>
            <w:webHidden/>
          </w:rPr>
          <w:instrText xml:space="preserve"> PAGEREF _Toc128137926 \h </w:instrText>
        </w:r>
        <w:r w:rsidR="00A064B0">
          <w:rPr>
            <w:webHidden/>
          </w:rPr>
        </w:r>
        <w:r w:rsidR="00A064B0">
          <w:rPr>
            <w:webHidden/>
          </w:rPr>
          <w:fldChar w:fldCharType="separate"/>
        </w:r>
        <w:r w:rsidR="00A064B0">
          <w:rPr>
            <w:webHidden/>
          </w:rPr>
          <w:t>100</w:t>
        </w:r>
        <w:r w:rsidR="00A064B0">
          <w:rPr>
            <w:webHidden/>
          </w:rPr>
          <w:fldChar w:fldCharType="end"/>
        </w:r>
      </w:hyperlink>
    </w:p>
    <w:p w14:paraId="1119480E" w14:textId="4BFE9F70" w:rsidR="00A064B0" w:rsidRDefault="0062538A">
      <w:pPr>
        <w:pStyle w:val="TableofFigures"/>
        <w:rPr>
          <w:sz w:val="22"/>
        </w:rPr>
      </w:pPr>
      <w:hyperlink w:anchor="_Toc128137927" w:history="1">
        <w:r w:rsidR="00A064B0" w:rsidRPr="00CD1813">
          <w:rPr>
            <w:rStyle w:val="Hyperlink"/>
          </w:rPr>
          <w:t>Table 36: Mean Commute Time (Minutes)</w:t>
        </w:r>
        <w:r w:rsidR="00A064B0">
          <w:rPr>
            <w:webHidden/>
          </w:rPr>
          <w:tab/>
        </w:r>
        <w:r w:rsidR="00A064B0">
          <w:rPr>
            <w:webHidden/>
          </w:rPr>
          <w:fldChar w:fldCharType="begin"/>
        </w:r>
        <w:r w:rsidR="00A064B0">
          <w:rPr>
            <w:webHidden/>
          </w:rPr>
          <w:instrText xml:space="preserve"> PAGEREF _Toc128137927 \h </w:instrText>
        </w:r>
        <w:r w:rsidR="00A064B0">
          <w:rPr>
            <w:webHidden/>
          </w:rPr>
        </w:r>
        <w:r w:rsidR="00A064B0">
          <w:rPr>
            <w:webHidden/>
          </w:rPr>
          <w:fldChar w:fldCharType="separate"/>
        </w:r>
        <w:r w:rsidR="00A064B0">
          <w:rPr>
            <w:webHidden/>
          </w:rPr>
          <w:t>101</w:t>
        </w:r>
        <w:r w:rsidR="00A064B0">
          <w:rPr>
            <w:webHidden/>
          </w:rPr>
          <w:fldChar w:fldCharType="end"/>
        </w:r>
      </w:hyperlink>
    </w:p>
    <w:p w14:paraId="11EDF6F6" w14:textId="44738F77" w:rsidR="00A064B0" w:rsidRDefault="0062538A">
      <w:pPr>
        <w:pStyle w:val="TableofFigures"/>
        <w:rPr>
          <w:sz w:val="22"/>
        </w:rPr>
      </w:pPr>
      <w:hyperlink w:anchor="_Toc128137928" w:history="1">
        <w:r w:rsidR="00A064B0" w:rsidRPr="00CD1813">
          <w:rPr>
            <w:rStyle w:val="Hyperlink"/>
          </w:rPr>
          <w:t>Table 37: Walk and Bike Scores by Municipality</w:t>
        </w:r>
        <w:r w:rsidR="00A064B0">
          <w:rPr>
            <w:webHidden/>
          </w:rPr>
          <w:tab/>
        </w:r>
        <w:r w:rsidR="00A064B0">
          <w:rPr>
            <w:webHidden/>
          </w:rPr>
          <w:fldChar w:fldCharType="begin"/>
        </w:r>
        <w:r w:rsidR="00A064B0">
          <w:rPr>
            <w:webHidden/>
          </w:rPr>
          <w:instrText xml:space="preserve"> PAGEREF _Toc128137928 \h </w:instrText>
        </w:r>
        <w:r w:rsidR="00A064B0">
          <w:rPr>
            <w:webHidden/>
          </w:rPr>
        </w:r>
        <w:r w:rsidR="00A064B0">
          <w:rPr>
            <w:webHidden/>
          </w:rPr>
          <w:fldChar w:fldCharType="separate"/>
        </w:r>
        <w:r w:rsidR="00A064B0">
          <w:rPr>
            <w:webHidden/>
          </w:rPr>
          <w:t>103</w:t>
        </w:r>
        <w:r w:rsidR="00A064B0">
          <w:rPr>
            <w:webHidden/>
          </w:rPr>
          <w:fldChar w:fldCharType="end"/>
        </w:r>
      </w:hyperlink>
    </w:p>
    <w:p w14:paraId="712805D8" w14:textId="3FA01959" w:rsidR="00A064B0" w:rsidRDefault="0062538A">
      <w:pPr>
        <w:pStyle w:val="TableofFigures"/>
        <w:rPr>
          <w:sz w:val="22"/>
        </w:rPr>
      </w:pPr>
      <w:hyperlink w:anchor="_Toc128137929" w:history="1">
        <w:r w:rsidR="00A064B0" w:rsidRPr="00CD1813">
          <w:rPr>
            <w:rStyle w:val="Hyperlink"/>
          </w:rPr>
          <w:t>Table 38: Fair Housing Complaints in SNHPC Region 2014-2022</w:t>
        </w:r>
        <w:r w:rsidR="00A064B0">
          <w:rPr>
            <w:webHidden/>
          </w:rPr>
          <w:tab/>
        </w:r>
        <w:r w:rsidR="00A064B0">
          <w:rPr>
            <w:webHidden/>
          </w:rPr>
          <w:fldChar w:fldCharType="begin"/>
        </w:r>
        <w:r w:rsidR="00A064B0">
          <w:rPr>
            <w:webHidden/>
          </w:rPr>
          <w:instrText xml:space="preserve"> PAGEREF _Toc128137929 \h </w:instrText>
        </w:r>
        <w:r w:rsidR="00A064B0">
          <w:rPr>
            <w:webHidden/>
          </w:rPr>
        </w:r>
        <w:r w:rsidR="00A064B0">
          <w:rPr>
            <w:webHidden/>
          </w:rPr>
          <w:fldChar w:fldCharType="separate"/>
        </w:r>
        <w:r w:rsidR="00A064B0">
          <w:rPr>
            <w:webHidden/>
          </w:rPr>
          <w:t>113</w:t>
        </w:r>
        <w:r w:rsidR="00A064B0">
          <w:rPr>
            <w:webHidden/>
          </w:rPr>
          <w:fldChar w:fldCharType="end"/>
        </w:r>
      </w:hyperlink>
    </w:p>
    <w:p w14:paraId="27751E70" w14:textId="08DF0F2C" w:rsidR="00A064B0" w:rsidRDefault="0062538A">
      <w:pPr>
        <w:pStyle w:val="TableofFigures"/>
        <w:rPr>
          <w:sz w:val="22"/>
        </w:rPr>
      </w:pPr>
      <w:hyperlink w:anchor="_Toc128137930" w:history="1">
        <w:r w:rsidR="00A064B0" w:rsidRPr="00CD1813">
          <w:rPr>
            <w:rStyle w:val="Hyperlink"/>
          </w:rPr>
          <w:t>Table 39: HUD Discrimination Cases 2014- Q2 2022</w:t>
        </w:r>
        <w:r w:rsidR="00A064B0">
          <w:rPr>
            <w:webHidden/>
          </w:rPr>
          <w:tab/>
        </w:r>
        <w:r w:rsidR="00A064B0">
          <w:rPr>
            <w:webHidden/>
          </w:rPr>
          <w:fldChar w:fldCharType="begin"/>
        </w:r>
        <w:r w:rsidR="00A064B0">
          <w:rPr>
            <w:webHidden/>
          </w:rPr>
          <w:instrText xml:space="preserve"> PAGEREF _Toc128137930 \h </w:instrText>
        </w:r>
        <w:r w:rsidR="00A064B0">
          <w:rPr>
            <w:webHidden/>
          </w:rPr>
        </w:r>
        <w:r w:rsidR="00A064B0">
          <w:rPr>
            <w:webHidden/>
          </w:rPr>
          <w:fldChar w:fldCharType="separate"/>
        </w:r>
        <w:r w:rsidR="00A064B0">
          <w:rPr>
            <w:webHidden/>
          </w:rPr>
          <w:t>114</w:t>
        </w:r>
        <w:r w:rsidR="00A064B0">
          <w:rPr>
            <w:webHidden/>
          </w:rPr>
          <w:fldChar w:fldCharType="end"/>
        </w:r>
      </w:hyperlink>
    </w:p>
    <w:p w14:paraId="1D551D3C" w14:textId="531D88FA" w:rsidR="00C75C9B" w:rsidRPr="00C64BA4" w:rsidRDefault="009753F3" w:rsidP="00206C45">
      <w:pPr>
        <w:spacing w:line="300" w:lineRule="auto"/>
      </w:pPr>
      <w:r w:rsidRPr="00C64BA4">
        <w:rPr>
          <w:b/>
          <w:bCs/>
        </w:rPr>
        <w:fldChar w:fldCharType="end"/>
      </w:r>
    </w:p>
    <w:p w14:paraId="3E8B631F" w14:textId="3ED21F97" w:rsidR="00C75C9B" w:rsidRPr="00C64BA4" w:rsidRDefault="00C75C9B" w:rsidP="00206C45">
      <w:pPr>
        <w:spacing w:line="300" w:lineRule="auto"/>
        <w:sectPr w:rsidR="00C75C9B" w:rsidRPr="00C64BA4" w:rsidSect="008142C8">
          <w:headerReference w:type="default" r:id="rId25"/>
          <w:pgSz w:w="12240" w:h="15840"/>
          <w:pgMar w:top="900" w:right="1440" w:bottom="1440" w:left="1440" w:header="450" w:footer="720" w:gutter="0"/>
          <w:pgNumType w:fmt="lowerRoman" w:start="1"/>
          <w:cols w:space="720"/>
          <w:docGrid w:linePitch="360"/>
        </w:sectPr>
      </w:pPr>
    </w:p>
    <w:p w14:paraId="76B96D68" w14:textId="38019192" w:rsidR="00100680" w:rsidRPr="00C64BA4" w:rsidRDefault="7C4DE2EB" w:rsidP="00206C45">
      <w:pPr>
        <w:pStyle w:val="Heading1"/>
        <w:spacing w:line="300" w:lineRule="auto"/>
      </w:pPr>
      <w:bookmarkStart w:id="2" w:name="_Toc1331598363"/>
      <w:bookmarkStart w:id="3" w:name="_Toc649078545"/>
      <w:bookmarkStart w:id="4" w:name="_Toc128137931"/>
      <w:bookmarkStart w:id="5" w:name="_Toc353192602"/>
      <w:r w:rsidRPr="00C64BA4">
        <w:lastRenderedPageBreak/>
        <w:t xml:space="preserve">Section I </w:t>
      </w:r>
      <w:r w:rsidR="7112FCDB" w:rsidRPr="00C64BA4">
        <w:t>–</w:t>
      </w:r>
      <w:r w:rsidRPr="00C64BA4">
        <w:t xml:space="preserve"> </w:t>
      </w:r>
      <w:r w:rsidR="44D0B722" w:rsidRPr="00C64BA4">
        <w:t>Aknowledgement</w:t>
      </w:r>
      <w:bookmarkEnd w:id="2"/>
      <w:bookmarkEnd w:id="3"/>
      <w:bookmarkEnd w:id="4"/>
    </w:p>
    <w:p w14:paraId="54094228" w14:textId="3E15FC96" w:rsidR="003B437B" w:rsidRPr="00C64BA4" w:rsidRDefault="00C3583B" w:rsidP="00206C45">
      <w:pPr>
        <w:spacing w:line="300" w:lineRule="auto"/>
      </w:pPr>
      <w:bookmarkStart w:id="6" w:name="_Hlk122779039"/>
      <w:r w:rsidRPr="00C64BA4">
        <w:t xml:space="preserve">As Executive Director of </w:t>
      </w:r>
      <w:r w:rsidR="002D36E1">
        <w:t xml:space="preserve">the </w:t>
      </w:r>
      <w:r w:rsidRPr="00C64BA4">
        <w:t>Southern New Hampshire Planning Commission</w:t>
      </w:r>
      <w:r w:rsidR="00404542" w:rsidRPr="00C64BA4">
        <w:t xml:space="preserve"> (SNHPC)</w:t>
      </w:r>
      <w:r w:rsidRPr="00C64BA4">
        <w:t xml:space="preserve">, I have been amazed at the coordinated effort </w:t>
      </w:r>
      <w:r w:rsidR="00404542" w:rsidRPr="00C64BA4">
        <w:t xml:space="preserve">that has guided and formed </w:t>
      </w:r>
      <w:r w:rsidRPr="00C64BA4">
        <w:t>this work</w:t>
      </w:r>
      <w:r w:rsidR="00404542" w:rsidRPr="00C64BA4">
        <w:t xml:space="preserve">.  It would take pages to acknowledge all the dedicated individuals and community champions </w:t>
      </w:r>
      <w:r w:rsidR="009E14E5" w:rsidRPr="00C64BA4">
        <w:t>who</w:t>
      </w:r>
      <w:r w:rsidR="00404542" w:rsidRPr="00C64BA4">
        <w:t xml:space="preserve"> have contributed to this effort, but at the very least, please allow an acknowledgement of the many agencies and stakeholders.  </w:t>
      </w:r>
    </w:p>
    <w:p w14:paraId="5A105357" w14:textId="2E1DCB1B" w:rsidR="003B437B" w:rsidRPr="00C64BA4" w:rsidRDefault="003B437B" w:rsidP="00206C45">
      <w:pPr>
        <w:spacing w:line="300" w:lineRule="auto"/>
      </w:pPr>
      <w:r w:rsidRPr="00C64BA4">
        <w:t xml:space="preserve">Land </w:t>
      </w:r>
      <w:r w:rsidR="002D36E1">
        <w:t>U</w:t>
      </w:r>
      <w:r w:rsidRPr="00C64BA4">
        <w:t xml:space="preserve">se Planners: </w:t>
      </w:r>
      <w:r w:rsidR="00404542" w:rsidRPr="00C64BA4">
        <w:t xml:space="preserve"> </w:t>
      </w:r>
      <w:r w:rsidR="00D13A1D" w:rsidRPr="00C64BA4">
        <w:t>First and foremost, a heartfelt thanks</w:t>
      </w:r>
      <w:r w:rsidRPr="00C64BA4">
        <w:t xml:space="preserve"> to </w:t>
      </w:r>
      <w:r w:rsidR="00404542" w:rsidRPr="00C64BA4">
        <w:t>the talented planners at the Office of Planning and Development (OPD) within the State Department of Business and Economic Affairs (BEA)</w:t>
      </w:r>
      <w:r w:rsidR="00251F36">
        <w:t xml:space="preserve"> </w:t>
      </w:r>
      <w:r w:rsidR="00251F36" w:rsidRPr="00C64BA4">
        <w:t xml:space="preserve">and their </w:t>
      </w:r>
      <w:r w:rsidR="007A59B2">
        <w:t>fantastic</w:t>
      </w:r>
      <w:r w:rsidR="00251F36" w:rsidRPr="00C64BA4">
        <w:t xml:space="preserve"> consultant teams</w:t>
      </w:r>
      <w:r w:rsidR="007A59B2">
        <w:t xml:space="preserve"> (Root Policy Research and </w:t>
      </w:r>
      <w:proofErr w:type="spellStart"/>
      <w:r w:rsidR="007A59B2">
        <w:t>Ou</w:t>
      </w:r>
      <w:r w:rsidR="000E6746">
        <w:t>twi</w:t>
      </w:r>
      <w:r w:rsidR="007A59B2">
        <w:t>th</w:t>
      </w:r>
      <w:proofErr w:type="spellEnd"/>
      <w:r w:rsidR="007A59B2">
        <w:t xml:space="preserve"> Studio</w:t>
      </w:r>
      <w:r w:rsidR="000E6746">
        <w:t>)</w:t>
      </w:r>
      <w:r w:rsidR="00251F36">
        <w:t xml:space="preserve">, </w:t>
      </w:r>
      <w:r w:rsidR="007A59B2">
        <w:t xml:space="preserve">the many experts at </w:t>
      </w:r>
      <w:r w:rsidR="00251F36">
        <w:t>New Hampshire Housing,</w:t>
      </w:r>
      <w:r w:rsidR="00BB0475" w:rsidRPr="00C64BA4">
        <w:t xml:space="preserve"> </w:t>
      </w:r>
      <w:r w:rsidR="00404542" w:rsidRPr="00C64BA4">
        <w:t>, all the thoughtful planners at the Regional Planning Commissions (RPCs)</w:t>
      </w:r>
      <w:r w:rsidR="00D13A1D" w:rsidRPr="00C64BA4">
        <w:t xml:space="preserve"> across the state</w:t>
      </w:r>
      <w:r w:rsidR="00404542" w:rsidRPr="00C64BA4">
        <w:t xml:space="preserve">, the </w:t>
      </w:r>
      <w:r w:rsidR="00205107" w:rsidRPr="00C64BA4">
        <w:t>exceptional</w:t>
      </w:r>
      <w:r w:rsidR="00D13A1D" w:rsidRPr="00C64BA4">
        <w:t xml:space="preserve"> </w:t>
      </w:r>
      <w:r w:rsidR="00404542" w:rsidRPr="00C64BA4">
        <w:t>planners at SNHPC, and th</w:t>
      </w:r>
      <w:r w:rsidRPr="00C64BA4">
        <w:t xml:space="preserve">ose planners who dedicate themselves locally to individual communities.  Your contributions </w:t>
      </w:r>
      <w:r w:rsidR="00D13A1D" w:rsidRPr="00C64BA4">
        <w:t xml:space="preserve">to this work </w:t>
      </w:r>
      <w:r w:rsidRPr="00C64BA4">
        <w:t>and guidance through all the challenges was truly amazing.</w:t>
      </w:r>
    </w:p>
    <w:p w14:paraId="154BE393" w14:textId="0F676337" w:rsidR="00D505B5" w:rsidRPr="00C64BA4" w:rsidRDefault="003B437B" w:rsidP="00206C45">
      <w:pPr>
        <w:spacing w:line="300" w:lineRule="auto"/>
      </w:pPr>
      <w:r w:rsidRPr="00C64BA4">
        <w:t>Agency</w:t>
      </w:r>
      <w:r w:rsidR="00D505B5" w:rsidRPr="00C64BA4">
        <w:t>, Business, and Institutional</w:t>
      </w:r>
      <w:r w:rsidRPr="00C64BA4">
        <w:t xml:space="preserve"> Partners: The topic of housing has </w:t>
      </w:r>
      <w:r w:rsidR="0062426B" w:rsidRPr="00C64BA4">
        <w:t>dominated</w:t>
      </w:r>
      <w:r w:rsidRPr="00C64BA4">
        <w:t xml:space="preserve"> </w:t>
      </w:r>
      <w:r w:rsidR="0062426B" w:rsidRPr="00C64BA4">
        <w:t>conversations on local, regional, and state levels with interest</w:t>
      </w:r>
      <w:r w:rsidR="00D505B5" w:rsidRPr="00C64BA4">
        <w:t xml:space="preserve">, support and insights </w:t>
      </w:r>
      <w:r w:rsidR="0062426B" w:rsidRPr="00C64BA4">
        <w:t xml:space="preserve">coming from the building </w:t>
      </w:r>
      <w:r w:rsidR="00D505B5" w:rsidRPr="00C64BA4">
        <w:t xml:space="preserve">and finance </w:t>
      </w:r>
      <w:r w:rsidR="0062426B" w:rsidRPr="00C64BA4">
        <w:t>industr</w:t>
      </w:r>
      <w:r w:rsidR="00D505B5" w:rsidRPr="00C64BA4">
        <w:t>ies</w:t>
      </w:r>
      <w:r w:rsidR="0062426B" w:rsidRPr="00C64BA4">
        <w:t>, realtors</w:t>
      </w:r>
      <w:r w:rsidR="00D505B5" w:rsidRPr="00C64BA4">
        <w:t xml:space="preserve"> and developers</w:t>
      </w:r>
      <w:r w:rsidR="0062426B" w:rsidRPr="00C64BA4">
        <w:t xml:space="preserve">, </w:t>
      </w:r>
      <w:r w:rsidR="00D505B5" w:rsidRPr="00C64BA4">
        <w:t xml:space="preserve">educational leaders, transportation champions, social service providers, businesses of every sort, and of course </w:t>
      </w:r>
      <w:r w:rsidR="00D13A1D" w:rsidRPr="00C64BA4">
        <w:t>nonprofits</w:t>
      </w:r>
      <w:r w:rsidR="00D505B5" w:rsidRPr="00C64BA4">
        <w:t>. Thank you for all you do and the innovative solutions you champion.</w:t>
      </w:r>
    </w:p>
    <w:p w14:paraId="55920F6B" w14:textId="77777777" w:rsidR="00D13A1D" w:rsidRPr="00C64BA4" w:rsidRDefault="00D505B5" w:rsidP="00206C45">
      <w:pPr>
        <w:spacing w:line="300" w:lineRule="auto"/>
      </w:pPr>
      <w:r w:rsidRPr="00C64BA4">
        <w:t xml:space="preserve">Local SNHPC Commissioners: A shout out to </w:t>
      </w:r>
      <w:r w:rsidR="00D13A1D" w:rsidRPr="00C64BA4">
        <w:t>the</w:t>
      </w:r>
      <w:r w:rsidRPr="00C64BA4">
        <w:t xml:space="preserve"> dedicated Commissioners that represent SNHPC’s 14 communities</w:t>
      </w:r>
      <w:r w:rsidR="00D13A1D" w:rsidRPr="00C64BA4">
        <w:t>.  Thank you for all your assistance in this effort and especially your participation in community conversations which provided valuable insight into local housing challenges. Your dedication to your communities is inspirational.</w:t>
      </w:r>
    </w:p>
    <w:p w14:paraId="54640ADF" w14:textId="28E71AB4" w:rsidR="00C6104C" w:rsidRPr="00C64BA4" w:rsidRDefault="00205107" w:rsidP="00206C45">
      <w:pPr>
        <w:spacing w:line="300" w:lineRule="auto"/>
      </w:pPr>
      <w:r w:rsidRPr="00C64BA4">
        <w:t>Residents in the SNHPC Region: Housing is an emotional topic for many</w:t>
      </w:r>
      <w:r w:rsidR="00925F6B" w:rsidRPr="00C64BA4">
        <w:t>,</w:t>
      </w:r>
      <w:r w:rsidR="00C96A5A" w:rsidRPr="00C64BA4">
        <w:t xml:space="preserve"> and </w:t>
      </w:r>
      <w:r w:rsidR="00925F6B" w:rsidRPr="00C64BA4">
        <w:t>residents</w:t>
      </w:r>
      <w:r w:rsidR="00C96A5A" w:rsidRPr="00C64BA4">
        <w:t xml:space="preserve"> opened their hearts and shared their stories.  We heard about </w:t>
      </w:r>
      <w:r w:rsidR="00D857BF" w:rsidRPr="00C64BA4">
        <w:t>single moms</w:t>
      </w:r>
      <w:r w:rsidR="00C96A5A" w:rsidRPr="00C64BA4">
        <w:t xml:space="preserve"> looking to</w:t>
      </w:r>
      <w:r w:rsidRPr="00C64BA4">
        <w:t xml:space="preserve"> find a safe home in a welcoming neighborhood, </w:t>
      </w:r>
      <w:r w:rsidR="00D857BF" w:rsidRPr="00C64BA4">
        <w:t xml:space="preserve">young adults graduating from college and </w:t>
      </w:r>
      <w:r w:rsidRPr="00C64BA4">
        <w:t>trying to find housing near a new job</w:t>
      </w:r>
      <w:r w:rsidR="00C96A5A" w:rsidRPr="00C64BA4">
        <w:t xml:space="preserve">, </w:t>
      </w:r>
      <w:r w:rsidR="00D857BF" w:rsidRPr="00C64BA4">
        <w:t>renters wanting</w:t>
      </w:r>
      <w:r w:rsidR="00C96A5A" w:rsidRPr="00C64BA4">
        <w:t xml:space="preserve"> housing near transit, shopping, </w:t>
      </w:r>
      <w:r w:rsidR="00D857BF" w:rsidRPr="00C64BA4">
        <w:t xml:space="preserve">and </w:t>
      </w:r>
      <w:r w:rsidR="00C96A5A" w:rsidRPr="00C64BA4">
        <w:t>parks</w:t>
      </w:r>
      <w:r w:rsidR="00D857BF" w:rsidRPr="00C64BA4">
        <w:t xml:space="preserve">, </w:t>
      </w:r>
      <w:r w:rsidR="00C96A5A" w:rsidRPr="00C64BA4">
        <w:t>and</w:t>
      </w:r>
      <w:r w:rsidR="00C6104C" w:rsidRPr="00C64BA4">
        <w:t xml:space="preserve"> of course</w:t>
      </w:r>
      <w:r w:rsidR="00C96A5A" w:rsidRPr="00C64BA4">
        <w:t xml:space="preserve"> older adult</w:t>
      </w:r>
      <w:r w:rsidR="00D857BF" w:rsidRPr="00C64BA4">
        <w:t>s</w:t>
      </w:r>
      <w:r w:rsidR="00C96A5A" w:rsidRPr="00C64BA4">
        <w:t xml:space="preserve"> with physical</w:t>
      </w:r>
      <w:r w:rsidR="00D857BF" w:rsidRPr="00C64BA4">
        <w:t xml:space="preserve"> or mental</w:t>
      </w:r>
      <w:r w:rsidR="00C96A5A" w:rsidRPr="00C64BA4">
        <w:t xml:space="preserve"> challenges</w:t>
      </w:r>
      <w:r w:rsidR="00D857BF" w:rsidRPr="00C64BA4">
        <w:t xml:space="preserve"> who need a final </w:t>
      </w:r>
      <w:r w:rsidR="00925F6B" w:rsidRPr="00C64BA4">
        <w:t>home as they age</w:t>
      </w:r>
      <w:r w:rsidR="00C6104C" w:rsidRPr="00C64BA4">
        <w:t xml:space="preserve"> that would allow them to live the best quality of life possible.  Thank you for sharing your stories and participating in the various outreach opportunities that were available during this process.</w:t>
      </w:r>
    </w:p>
    <w:p w14:paraId="036DC1EF" w14:textId="00A7BB16" w:rsidR="00C6104C" w:rsidRPr="00C64BA4" w:rsidRDefault="00C6104C" w:rsidP="00206C45">
      <w:pPr>
        <w:spacing w:line="300" w:lineRule="auto"/>
      </w:pPr>
      <w:r w:rsidRPr="00C64BA4">
        <w:t>We look forward to assisting our communities in future housing endeavors</w:t>
      </w:r>
      <w:r w:rsidR="00925F6B" w:rsidRPr="00C64BA4">
        <w:t>;</w:t>
      </w:r>
      <w:r w:rsidRPr="00C64BA4">
        <w:t xml:space="preserve"> may we all rise to the challenge.</w:t>
      </w:r>
    </w:p>
    <w:p w14:paraId="34C018F5" w14:textId="1B97569C" w:rsidR="00C24921" w:rsidRPr="00C64BA4" w:rsidRDefault="00C6104C" w:rsidP="00206C45">
      <w:pPr>
        <w:spacing w:line="300" w:lineRule="auto"/>
        <w:rPr>
          <w:caps/>
          <w:color w:val="003CB4" w:themeColor="accent2" w:themeShade="80"/>
          <w:spacing w:val="20"/>
          <w:sz w:val="28"/>
          <w:szCs w:val="28"/>
        </w:rPr>
      </w:pPr>
      <w:r w:rsidRPr="00C64BA4">
        <w:t xml:space="preserve">Sylvia von </w:t>
      </w:r>
      <w:proofErr w:type="spellStart"/>
      <w:r w:rsidRPr="00C64BA4">
        <w:t>Aulock</w:t>
      </w:r>
      <w:proofErr w:type="spellEnd"/>
      <w:r w:rsidRPr="00C64BA4">
        <w:t>, SNHPC Executive Director</w:t>
      </w:r>
      <w:bookmarkEnd w:id="6"/>
      <w:r w:rsidR="00C24921" w:rsidRPr="00C64BA4">
        <w:br w:type="page"/>
      </w:r>
    </w:p>
    <w:p w14:paraId="5AFCD918" w14:textId="66D05475" w:rsidR="00AC619A" w:rsidRPr="00C64BA4" w:rsidRDefault="26F8969E" w:rsidP="00206C45">
      <w:pPr>
        <w:pStyle w:val="Heading1"/>
        <w:spacing w:line="300" w:lineRule="auto"/>
      </w:pPr>
      <w:bookmarkStart w:id="7" w:name="_Toc2113173007"/>
      <w:bookmarkStart w:id="8" w:name="_Toc1529205715"/>
      <w:bookmarkStart w:id="9" w:name="_Toc128137932"/>
      <w:r w:rsidRPr="00C64BA4">
        <w:lastRenderedPageBreak/>
        <w:t>Section I</w:t>
      </w:r>
      <w:r w:rsidR="005C61DD" w:rsidRPr="00C64BA4">
        <w:t>I</w:t>
      </w:r>
      <w:r w:rsidRPr="00C64BA4">
        <w:t xml:space="preserve"> - Executive Summary</w:t>
      </w:r>
      <w:bookmarkEnd w:id="7"/>
      <w:bookmarkEnd w:id="8"/>
      <w:bookmarkEnd w:id="9"/>
    </w:p>
    <w:p w14:paraId="55EA6991" w14:textId="2CF1EE8C" w:rsidR="003257D9" w:rsidRPr="00C64BA4" w:rsidRDefault="005C61DD" w:rsidP="00E75682">
      <w:pPr>
        <w:pStyle w:val="Heading2"/>
        <w:rPr>
          <w:rStyle w:val="eop"/>
          <w:rFonts w:cs="Segoe UI"/>
          <w:sz w:val="22"/>
          <w:szCs w:val="22"/>
        </w:rPr>
      </w:pPr>
      <w:bookmarkStart w:id="10" w:name="_Toc128137933"/>
      <w:r w:rsidRPr="00C64BA4">
        <w:rPr>
          <w:rStyle w:val="eop"/>
          <w:rFonts w:cs="Segoe UI"/>
          <w:sz w:val="22"/>
          <w:szCs w:val="22"/>
        </w:rPr>
        <w:t>Purpose of the Plan</w:t>
      </w:r>
      <w:bookmarkEnd w:id="10"/>
    </w:p>
    <w:p w14:paraId="76985356" w14:textId="58594082" w:rsidR="003257D9" w:rsidRPr="00C64BA4" w:rsidRDefault="00E53C97" w:rsidP="00206C45">
      <w:pPr>
        <w:spacing w:after="120" w:line="300" w:lineRule="auto"/>
        <w:jc w:val="both"/>
        <w:textAlignment w:val="baseline"/>
        <w:rPr>
          <w:rStyle w:val="eop"/>
          <w:rFonts w:eastAsia="Times New Roman" w:cs="Segoe UI"/>
        </w:rPr>
      </w:pPr>
      <w:r>
        <w:rPr>
          <w:rFonts w:eastAsia="Times New Roman"/>
          <w:noProof/>
        </w:rPr>
        <w:drawing>
          <wp:anchor distT="91440" distB="91440" distL="182880" distR="182880" simplePos="0" relativeHeight="251709440" behindDoc="1" locked="0" layoutInCell="1" allowOverlap="1" wp14:anchorId="5B54A91D" wp14:editId="065E241D">
            <wp:simplePos x="0" y="0"/>
            <wp:positionH relativeFrom="margin">
              <wp:posOffset>0</wp:posOffset>
            </wp:positionH>
            <wp:positionV relativeFrom="paragraph">
              <wp:posOffset>62756</wp:posOffset>
            </wp:positionV>
            <wp:extent cx="2231136" cy="1554745"/>
            <wp:effectExtent l="0" t="0" r="0" b="7620"/>
            <wp:wrapTight wrapText="bothSides">
              <wp:wrapPolygon edited="0">
                <wp:start x="0" y="0"/>
                <wp:lineTo x="0" y="21441"/>
                <wp:lineTo x="21397" y="21441"/>
                <wp:lineTo x="21397" y="0"/>
                <wp:lineTo x="0" y="0"/>
              </wp:wrapPolygon>
            </wp:wrapTight>
            <wp:docPr id="18" name="Picture 1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go, company nam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31136" cy="1554745"/>
                    </a:xfrm>
                    <a:prstGeom prst="rect">
                      <a:avLst/>
                    </a:prstGeom>
                  </pic:spPr>
                </pic:pic>
              </a:graphicData>
            </a:graphic>
            <wp14:sizeRelH relativeFrom="margin">
              <wp14:pctWidth>0</wp14:pctWidth>
            </wp14:sizeRelH>
            <wp14:sizeRelV relativeFrom="margin">
              <wp14:pctHeight>0</wp14:pctHeight>
            </wp14:sizeRelV>
          </wp:anchor>
        </w:drawing>
      </w:r>
      <w:r w:rsidR="003257D9" w:rsidRPr="00C64BA4">
        <w:rPr>
          <w:rFonts w:eastAsia="Times New Roman" w:cs="Segoe UI"/>
        </w:rPr>
        <w:t xml:space="preserve">The purpose of this document is to identify and analyze baseline conditions for fair housing, equity, </w:t>
      </w:r>
      <w:proofErr w:type="gramStart"/>
      <w:r w:rsidR="003257D9" w:rsidRPr="00C64BA4">
        <w:rPr>
          <w:rFonts w:eastAsia="Times New Roman" w:cs="Segoe UI"/>
        </w:rPr>
        <w:t>opportunity</w:t>
      </w:r>
      <w:proofErr w:type="gramEnd"/>
      <w:r w:rsidR="003257D9" w:rsidRPr="00C64BA4">
        <w:rPr>
          <w:rFonts w:eastAsia="Times New Roman" w:cs="Segoe UI"/>
        </w:rPr>
        <w:t xml:space="preserve"> and housing needs in the Southern New Hampshire Planning Commission region. This housing needs assessment identifies and outlines key goals and recommendations for addressing housing needs in the region. These goals and recommendations are supported by the issues and needs identified through the RHNA public outreach process, in addition to the evaluation and analysis of background information and key data.</w:t>
      </w:r>
    </w:p>
    <w:p w14:paraId="4CC1F072" w14:textId="4D3AC475" w:rsidR="003257D9" w:rsidRPr="00C64BA4" w:rsidRDefault="005C61DD" w:rsidP="00E75682">
      <w:pPr>
        <w:pStyle w:val="Heading2"/>
        <w:rPr>
          <w:rStyle w:val="eop"/>
          <w:rFonts w:cs="Segoe UI"/>
          <w:sz w:val="22"/>
          <w:szCs w:val="22"/>
        </w:rPr>
      </w:pPr>
      <w:bookmarkStart w:id="11" w:name="_Toc128137934"/>
      <w:r w:rsidRPr="00C64BA4">
        <w:rPr>
          <w:rStyle w:val="eop"/>
          <w:rFonts w:cs="Segoe UI"/>
          <w:sz w:val="22"/>
          <w:szCs w:val="22"/>
        </w:rPr>
        <w:t>Housing/Population Snapshot</w:t>
      </w:r>
      <w:bookmarkEnd w:id="11"/>
    </w:p>
    <w:p w14:paraId="18E0A9DB" w14:textId="77777777" w:rsidR="005336D5" w:rsidRDefault="003257D9" w:rsidP="00206C45">
      <w:pPr>
        <w:spacing w:after="120" w:line="300" w:lineRule="auto"/>
        <w:jc w:val="both"/>
        <w:textAlignment w:val="baseline"/>
        <w:rPr>
          <w:rFonts w:eastAsia="Times New Roman" w:cs="Segoe UI"/>
        </w:rPr>
      </w:pPr>
      <w:bookmarkStart w:id="12" w:name="_Toc128137935"/>
      <w:bookmarkStart w:id="13" w:name="_Hlk121561435"/>
      <w:r w:rsidRPr="00C64BA4">
        <w:rPr>
          <w:rStyle w:val="Heading3Char"/>
        </w:rPr>
        <w:t>Housing.</w:t>
      </w:r>
      <w:bookmarkEnd w:id="12"/>
      <w:r w:rsidRPr="00C64BA4">
        <w:rPr>
          <w:rFonts w:eastAsia="Times New Roman" w:cs="Segoe UI"/>
        </w:rPr>
        <w:t xml:space="preserve">  Housing supply in the Southern NH planning region is comprised predominantly of single-family homes, the majority of which are owner-occupied.  With that said, several communities have increased their percentage of multifamily homes over the past decade including Bedford, Derry, and Hooksett.  </w:t>
      </w:r>
      <w:r w:rsidR="005336D5" w:rsidRPr="00C64BA4">
        <w:rPr>
          <w:rFonts w:eastAsia="Times New Roman" w:cs="Segoe UI"/>
        </w:rPr>
        <w:t xml:space="preserve">The communities with the highest percentages of housing units with two or more units are Manchester, Derry, and Goffstown. </w:t>
      </w:r>
    </w:p>
    <w:p w14:paraId="473215F6" w14:textId="10794F37" w:rsidR="003257D9" w:rsidRPr="00C64BA4" w:rsidRDefault="003257D9" w:rsidP="00206C45">
      <w:pPr>
        <w:spacing w:after="120" w:line="300" w:lineRule="auto"/>
        <w:jc w:val="both"/>
        <w:textAlignment w:val="baseline"/>
        <w:rPr>
          <w:rFonts w:eastAsia="Times New Roman" w:cs="Segoe UI"/>
        </w:rPr>
      </w:pPr>
      <w:r w:rsidRPr="00C64BA4">
        <w:rPr>
          <w:rFonts w:eastAsia="Times New Roman" w:cs="Segoe UI"/>
        </w:rPr>
        <w:t xml:space="preserve">Most often, the reason for a larger percentage of housing diversity is due to the existence of municipal water and sewer. Although well and septic systems are limiting, soil-based determination of lot size, unit density and even the number of bedrooms </w:t>
      </w:r>
      <w:r w:rsidR="005336D5">
        <w:rPr>
          <w:rFonts w:eastAsia="Times New Roman" w:cs="Segoe UI"/>
        </w:rPr>
        <w:t>provides a scientific approach and provides confidence to those reviewing plans that the land can accommodate the use</w:t>
      </w:r>
      <w:r w:rsidRPr="00C64BA4">
        <w:rPr>
          <w:rFonts w:eastAsia="Times New Roman" w:cs="Segoe UI"/>
        </w:rPr>
        <w:t xml:space="preserve">. </w:t>
      </w:r>
    </w:p>
    <w:p w14:paraId="67816252" w14:textId="77777777" w:rsidR="003257D9" w:rsidRPr="00C64BA4" w:rsidRDefault="003257D9" w:rsidP="00206C45">
      <w:pPr>
        <w:spacing w:after="120" w:line="300" w:lineRule="auto"/>
        <w:jc w:val="both"/>
        <w:textAlignment w:val="baseline"/>
        <w:rPr>
          <w:rFonts w:eastAsia="Times New Roman" w:cs="Segoe UI"/>
        </w:rPr>
      </w:pPr>
      <w:r w:rsidRPr="00C64BA4">
        <w:rPr>
          <w:rFonts w:eastAsia="Times New Roman" w:cs="Segoe UI"/>
        </w:rPr>
        <w:t>Resources:</w:t>
      </w:r>
    </w:p>
    <w:p w14:paraId="69A5C977" w14:textId="75C6FF57" w:rsidR="003257D9" w:rsidRPr="00C64BA4" w:rsidRDefault="003257D9" w:rsidP="00206C45">
      <w:pPr>
        <w:pStyle w:val="ListParagraph"/>
        <w:numPr>
          <w:ilvl w:val="0"/>
          <w:numId w:val="15"/>
        </w:numPr>
        <w:spacing w:after="120" w:line="300" w:lineRule="auto"/>
        <w:textAlignment w:val="baseline"/>
        <w:rPr>
          <w:rFonts w:eastAsia="Times New Roman" w:cs="Segoe UI"/>
        </w:rPr>
      </w:pPr>
      <w:r w:rsidRPr="00C64BA4">
        <w:rPr>
          <w:rFonts w:eastAsia="Times New Roman" w:cs="Segoe UI"/>
        </w:rPr>
        <w:t xml:space="preserve">An excellent source of local statistics can be found here: </w:t>
      </w:r>
      <w:hyperlink r:id="rId27" w:history="1">
        <w:r w:rsidR="00465AC3" w:rsidRPr="00467DBF">
          <w:rPr>
            <w:rStyle w:val="Hyperlink"/>
            <w:rFonts w:eastAsia="Times New Roman" w:cs="Segoe UI"/>
          </w:rPr>
          <w:t>https://www.nhes.nh.gov/elmi/products/cp/index.htm</w:t>
        </w:r>
      </w:hyperlink>
      <w:r w:rsidR="00465AC3">
        <w:rPr>
          <w:rFonts w:eastAsia="Times New Roman" w:cs="Segoe UI"/>
        </w:rPr>
        <w:t xml:space="preserve"> </w:t>
      </w:r>
    </w:p>
    <w:p w14:paraId="182EC6BB" w14:textId="77777777" w:rsidR="003257D9" w:rsidRPr="00C64BA4" w:rsidRDefault="003257D9" w:rsidP="00206C45">
      <w:pPr>
        <w:pStyle w:val="ListParagraph"/>
        <w:numPr>
          <w:ilvl w:val="0"/>
          <w:numId w:val="15"/>
        </w:numPr>
        <w:spacing w:after="0" w:line="300" w:lineRule="auto"/>
        <w:textAlignment w:val="baseline"/>
        <w:rPr>
          <w:rFonts w:eastAsia="Times New Roman" w:cs="Segoe UI"/>
        </w:rPr>
      </w:pPr>
      <w:r w:rsidRPr="00C64BA4">
        <w:rPr>
          <w:rFonts w:eastAsia="Times New Roman" w:cs="Segoe UI"/>
        </w:rPr>
        <w:t xml:space="preserve">An excellent source of current stateside building trends can be found here: </w:t>
      </w:r>
    </w:p>
    <w:p w14:paraId="558AA802" w14:textId="755B943C" w:rsidR="003257D9" w:rsidRPr="00C64BA4" w:rsidRDefault="0062538A" w:rsidP="00206C45">
      <w:pPr>
        <w:spacing w:after="0" w:line="300" w:lineRule="auto"/>
        <w:ind w:firstLine="720"/>
        <w:textAlignment w:val="baseline"/>
        <w:rPr>
          <w:rFonts w:eastAsia="Times New Roman" w:cs="Segoe UI"/>
        </w:rPr>
      </w:pPr>
      <w:hyperlink r:id="rId28" w:history="1">
        <w:r w:rsidR="00465AC3" w:rsidRPr="00467DBF">
          <w:rPr>
            <w:rStyle w:val="Hyperlink"/>
            <w:rFonts w:eastAsia="Times New Roman" w:cs="Segoe UI"/>
          </w:rPr>
          <w:t>https://www.nh.gov/osi/data-center/documents/housing-estimates-trends.pdf</w:t>
        </w:r>
      </w:hyperlink>
      <w:r w:rsidR="00465AC3">
        <w:rPr>
          <w:rFonts w:eastAsia="Times New Roman" w:cs="Segoe UI"/>
        </w:rPr>
        <w:t xml:space="preserve"> </w:t>
      </w:r>
    </w:p>
    <w:p w14:paraId="435C37C8" w14:textId="77777777" w:rsidR="003257D9" w:rsidRPr="00C64BA4" w:rsidRDefault="003257D9" w:rsidP="00206C45">
      <w:pPr>
        <w:spacing w:after="120" w:line="300" w:lineRule="auto"/>
        <w:jc w:val="both"/>
        <w:textAlignment w:val="baseline"/>
        <w:rPr>
          <w:rFonts w:eastAsia="Times New Roman" w:cs="Segoe UI"/>
          <w:i/>
          <w:iCs/>
        </w:rPr>
      </w:pPr>
    </w:p>
    <w:p w14:paraId="7CCDC173" w14:textId="52F1B5E6" w:rsidR="005C61DD" w:rsidRPr="00C64BA4" w:rsidRDefault="00C96C23" w:rsidP="00206C45">
      <w:pPr>
        <w:pStyle w:val="Caption"/>
        <w:keepNext/>
        <w:spacing w:line="300" w:lineRule="auto"/>
      </w:pPr>
      <w:bookmarkStart w:id="14" w:name="_Ref123196050"/>
      <w:bookmarkStart w:id="15" w:name="_Toc128137892"/>
      <w:r>
        <w:t>Table</w:t>
      </w:r>
      <w:r w:rsidR="005C61DD" w:rsidRPr="00C64BA4">
        <w:t xml:space="preserve"> </w:t>
      </w:r>
      <w:r w:rsidR="0062538A">
        <w:fldChar w:fldCharType="begin"/>
      </w:r>
      <w:r w:rsidR="0062538A">
        <w:instrText xml:space="preserve"> SEQ Table \* ARABIC </w:instrText>
      </w:r>
      <w:r w:rsidR="0062538A">
        <w:fldChar w:fldCharType="separate"/>
      </w:r>
      <w:r w:rsidR="008B512A">
        <w:rPr>
          <w:noProof/>
        </w:rPr>
        <w:t>1</w:t>
      </w:r>
      <w:r w:rsidR="0062538A">
        <w:rPr>
          <w:noProof/>
        </w:rPr>
        <w:fldChar w:fldCharType="end"/>
      </w:r>
      <w:bookmarkEnd w:id="14"/>
      <w:r w:rsidR="00232DF3">
        <w:t xml:space="preserve">: Housing Unit Type as </w:t>
      </w:r>
      <w:r w:rsidR="00755D0A">
        <w:t>Percentage</w:t>
      </w:r>
      <w:r w:rsidR="00232DF3">
        <w:t xml:space="preserve"> of Total Housing Units</w:t>
      </w:r>
      <w:bookmarkEnd w:id="15"/>
    </w:p>
    <w:bookmarkEnd w:id="13"/>
    <w:tbl>
      <w:tblPr>
        <w:tblW w:w="7600" w:type="dxa"/>
        <w:jc w:val="center"/>
        <w:tblLook w:val="04A0" w:firstRow="1" w:lastRow="0" w:firstColumn="1" w:lastColumn="0" w:noHBand="0" w:noVBand="1"/>
      </w:tblPr>
      <w:tblGrid>
        <w:gridCol w:w="1328"/>
        <w:gridCol w:w="945"/>
        <w:gridCol w:w="1130"/>
        <w:gridCol w:w="945"/>
        <w:gridCol w:w="1130"/>
        <w:gridCol w:w="945"/>
        <w:gridCol w:w="1177"/>
      </w:tblGrid>
      <w:tr w:rsidR="003257D9" w:rsidRPr="00C64BA4" w14:paraId="2C95B2E3" w14:textId="77777777" w:rsidTr="00613983">
        <w:trPr>
          <w:trHeight w:val="300"/>
          <w:tblHeader/>
          <w:jc w:val="center"/>
        </w:trPr>
        <w:tc>
          <w:tcPr>
            <w:tcW w:w="1328" w:type="dxa"/>
            <w:tcBorders>
              <w:top w:val="nil"/>
              <w:left w:val="nil"/>
              <w:bottom w:val="nil"/>
              <w:right w:val="nil"/>
            </w:tcBorders>
            <w:shd w:val="clear" w:color="auto" w:fill="auto"/>
            <w:noWrap/>
            <w:vAlign w:val="center"/>
            <w:hideMark/>
          </w:tcPr>
          <w:p w14:paraId="6E88F55F" w14:textId="77777777" w:rsidR="003257D9" w:rsidRPr="00C64BA4" w:rsidRDefault="003257D9" w:rsidP="00206C45">
            <w:pPr>
              <w:spacing w:after="0" w:line="300" w:lineRule="auto"/>
              <w:rPr>
                <w:rFonts w:eastAsia="Times New Roman" w:cs="Calibri"/>
                <w:b/>
                <w:bCs/>
                <w:color w:val="595959"/>
              </w:rPr>
            </w:pPr>
          </w:p>
        </w:tc>
        <w:tc>
          <w:tcPr>
            <w:tcW w:w="6272" w:type="dxa"/>
            <w:gridSpan w:val="6"/>
            <w:tcBorders>
              <w:top w:val="nil"/>
              <w:left w:val="single" w:sz="4" w:space="0" w:color="auto"/>
              <w:bottom w:val="nil"/>
              <w:right w:val="nil"/>
            </w:tcBorders>
            <w:shd w:val="clear" w:color="auto" w:fill="auto"/>
            <w:vAlign w:val="center"/>
            <w:hideMark/>
          </w:tcPr>
          <w:p w14:paraId="173A2477"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 xml:space="preserve">Housing Unit Type as % of Total Housing Units </w:t>
            </w:r>
          </w:p>
        </w:tc>
      </w:tr>
      <w:tr w:rsidR="003257D9" w:rsidRPr="00C64BA4" w14:paraId="313650E1" w14:textId="77777777" w:rsidTr="00613983">
        <w:trPr>
          <w:trHeight w:val="300"/>
          <w:tblHeader/>
          <w:jc w:val="center"/>
        </w:trPr>
        <w:tc>
          <w:tcPr>
            <w:tcW w:w="1328" w:type="dxa"/>
            <w:tcBorders>
              <w:top w:val="nil"/>
              <w:left w:val="nil"/>
              <w:bottom w:val="nil"/>
              <w:right w:val="nil"/>
            </w:tcBorders>
            <w:shd w:val="clear" w:color="auto" w:fill="auto"/>
            <w:noWrap/>
            <w:vAlign w:val="center"/>
            <w:hideMark/>
          </w:tcPr>
          <w:p w14:paraId="05FC7726" w14:textId="77777777" w:rsidR="003257D9" w:rsidRPr="00C64BA4" w:rsidRDefault="003257D9" w:rsidP="00206C45">
            <w:pPr>
              <w:spacing w:after="0" w:line="300" w:lineRule="auto"/>
              <w:jc w:val="center"/>
              <w:rPr>
                <w:rFonts w:eastAsia="Times New Roman" w:cs="Calibri"/>
                <w:b/>
                <w:bCs/>
                <w:color w:val="595959"/>
              </w:rPr>
            </w:pPr>
          </w:p>
        </w:tc>
        <w:tc>
          <w:tcPr>
            <w:tcW w:w="2075" w:type="dxa"/>
            <w:gridSpan w:val="2"/>
            <w:tcBorders>
              <w:top w:val="nil"/>
              <w:left w:val="single" w:sz="4" w:space="0" w:color="auto"/>
              <w:bottom w:val="nil"/>
              <w:right w:val="nil"/>
            </w:tcBorders>
            <w:shd w:val="clear" w:color="auto" w:fill="auto"/>
            <w:vAlign w:val="center"/>
            <w:hideMark/>
          </w:tcPr>
          <w:p w14:paraId="4173A7A0"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2010</w:t>
            </w:r>
          </w:p>
        </w:tc>
        <w:tc>
          <w:tcPr>
            <w:tcW w:w="2075" w:type="dxa"/>
            <w:gridSpan w:val="2"/>
            <w:tcBorders>
              <w:top w:val="nil"/>
              <w:left w:val="single" w:sz="4" w:space="0" w:color="auto"/>
              <w:bottom w:val="nil"/>
              <w:right w:val="nil"/>
            </w:tcBorders>
            <w:shd w:val="clear" w:color="auto" w:fill="auto"/>
            <w:vAlign w:val="center"/>
            <w:hideMark/>
          </w:tcPr>
          <w:p w14:paraId="0CF26F28"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2015</w:t>
            </w:r>
          </w:p>
        </w:tc>
        <w:tc>
          <w:tcPr>
            <w:tcW w:w="2122" w:type="dxa"/>
            <w:gridSpan w:val="2"/>
            <w:tcBorders>
              <w:top w:val="nil"/>
              <w:left w:val="single" w:sz="4" w:space="0" w:color="auto"/>
              <w:bottom w:val="nil"/>
              <w:right w:val="nil"/>
            </w:tcBorders>
            <w:shd w:val="clear" w:color="auto" w:fill="auto"/>
            <w:vAlign w:val="center"/>
            <w:hideMark/>
          </w:tcPr>
          <w:p w14:paraId="4B9F16B1"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2020</w:t>
            </w:r>
          </w:p>
        </w:tc>
      </w:tr>
      <w:tr w:rsidR="003257D9" w:rsidRPr="00C64BA4" w14:paraId="7EF376D9" w14:textId="77777777" w:rsidTr="00613983">
        <w:trPr>
          <w:trHeight w:val="855"/>
          <w:tblHeader/>
          <w:jc w:val="center"/>
        </w:trPr>
        <w:tc>
          <w:tcPr>
            <w:tcW w:w="1328" w:type="dxa"/>
            <w:tcBorders>
              <w:top w:val="nil"/>
              <w:left w:val="nil"/>
              <w:bottom w:val="single" w:sz="4" w:space="0" w:color="auto"/>
              <w:right w:val="nil"/>
            </w:tcBorders>
            <w:shd w:val="clear" w:color="auto" w:fill="auto"/>
            <w:noWrap/>
            <w:vAlign w:val="center"/>
            <w:hideMark/>
          </w:tcPr>
          <w:p w14:paraId="0BC993A5" w14:textId="77777777" w:rsidR="003257D9" w:rsidRPr="00C64BA4" w:rsidRDefault="003257D9" w:rsidP="00206C45">
            <w:pPr>
              <w:spacing w:after="0" w:line="300" w:lineRule="auto"/>
              <w:rPr>
                <w:rFonts w:eastAsia="Times New Roman" w:cs="Calibri"/>
                <w:color w:val="000000"/>
              </w:rPr>
            </w:pPr>
            <w:r w:rsidRPr="00C64BA4">
              <w:rPr>
                <w:rFonts w:eastAsia="Times New Roman" w:cs="Calibri"/>
                <w:color w:val="000000"/>
              </w:rPr>
              <w:t> </w:t>
            </w:r>
          </w:p>
        </w:tc>
        <w:tc>
          <w:tcPr>
            <w:tcW w:w="945" w:type="dxa"/>
            <w:tcBorders>
              <w:top w:val="nil"/>
              <w:left w:val="single" w:sz="4" w:space="0" w:color="auto"/>
              <w:bottom w:val="single" w:sz="4" w:space="0" w:color="auto"/>
              <w:right w:val="nil"/>
            </w:tcBorders>
            <w:shd w:val="clear" w:color="auto" w:fill="auto"/>
            <w:vAlign w:val="center"/>
            <w:hideMark/>
          </w:tcPr>
          <w:p w14:paraId="4F31D47E"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Single-Family</w:t>
            </w:r>
          </w:p>
        </w:tc>
        <w:tc>
          <w:tcPr>
            <w:tcW w:w="1130" w:type="dxa"/>
            <w:tcBorders>
              <w:top w:val="nil"/>
              <w:left w:val="nil"/>
              <w:bottom w:val="single" w:sz="4" w:space="0" w:color="auto"/>
              <w:right w:val="nil"/>
            </w:tcBorders>
            <w:shd w:val="clear" w:color="auto" w:fill="auto"/>
            <w:vAlign w:val="center"/>
            <w:hideMark/>
          </w:tcPr>
          <w:p w14:paraId="45B1BE6A"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2 or More Units in Structure</w:t>
            </w:r>
          </w:p>
        </w:tc>
        <w:tc>
          <w:tcPr>
            <w:tcW w:w="945" w:type="dxa"/>
            <w:tcBorders>
              <w:top w:val="nil"/>
              <w:left w:val="single" w:sz="4" w:space="0" w:color="auto"/>
              <w:bottom w:val="single" w:sz="4" w:space="0" w:color="auto"/>
              <w:right w:val="nil"/>
            </w:tcBorders>
            <w:shd w:val="clear" w:color="auto" w:fill="auto"/>
            <w:vAlign w:val="center"/>
            <w:hideMark/>
          </w:tcPr>
          <w:p w14:paraId="4EE2BDC7"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Single-Family</w:t>
            </w:r>
          </w:p>
        </w:tc>
        <w:tc>
          <w:tcPr>
            <w:tcW w:w="1130" w:type="dxa"/>
            <w:tcBorders>
              <w:top w:val="nil"/>
              <w:left w:val="nil"/>
              <w:bottom w:val="single" w:sz="4" w:space="0" w:color="auto"/>
              <w:right w:val="nil"/>
            </w:tcBorders>
            <w:shd w:val="clear" w:color="auto" w:fill="auto"/>
            <w:vAlign w:val="center"/>
            <w:hideMark/>
          </w:tcPr>
          <w:p w14:paraId="6B9749E4"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2 or More Units in Structure</w:t>
            </w:r>
          </w:p>
        </w:tc>
        <w:tc>
          <w:tcPr>
            <w:tcW w:w="945" w:type="dxa"/>
            <w:tcBorders>
              <w:top w:val="nil"/>
              <w:left w:val="single" w:sz="4" w:space="0" w:color="auto"/>
              <w:bottom w:val="single" w:sz="4" w:space="0" w:color="auto"/>
              <w:right w:val="nil"/>
            </w:tcBorders>
            <w:shd w:val="clear" w:color="auto" w:fill="auto"/>
            <w:vAlign w:val="center"/>
            <w:hideMark/>
          </w:tcPr>
          <w:p w14:paraId="25FA9E6D"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Single-Family</w:t>
            </w:r>
          </w:p>
        </w:tc>
        <w:tc>
          <w:tcPr>
            <w:tcW w:w="1177" w:type="dxa"/>
            <w:tcBorders>
              <w:top w:val="nil"/>
              <w:left w:val="nil"/>
              <w:bottom w:val="single" w:sz="4" w:space="0" w:color="auto"/>
              <w:right w:val="nil"/>
            </w:tcBorders>
            <w:shd w:val="clear" w:color="auto" w:fill="auto"/>
            <w:vAlign w:val="center"/>
            <w:hideMark/>
          </w:tcPr>
          <w:p w14:paraId="1A9C72F9"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2 or More Units in Structure</w:t>
            </w:r>
          </w:p>
        </w:tc>
      </w:tr>
      <w:tr w:rsidR="003257D9" w:rsidRPr="00C64BA4" w14:paraId="213F21D5" w14:textId="77777777" w:rsidTr="00613983">
        <w:trPr>
          <w:trHeight w:val="300"/>
          <w:jc w:val="center"/>
        </w:trPr>
        <w:tc>
          <w:tcPr>
            <w:tcW w:w="1328" w:type="dxa"/>
            <w:tcBorders>
              <w:top w:val="nil"/>
              <w:left w:val="nil"/>
              <w:bottom w:val="nil"/>
              <w:right w:val="nil"/>
            </w:tcBorders>
            <w:shd w:val="clear" w:color="auto" w:fill="auto"/>
            <w:noWrap/>
            <w:vAlign w:val="center"/>
            <w:hideMark/>
          </w:tcPr>
          <w:p w14:paraId="5D234C1B"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Auburn</w:t>
            </w:r>
          </w:p>
        </w:tc>
        <w:tc>
          <w:tcPr>
            <w:tcW w:w="945" w:type="dxa"/>
            <w:tcBorders>
              <w:top w:val="nil"/>
              <w:left w:val="single" w:sz="4" w:space="0" w:color="auto"/>
              <w:bottom w:val="nil"/>
              <w:right w:val="nil"/>
            </w:tcBorders>
            <w:shd w:val="clear" w:color="auto" w:fill="auto"/>
            <w:noWrap/>
            <w:vAlign w:val="center"/>
            <w:hideMark/>
          </w:tcPr>
          <w:p w14:paraId="2E2B899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95%</w:t>
            </w:r>
          </w:p>
        </w:tc>
        <w:tc>
          <w:tcPr>
            <w:tcW w:w="1130" w:type="dxa"/>
            <w:tcBorders>
              <w:top w:val="nil"/>
              <w:left w:val="nil"/>
              <w:bottom w:val="nil"/>
              <w:right w:val="nil"/>
            </w:tcBorders>
            <w:shd w:val="clear" w:color="auto" w:fill="auto"/>
            <w:noWrap/>
            <w:vAlign w:val="center"/>
            <w:hideMark/>
          </w:tcPr>
          <w:p w14:paraId="574A414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w:t>
            </w:r>
          </w:p>
        </w:tc>
        <w:tc>
          <w:tcPr>
            <w:tcW w:w="945" w:type="dxa"/>
            <w:tcBorders>
              <w:top w:val="nil"/>
              <w:left w:val="single" w:sz="4" w:space="0" w:color="auto"/>
              <w:bottom w:val="nil"/>
              <w:right w:val="nil"/>
            </w:tcBorders>
            <w:shd w:val="clear" w:color="auto" w:fill="auto"/>
            <w:noWrap/>
            <w:vAlign w:val="center"/>
            <w:hideMark/>
          </w:tcPr>
          <w:p w14:paraId="56B6BE9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92%</w:t>
            </w:r>
          </w:p>
        </w:tc>
        <w:tc>
          <w:tcPr>
            <w:tcW w:w="1130" w:type="dxa"/>
            <w:tcBorders>
              <w:top w:val="nil"/>
              <w:left w:val="nil"/>
              <w:bottom w:val="nil"/>
              <w:right w:val="nil"/>
            </w:tcBorders>
            <w:shd w:val="clear" w:color="auto" w:fill="auto"/>
            <w:noWrap/>
            <w:vAlign w:val="center"/>
            <w:hideMark/>
          </w:tcPr>
          <w:p w14:paraId="3BBBA956"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w:t>
            </w:r>
          </w:p>
        </w:tc>
        <w:tc>
          <w:tcPr>
            <w:tcW w:w="945" w:type="dxa"/>
            <w:tcBorders>
              <w:top w:val="nil"/>
              <w:left w:val="single" w:sz="4" w:space="0" w:color="auto"/>
              <w:bottom w:val="nil"/>
              <w:right w:val="nil"/>
            </w:tcBorders>
            <w:shd w:val="clear" w:color="auto" w:fill="auto"/>
            <w:noWrap/>
            <w:vAlign w:val="center"/>
            <w:hideMark/>
          </w:tcPr>
          <w:p w14:paraId="295C1E56"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96%</w:t>
            </w:r>
          </w:p>
        </w:tc>
        <w:tc>
          <w:tcPr>
            <w:tcW w:w="1177" w:type="dxa"/>
            <w:tcBorders>
              <w:top w:val="nil"/>
              <w:left w:val="nil"/>
              <w:bottom w:val="nil"/>
              <w:right w:val="nil"/>
            </w:tcBorders>
            <w:shd w:val="clear" w:color="auto" w:fill="auto"/>
            <w:noWrap/>
            <w:vAlign w:val="center"/>
            <w:hideMark/>
          </w:tcPr>
          <w:p w14:paraId="4E0497C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4%</w:t>
            </w:r>
          </w:p>
        </w:tc>
      </w:tr>
      <w:tr w:rsidR="003257D9" w:rsidRPr="00C64BA4" w14:paraId="3BC785CC" w14:textId="77777777" w:rsidTr="00613983">
        <w:trPr>
          <w:trHeight w:val="300"/>
          <w:jc w:val="center"/>
        </w:trPr>
        <w:tc>
          <w:tcPr>
            <w:tcW w:w="1328" w:type="dxa"/>
            <w:tcBorders>
              <w:top w:val="single" w:sz="4" w:space="0" w:color="auto"/>
              <w:left w:val="nil"/>
              <w:bottom w:val="single" w:sz="4" w:space="0" w:color="auto"/>
              <w:right w:val="nil"/>
            </w:tcBorders>
            <w:shd w:val="clear" w:color="000000" w:fill="F2F2F2"/>
            <w:noWrap/>
            <w:vAlign w:val="center"/>
            <w:hideMark/>
          </w:tcPr>
          <w:p w14:paraId="0E01A3E0"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Bedford</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6FF8846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90%</w:t>
            </w:r>
          </w:p>
        </w:tc>
        <w:tc>
          <w:tcPr>
            <w:tcW w:w="1130" w:type="dxa"/>
            <w:tcBorders>
              <w:top w:val="single" w:sz="4" w:space="0" w:color="auto"/>
              <w:left w:val="nil"/>
              <w:bottom w:val="single" w:sz="4" w:space="0" w:color="auto"/>
              <w:right w:val="nil"/>
            </w:tcBorders>
            <w:shd w:val="clear" w:color="000000" w:fill="F2F2F2"/>
            <w:noWrap/>
            <w:vAlign w:val="center"/>
            <w:hideMark/>
          </w:tcPr>
          <w:p w14:paraId="2BFBDD20"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10%</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785EE49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91%</w:t>
            </w:r>
          </w:p>
        </w:tc>
        <w:tc>
          <w:tcPr>
            <w:tcW w:w="1130" w:type="dxa"/>
            <w:tcBorders>
              <w:top w:val="single" w:sz="4" w:space="0" w:color="auto"/>
              <w:left w:val="nil"/>
              <w:bottom w:val="single" w:sz="4" w:space="0" w:color="auto"/>
              <w:right w:val="nil"/>
            </w:tcBorders>
            <w:shd w:val="clear" w:color="000000" w:fill="F2F2F2"/>
            <w:noWrap/>
            <w:vAlign w:val="center"/>
            <w:hideMark/>
          </w:tcPr>
          <w:p w14:paraId="6B73ADF9"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4FE609E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82%</w:t>
            </w:r>
          </w:p>
        </w:tc>
        <w:tc>
          <w:tcPr>
            <w:tcW w:w="1177" w:type="dxa"/>
            <w:tcBorders>
              <w:top w:val="single" w:sz="4" w:space="0" w:color="auto"/>
              <w:left w:val="nil"/>
              <w:bottom w:val="single" w:sz="4" w:space="0" w:color="auto"/>
              <w:right w:val="nil"/>
            </w:tcBorders>
            <w:shd w:val="clear" w:color="000000" w:fill="FFF2CC"/>
            <w:noWrap/>
            <w:vAlign w:val="center"/>
            <w:hideMark/>
          </w:tcPr>
          <w:p w14:paraId="471640FA"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18%</w:t>
            </w:r>
          </w:p>
        </w:tc>
      </w:tr>
      <w:tr w:rsidR="003257D9" w:rsidRPr="00C64BA4" w14:paraId="5DBE2E06" w14:textId="77777777" w:rsidTr="00613983">
        <w:trPr>
          <w:trHeight w:val="300"/>
          <w:jc w:val="center"/>
        </w:trPr>
        <w:tc>
          <w:tcPr>
            <w:tcW w:w="1328" w:type="dxa"/>
            <w:tcBorders>
              <w:top w:val="nil"/>
              <w:left w:val="nil"/>
              <w:bottom w:val="nil"/>
              <w:right w:val="nil"/>
            </w:tcBorders>
            <w:shd w:val="clear" w:color="auto" w:fill="auto"/>
            <w:noWrap/>
            <w:vAlign w:val="center"/>
            <w:hideMark/>
          </w:tcPr>
          <w:p w14:paraId="7064A7D1"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Candia</w:t>
            </w:r>
          </w:p>
        </w:tc>
        <w:tc>
          <w:tcPr>
            <w:tcW w:w="945" w:type="dxa"/>
            <w:tcBorders>
              <w:top w:val="nil"/>
              <w:left w:val="single" w:sz="4" w:space="0" w:color="auto"/>
              <w:bottom w:val="nil"/>
              <w:right w:val="nil"/>
            </w:tcBorders>
            <w:shd w:val="clear" w:color="auto" w:fill="auto"/>
            <w:noWrap/>
            <w:vAlign w:val="center"/>
            <w:hideMark/>
          </w:tcPr>
          <w:p w14:paraId="6086EC6B"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94%</w:t>
            </w:r>
          </w:p>
        </w:tc>
        <w:tc>
          <w:tcPr>
            <w:tcW w:w="1130" w:type="dxa"/>
            <w:tcBorders>
              <w:top w:val="nil"/>
              <w:left w:val="nil"/>
              <w:bottom w:val="nil"/>
              <w:right w:val="nil"/>
            </w:tcBorders>
            <w:shd w:val="clear" w:color="auto" w:fill="auto"/>
            <w:noWrap/>
            <w:vAlign w:val="center"/>
            <w:hideMark/>
          </w:tcPr>
          <w:p w14:paraId="3328A980"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4%</w:t>
            </w:r>
          </w:p>
        </w:tc>
        <w:tc>
          <w:tcPr>
            <w:tcW w:w="945" w:type="dxa"/>
            <w:tcBorders>
              <w:top w:val="nil"/>
              <w:left w:val="single" w:sz="4" w:space="0" w:color="auto"/>
              <w:bottom w:val="nil"/>
              <w:right w:val="nil"/>
            </w:tcBorders>
            <w:shd w:val="clear" w:color="auto" w:fill="auto"/>
            <w:noWrap/>
            <w:vAlign w:val="center"/>
            <w:hideMark/>
          </w:tcPr>
          <w:p w14:paraId="39FB6B2B"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94%</w:t>
            </w:r>
          </w:p>
        </w:tc>
        <w:tc>
          <w:tcPr>
            <w:tcW w:w="1130" w:type="dxa"/>
            <w:tcBorders>
              <w:top w:val="nil"/>
              <w:left w:val="nil"/>
              <w:bottom w:val="nil"/>
              <w:right w:val="nil"/>
            </w:tcBorders>
            <w:shd w:val="clear" w:color="auto" w:fill="auto"/>
            <w:noWrap/>
            <w:vAlign w:val="center"/>
            <w:hideMark/>
          </w:tcPr>
          <w:p w14:paraId="7D4B1806"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w:t>
            </w:r>
          </w:p>
        </w:tc>
        <w:tc>
          <w:tcPr>
            <w:tcW w:w="945" w:type="dxa"/>
            <w:tcBorders>
              <w:top w:val="nil"/>
              <w:left w:val="single" w:sz="4" w:space="0" w:color="auto"/>
              <w:bottom w:val="nil"/>
              <w:right w:val="nil"/>
            </w:tcBorders>
            <w:shd w:val="clear" w:color="auto" w:fill="auto"/>
            <w:noWrap/>
            <w:vAlign w:val="center"/>
            <w:hideMark/>
          </w:tcPr>
          <w:p w14:paraId="44E5A25A"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93%</w:t>
            </w:r>
          </w:p>
        </w:tc>
        <w:tc>
          <w:tcPr>
            <w:tcW w:w="1177" w:type="dxa"/>
            <w:tcBorders>
              <w:top w:val="nil"/>
              <w:left w:val="nil"/>
              <w:bottom w:val="nil"/>
              <w:right w:val="nil"/>
            </w:tcBorders>
            <w:shd w:val="clear" w:color="auto" w:fill="auto"/>
            <w:noWrap/>
            <w:vAlign w:val="center"/>
            <w:hideMark/>
          </w:tcPr>
          <w:p w14:paraId="3892406B"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w:t>
            </w:r>
          </w:p>
        </w:tc>
      </w:tr>
      <w:tr w:rsidR="003257D9" w:rsidRPr="00C64BA4" w14:paraId="49F9B46F" w14:textId="77777777" w:rsidTr="00613983">
        <w:trPr>
          <w:trHeight w:val="300"/>
          <w:jc w:val="center"/>
        </w:trPr>
        <w:tc>
          <w:tcPr>
            <w:tcW w:w="1328" w:type="dxa"/>
            <w:tcBorders>
              <w:top w:val="single" w:sz="4" w:space="0" w:color="auto"/>
              <w:left w:val="nil"/>
              <w:bottom w:val="single" w:sz="4" w:space="0" w:color="auto"/>
              <w:right w:val="nil"/>
            </w:tcBorders>
            <w:shd w:val="clear" w:color="000000" w:fill="F2F2F2"/>
            <w:noWrap/>
            <w:vAlign w:val="center"/>
            <w:hideMark/>
          </w:tcPr>
          <w:p w14:paraId="63F87E4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Chester</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4F10A14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99%</w:t>
            </w:r>
          </w:p>
        </w:tc>
        <w:tc>
          <w:tcPr>
            <w:tcW w:w="1130" w:type="dxa"/>
            <w:tcBorders>
              <w:top w:val="single" w:sz="4" w:space="0" w:color="auto"/>
              <w:left w:val="nil"/>
              <w:bottom w:val="single" w:sz="4" w:space="0" w:color="auto"/>
              <w:right w:val="nil"/>
            </w:tcBorders>
            <w:shd w:val="clear" w:color="000000" w:fill="F2F2F2"/>
            <w:noWrap/>
            <w:vAlign w:val="center"/>
            <w:hideMark/>
          </w:tcPr>
          <w:p w14:paraId="4C0767C6"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0%</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5324E800"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95%</w:t>
            </w:r>
          </w:p>
        </w:tc>
        <w:tc>
          <w:tcPr>
            <w:tcW w:w="1130" w:type="dxa"/>
            <w:tcBorders>
              <w:top w:val="single" w:sz="4" w:space="0" w:color="auto"/>
              <w:left w:val="nil"/>
              <w:bottom w:val="single" w:sz="4" w:space="0" w:color="auto"/>
              <w:right w:val="nil"/>
            </w:tcBorders>
            <w:shd w:val="clear" w:color="000000" w:fill="F2F2F2"/>
            <w:noWrap/>
            <w:vAlign w:val="center"/>
            <w:hideMark/>
          </w:tcPr>
          <w:p w14:paraId="49E5365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3%</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7963A35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98%</w:t>
            </w:r>
          </w:p>
        </w:tc>
        <w:tc>
          <w:tcPr>
            <w:tcW w:w="1177" w:type="dxa"/>
            <w:tcBorders>
              <w:top w:val="single" w:sz="4" w:space="0" w:color="auto"/>
              <w:left w:val="nil"/>
              <w:bottom w:val="single" w:sz="4" w:space="0" w:color="auto"/>
              <w:right w:val="nil"/>
            </w:tcBorders>
            <w:shd w:val="clear" w:color="000000" w:fill="F2F2F2"/>
            <w:noWrap/>
            <w:vAlign w:val="center"/>
            <w:hideMark/>
          </w:tcPr>
          <w:p w14:paraId="7E7E2FB8"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w:t>
            </w:r>
          </w:p>
        </w:tc>
      </w:tr>
      <w:tr w:rsidR="003257D9" w:rsidRPr="00C64BA4" w14:paraId="571417D1" w14:textId="77777777" w:rsidTr="00613983">
        <w:trPr>
          <w:trHeight w:val="300"/>
          <w:jc w:val="center"/>
        </w:trPr>
        <w:tc>
          <w:tcPr>
            <w:tcW w:w="1328" w:type="dxa"/>
            <w:tcBorders>
              <w:top w:val="nil"/>
              <w:left w:val="nil"/>
              <w:bottom w:val="nil"/>
              <w:right w:val="nil"/>
            </w:tcBorders>
            <w:shd w:val="clear" w:color="auto" w:fill="auto"/>
            <w:noWrap/>
            <w:vAlign w:val="center"/>
            <w:hideMark/>
          </w:tcPr>
          <w:p w14:paraId="0B8BD34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Deerfield</w:t>
            </w:r>
          </w:p>
        </w:tc>
        <w:tc>
          <w:tcPr>
            <w:tcW w:w="945" w:type="dxa"/>
            <w:tcBorders>
              <w:top w:val="nil"/>
              <w:left w:val="single" w:sz="4" w:space="0" w:color="auto"/>
              <w:bottom w:val="nil"/>
              <w:right w:val="nil"/>
            </w:tcBorders>
            <w:shd w:val="clear" w:color="auto" w:fill="auto"/>
            <w:noWrap/>
            <w:vAlign w:val="center"/>
            <w:hideMark/>
          </w:tcPr>
          <w:p w14:paraId="0E35132D"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91%</w:t>
            </w:r>
          </w:p>
        </w:tc>
        <w:tc>
          <w:tcPr>
            <w:tcW w:w="1130" w:type="dxa"/>
            <w:tcBorders>
              <w:top w:val="nil"/>
              <w:left w:val="nil"/>
              <w:bottom w:val="nil"/>
              <w:right w:val="nil"/>
            </w:tcBorders>
            <w:shd w:val="clear" w:color="auto" w:fill="auto"/>
            <w:noWrap/>
            <w:vAlign w:val="center"/>
            <w:hideMark/>
          </w:tcPr>
          <w:p w14:paraId="252D6AA9"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4%</w:t>
            </w:r>
          </w:p>
        </w:tc>
        <w:tc>
          <w:tcPr>
            <w:tcW w:w="945" w:type="dxa"/>
            <w:tcBorders>
              <w:top w:val="nil"/>
              <w:left w:val="single" w:sz="4" w:space="0" w:color="auto"/>
              <w:bottom w:val="nil"/>
              <w:right w:val="nil"/>
            </w:tcBorders>
            <w:shd w:val="clear" w:color="auto" w:fill="auto"/>
            <w:noWrap/>
            <w:vAlign w:val="center"/>
            <w:hideMark/>
          </w:tcPr>
          <w:p w14:paraId="5A61898B"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87%</w:t>
            </w:r>
          </w:p>
        </w:tc>
        <w:tc>
          <w:tcPr>
            <w:tcW w:w="1130" w:type="dxa"/>
            <w:tcBorders>
              <w:top w:val="nil"/>
              <w:left w:val="nil"/>
              <w:bottom w:val="nil"/>
              <w:right w:val="nil"/>
            </w:tcBorders>
            <w:shd w:val="clear" w:color="auto" w:fill="auto"/>
            <w:noWrap/>
            <w:vAlign w:val="center"/>
            <w:hideMark/>
          </w:tcPr>
          <w:p w14:paraId="6AE6838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w:t>
            </w:r>
          </w:p>
        </w:tc>
        <w:tc>
          <w:tcPr>
            <w:tcW w:w="945" w:type="dxa"/>
            <w:tcBorders>
              <w:top w:val="nil"/>
              <w:left w:val="single" w:sz="4" w:space="0" w:color="auto"/>
              <w:bottom w:val="nil"/>
              <w:right w:val="nil"/>
            </w:tcBorders>
            <w:shd w:val="clear" w:color="auto" w:fill="auto"/>
            <w:noWrap/>
            <w:vAlign w:val="center"/>
            <w:hideMark/>
          </w:tcPr>
          <w:p w14:paraId="28505FFB"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91%</w:t>
            </w:r>
          </w:p>
        </w:tc>
        <w:tc>
          <w:tcPr>
            <w:tcW w:w="1177" w:type="dxa"/>
            <w:tcBorders>
              <w:top w:val="nil"/>
              <w:left w:val="nil"/>
              <w:bottom w:val="nil"/>
              <w:right w:val="nil"/>
            </w:tcBorders>
            <w:shd w:val="clear" w:color="auto" w:fill="auto"/>
            <w:noWrap/>
            <w:vAlign w:val="center"/>
            <w:hideMark/>
          </w:tcPr>
          <w:p w14:paraId="2E7EF1EF"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7%</w:t>
            </w:r>
          </w:p>
        </w:tc>
      </w:tr>
      <w:tr w:rsidR="003257D9" w:rsidRPr="00C64BA4" w14:paraId="3E99B643" w14:textId="77777777" w:rsidTr="00613983">
        <w:trPr>
          <w:trHeight w:val="300"/>
          <w:jc w:val="center"/>
        </w:trPr>
        <w:tc>
          <w:tcPr>
            <w:tcW w:w="1328" w:type="dxa"/>
            <w:tcBorders>
              <w:top w:val="single" w:sz="4" w:space="0" w:color="auto"/>
              <w:left w:val="nil"/>
              <w:bottom w:val="single" w:sz="4" w:space="0" w:color="auto"/>
              <w:right w:val="nil"/>
            </w:tcBorders>
            <w:shd w:val="clear" w:color="000000" w:fill="F2F2F2"/>
            <w:noWrap/>
            <w:vAlign w:val="center"/>
            <w:hideMark/>
          </w:tcPr>
          <w:p w14:paraId="38E29D65"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Derry</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68BCF7D1"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59%</w:t>
            </w:r>
          </w:p>
        </w:tc>
        <w:tc>
          <w:tcPr>
            <w:tcW w:w="1130" w:type="dxa"/>
            <w:tcBorders>
              <w:top w:val="single" w:sz="4" w:space="0" w:color="auto"/>
              <w:left w:val="nil"/>
              <w:bottom w:val="single" w:sz="4" w:space="0" w:color="auto"/>
              <w:right w:val="nil"/>
            </w:tcBorders>
            <w:shd w:val="clear" w:color="000000" w:fill="FFF2CC"/>
            <w:noWrap/>
            <w:vAlign w:val="center"/>
            <w:hideMark/>
          </w:tcPr>
          <w:p w14:paraId="347BFBBF"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36%</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13759AAB"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58%</w:t>
            </w:r>
          </w:p>
        </w:tc>
        <w:tc>
          <w:tcPr>
            <w:tcW w:w="1130" w:type="dxa"/>
            <w:tcBorders>
              <w:top w:val="single" w:sz="4" w:space="0" w:color="auto"/>
              <w:left w:val="nil"/>
              <w:bottom w:val="single" w:sz="4" w:space="0" w:color="auto"/>
              <w:right w:val="nil"/>
            </w:tcBorders>
            <w:shd w:val="clear" w:color="000000" w:fill="FFF2CC"/>
            <w:noWrap/>
            <w:vAlign w:val="center"/>
            <w:hideMark/>
          </w:tcPr>
          <w:p w14:paraId="21BB422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40%</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27E5963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56%</w:t>
            </w:r>
          </w:p>
        </w:tc>
        <w:tc>
          <w:tcPr>
            <w:tcW w:w="1177" w:type="dxa"/>
            <w:tcBorders>
              <w:top w:val="single" w:sz="4" w:space="0" w:color="auto"/>
              <w:left w:val="nil"/>
              <w:bottom w:val="single" w:sz="4" w:space="0" w:color="auto"/>
              <w:right w:val="nil"/>
            </w:tcBorders>
            <w:shd w:val="clear" w:color="000000" w:fill="FFF2CC"/>
            <w:noWrap/>
            <w:vAlign w:val="center"/>
            <w:hideMark/>
          </w:tcPr>
          <w:p w14:paraId="2DC02009"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42%</w:t>
            </w:r>
          </w:p>
        </w:tc>
      </w:tr>
      <w:tr w:rsidR="003257D9" w:rsidRPr="00C64BA4" w14:paraId="3BEE9E82" w14:textId="77777777" w:rsidTr="00613983">
        <w:trPr>
          <w:trHeight w:val="300"/>
          <w:jc w:val="center"/>
        </w:trPr>
        <w:tc>
          <w:tcPr>
            <w:tcW w:w="1328" w:type="dxa"/>
            <w:tcBorders>
              <w:top w:val="nil"/>
              <w:left w:val="nil"/>
              <w:bottom w:val="nil"/>
              <w:right w:val="nil"/>
            </w:tcBorders>
            <w:shd w:val="clear" w:color="auto" w:fill="auto"/>
            <w:noWrap/>
            <w:vAlign w:val="center"/>
            <w:hideMark/>
          </w:tcPr>
          <w:p w14:paraId="29F1FCA3" w14:textId="77777777" w:rsidR="003257D9" w:rsidRPr="00C64BA4" w:rsidRDefault="003257D9" w:rsidP="00206C45">
            <w:pPr>
              <w:spacing w:after="0" w:line="300" w:lineRule="auto"/>
              <w:jc w:val="center"/>
              <w:rPr>
                <w:rFonts w:eastAsia="Times New Roman" w:cs="Calibri"/>
                <w:color w:val="000000"/>
              </w:rPr>
            </w:pPr>
            <w:proofErr w:type="spellStart"/>
            <w:r w:rsidRPr="00C64BA4">
              <w:rPr>
                <w:rFonts w:eastAsia="Times New Roman" w:cs="Calibri"/>
                <w:color w:val="000000"/>
              </w:rPr>
              <w:lastRenderedPageBreak/>
              <w:t>Francestown</w:t>
            </w:r>
            <w:proofErr w:type="spellEnd"/>
          </w:p>
        </w:tc>
        <w:tc>
          <w:tcPr>
            <w:tcW w:w="945" w:type="dxa"/>
            <w:tcBorders>
              <w:top w:val="nil"/>
              <w:left w:val="single" w:sz="4" w:space="0" w:color="auto"/>
              <w:bottom w:val="nil"/>
              <w:right w:val="nil"/>
            </w:tcBorders>
            <w:shd w:val="clear" w:color="auto" w:fill="auto"/>
            <w:noWrap/>
            <w:vAlign w:val="center"/>
            <w:hideMark/>
          </w:tcPr>
          <w:p w14:paraId="4375B9F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93%</w:t>
            </w:r>
          </w:p>
        </w:tc>
        <w:tc>
          <w:tcPr>
            <w:tcW w:w="1130" w:type="dxa"/>
            <w:tcBorders>
              <w:top w:val="nil"/>
              <w:left w:val="nil"/>
              <w:bottom w:val="nil"/>
              <w:right w:val="nil"/>
            </w:tcBorders>
            <w:shd w:val="clear" w:color="auto" w:fill="auto"/>
            <w:noWrap/>
            <w:vAlign w:val="center"/>
            <w:hideMark/>
          </w:tcPr>
          <w:p w14:paraId="166B9D16"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w:t>
            </w:r>
          </w:p>
        </w:tc>
        <w:tc>
          <w:tcPr>
            <w:tcW w:w="945" w:type="dxa"/>
            <w:tcBorders>
              <w:top w:val="nil"/>
              <w:left w:val="single" w:sz="4" w:space="0" w:color="auto"/>
              <w:bottom w:val="nil"/>
              <w:right w:val="nil"/>
            </w:tcBorders>
            <w:shd w:val="clear" w:color="auto" w:fill="auto"/>
            <w:noWrap/>
            <w:vAlign w:val="center"/>
            <w:hideMark/>
          </w:tcPr>
          <w:p w14:paraId="3976077F"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92%</w:t>
            </w:r>
          </w:p>
        </w:tc>
        <w:tc>
          <w:tcPr>
            <w:tcW w:w="1130" w:type="dxa"/>
            <w:tcBorders>
              <w:top w:val="nil"/>
              <w:left w:val="nil"/>
              <w:bottom w:val="nil"/>
              <w:right w:val="nil"/>
            </w:tcBorders>
            <w:shd w:val="clear" w:color="auto" w:fill="auto"/>
            <w:noWrap/>
            <w:vAlign w:val="center"/>
            <w:hideMark/>
          </w:tcPr>
          <w:p w14:paraId="000A56F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4%</w:t>
            </w:r>
          </w:p>
        </w:tc>
        <w:tc>
          <w:tcPr>
            <w:tcW w:w="945" w:type="dxa"/>
            <w:tcBorders>
              <w:top w:val="nil"/>
              <w:left w:val="single" w:sz="4" w:space="0" w:color="auto"/>
              <w:bottom w:val="nil"/>
              <w:right w:val="nil"/>
            </w:tcBorders>
            <w:shd w:val="clear" w:color="auto" w:fill="auto"/>
            <w:noWrap/>
            <w:vAlign w:val="center"/>
            <w:hideMark/>
          </w:tcPr>
          <w:p w14:paraId="27B66A8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87%</w:t>
            </w:r>
          </w:p>
        </w:tc>
        <w:tc>
          <w:tcPr>
            <w:tcW w:w="1177" w:type="dxa"/>
            <w:tcBorders>
              <w:top w:val="nil"/>
              <w:left w:val="nil"/>
              <w:bottom w:val="nil"/>
              <w:right w:val="nil"/>
            </w:tcBorders>
            <w:shd w:val="clear" w:color="auto" w:fill="auto"/>
            <w:noWrap/>
            <w:vAlign w:val="center"/>
            <w:hideMark/>
          </w:tcPr>
          <w:p w14:paraId="1C211350"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10%</w:t>
            </w:r>
          </w:p>
        </w:tc>
      </w:tr>
      <w:tr w:rsidR="003257D9" w:rsidRPr="00C64BA4" w14:paraId="2DADFD6A" w14:textId="77777777" w:rsidTr="00613983">
        <w:trPr>
          <w:trHeight w:val="300"/>
          <w:jc w:val="center"/>
        </w:trPr>
        <w:tc>
          <w:tcPr>
            <w:tcW w:w="1328" w:type="dxa"/>
            <w:tcBorders>
              <w:top w:val="single" w:sz="4" w:space="0" w:color="auto"/>
              <w:left w:val="nil"/>
              <w:bottom w:val="single" w:sz="4" w:space="0" w:color="auto"/>
              <w:right w:val="nil"/>
            </w:tcBorders>
            <w:shd w:val="clear" w:color="000000" w:fill="F2F2F2"/>
            <w:noWrap/>
            <w:vAlign w:val="center"/>
            <w:hideMark/>
          </w:tcPr>
          <w:p w14:paraId="4C43AEC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Goffstown</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5B94E20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68%</w:t>
            </w:r>
          </w:p>
        </w:tc>
        <w:tc>
          <w:tcPr>
            <w:tcW w:w="1130" w:type="dxa"/>
            <w:tcBorders>
              <w:top w:val="single" w:sz="4" w:space="0" w:color="auto"/>
              <w:left w:val="nil"/>
              <w:bottom w:val="single" w:sz="4" w:space="0" w:color="auto"/>
              <w:right w:val="nil"/>
            </w:tcBorders>
            <w:shd w:val="clear" w:color="000000" w:fill="FFF2CC"/>
            <w:noWrap/>
            <w:vAlign w:val="center"/>
            <w:hideMark/>
          </w:tcPr>
          <w:p w14:paraId="79B12426"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26%</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1BC4C9A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69%</w:t>
            </w:r>
          </w:p>
        </w:tc>
        <w:tc>
          <w:tcPr>
            <w:tcW w:w="1130" w:type="dxa"/>
            <w:tcBorders>
              <w:top w:val="single" w:sz="4" w:space="0" w:color="auto"/>
              <w:left w:val="nil"/>
              <w:bottom w:val="single" w:sz="4" w:space="0" w:color="auto"/>
              <w:right w:val="nil"/>
            </w:tcBorders>
            <w:shd w:val="clear" w:color="000000" w:fill="FFF2CC"/>
            <w:noWrap/>
            <w:vAlign w:val="center"/>
            <w:hideMark/>
          </w:tcPr>
          <w:p w14:paraId="6779E60F"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27%</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4A7BC316"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71%</w:t>
            </w:r>
          </w:p>
        </w:tc>
        <w:tc>
          <w:tcPr>
            <w:tcW w:w="1177" w:type="dxa"/>
            <w:tcBorders>
              <w:top w:val="single" w:sz="4" w:space="0" w:color="auto"/>
              <w:left w:val="nil"/>
              <w:bottom w:val="single" w:sz="4" w:space="0" w:color="auto"/>
              <w:right w:val="nil"/>
            </w:tcBorders>
            <w:shd w:val="clear" w:color="000000" w:fill="FFF2CC"/>
            <w:noWrap/>
            <w:vAlign w:val="center"/>
            <w:hideMark/>
          </w:tcPr>
          <w:p w14:paraId="08F8039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26%</w:t>
            </w:r>
          </w:p>
        </w:tc>
      </w:tr>
      <w:tr w:rsidR="003257D9" w:rsidRPr="00C64BA4" w14:paraId="52802377" w14:textId="77777777" w:rsidTr="00613983">
        <w:trPr>
          <w:trHeight w:val="300"/>
          <w:jc w:val="center"/>
        </w:trPr>
        <w:tc>
          <w:tcPr>
            <w:tcW w:w="1328" w:type="dxa"/>
            <w:tcBorders>
              <w:top w:val="nil"/>
              <w:left w:val="nil"/>
              <w:bottom w:val="nil"/>
              <w:right w:val="nil"/>
            </w:tcBorders>
            <w:shd w:val="clear" w:color="auto" w:fill="auto"/>
            <w:noWrap/>
            <w:vAlign w:val="center"/>
            <w:hideMark/>
          </w:tcPr>
          <w:p w14:paraId="06DF8B4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Hooksett</w:t>
            </w:r>
          </w:p>
        </w:tc>
        <w:tc>
          <w:tcPr>
            <w:tcW w:w="945" w:type="dxa"/>
            <w:tcBorders>
              <w:top w:val="nil"/>
              <w:left w:val="single" w:sz="4" w:space="0" w:color="auto"/>
              <w:bottom w:val="nil"/>
              <w:right w:val="nil"/>
            </w:tcBorders>
            <w:shd w:val="clear" w:color="auto" w:fill="auto"/>
            <w:noWrap/>
            <w:vAlign w:val="center"/>
            <w:hideMark/>
          </w:tcPr>
          <w:p w14:paraId="48EEC60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80%</w:t>
            </w:r>
          </w:p>
        </w:tc>
        <w:tc>
          <w:tcPr>
            <w:tcW w:w="1130" w:type="dxa"/>
            <w:tcBorders>
              <w:top w:val="nil"/>
              <w:left w:val="nil"/>
              <w:bottom w:val="nil"/>
              <w:right w:val="nil"/>
            </w:tcBorders>
            <w:shd w:val="clear" w:color="000000" w:fill="FFF2CC"/>
            <w:noWrap/>
            <w:vAlign w:val="center"/>
            <w:hideMark/>
          </w:tcPr>
          <w:p w14:paraId="0B2F22C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16%</w:t>
            </w:r>
          </w:p>
        </w:tc>
        <w:tc>
          <w:tcPr>
            <w:tcW w:w="945" w:type="dxa"/>
            <w:tcBorders>
              <w:top w:val="nil"/>
              <w:left w:val="single" w:sz="4" w:space="0" w:color="auto"/>
              <w:bottom w:val="nil"/>
              <w:right w:val="nil"/>
            </w:tcBorders>
            <w:shd w:val="clear" w:color="auto" w:fill="auto"/>
            <w:noWrap/>
            <w:vAlign w:val="center"/>
            <w:hideMark/>
          </w:tcPr>
          <w:p w14:paraId="2A56F7C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78%</w:t>
            </w:r>
          </w:p>
        </w:tc>
        <w:tc>
          <w:tcPr>
            <w:tcW w:w="1130" w:type="dxa"/>
            <w:tcBorders>
              <w:top w:val="nil"/>
              <w:left w:val="nil"/>
              <w:bottom w:val="nil"/>
              <w:right w:val="nil"/>
            </w:tcBorders>
            <w:shd w:val="clear" w:color="000000" w:fill="FFF2CC"/>
            <w:noWrap/>
            <w:vAlign w:val="center"/>
            <w:hideMark/>
          </w:tcPr>
          <w:p w14:paraId="656C56F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18%</w:t>
            </w:r>
          </w:p>
        </w:tc>
        <w:tc>
          <w:tcPr>
            <w:tcW w:w="945" w:type="dxa"/>
            <w:tcBorders>
              <w:top w:val="nil"/>
              <w:left w:val="single" w:sz="4" w:space="0" w:color="auto"/>
              <w:bottom w:val="nil"/>
              <w:right w:val="nil"/>
            </w:tcBorders>
            <w:shd w:val="clear" w:color="auto" w:fill="auto"/>
            <w:noWrap/>
            <w:vAlign w:val="center"/>
            <w:hideMark/>
          </w:tcPr>
          <w:p w14:paraId="085070F6"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74%</w:t>
            </w:r>
          </w:p>
        </w:tc>
        <w:tc>
          <w:tcPr>
            <w:tcW w:w="1177" w:type="dxa"/>
            <w:tcBorders>
              <w:top w:val="nil"/>
              <w:left w:val="nil"/>
              <w:bottom w:val="nil"/>
              <w:right w:val="nil"/>
            </w:tcBorders>
            <w:shd w:val="clear" w:color="000000" w:fill="FFF2CC"/>
            <w:noWrap/>
            <w:vAlign w:val="center"/>
            <w:hideMark/>
          </w:tcPr>
          <w:p w14:paraId="110A4830"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23%</w:t>
            </w:r>
          </w:p>
        </w:tc>
      </w:tr>
      <w:tr w:rsidR="003257D9" w:rsidRPr="00C64BA4" w14:paraId="4BDD0330" w14:textId="77777777" w:rsidTr="00613983">
        <w:trPr>
          <w:trHeight w:val="300"/>
          <w:jc w:val="center"/>
        </w:trPr>
        <w:tc>
          <w:tcPr>
            <w:tcW w:w="1328" w:type="dxa"/>
            <w:tcBorders>
              <w:top w:val="single" w:sz="4" w:space="0" w:color="auto"/>
              <w:left w:val="nil"/>
              <w:bottom w:val="single" w:sz="4" w:space="0" w:color="auto"/>
              <w:right w:val="nil"/>
            </w:tcBorders>
            <w:shd w:val="clear" w:color="000000" w:fill="F2F2F2"/>
            <w:noWrap/>
            <w:vAlign w:val="center"/>
            <w:hideMark/>
          </w:tcPr>
          <w:p w14:paraId="18DD77C1"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Londonderry</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0347F3B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81%</w:t>
            </w:r>
          </w:p>
        </w:tc>
        <w:tc>
          <w:tcPr>
            <w:tcW w:w="1130" w:type="dxa"/>
            <w:tcBorders>
              <w:top w:val="single" w:sz="4" w:space="0" w:color="auto"/>
              <w:left w:val="nil"/>
              <w:bottom w:val="single" w:sz="4" w:space="0" w:color="auto"/>
              <w:right w:val="nil"/>
            </w:tcBorders>
            <w:shd w:val="clear" w:color="000000" w:fill="FFF2CC"/>
            <w:noWrap/>
            <w:vAlign w:val="center"/>
            <w:hideMark/>
          </w:tcPr>
          <w:p w14:paraId="7A5C993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15%</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4D6E39C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80%</w:t>
            </w:r>
          </w:p>
        </w:tc>
        <w:tc>
          <w:tcPr>
            <w:tcW w:w="1130" w:type="dxa"/>
            <w:tcBorders>
              <w:top w:val="single" w:sz="4" w:space="0" w:color="auto"/>
              <w:left w:val="nil"/>
              <w:bottom w:val="single" w:sz="4" w:space="0" w:color="auto"/>
              <w:right w:val="nil"/>
            </w:tcBorders>
            <w:shd w:val="clear" w:color="000000" w:fill="FFF2CC"/>
            <w:noWrap/>
            <w:vAlign w:val="center"/>
            <w:hideMark/>
          </w:tcPr>
          <w:p w14:paraId="18AC838F"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15%</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2D3FB1C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82%</w:t>
            </w:r>
          </w:p>
        </w:tc>
        <w:tc>
          <w:tcPr>
            <w:tcW w:w="1177" w:type="dxa"/>
            <w:tcBorders>
              <w:top w:val="single" w:sz="4" w:space="0" w:color="auto"/>
              <w:left w:val="nil"/>
              <w:bottom w:val="single" w:sz="4" w:space="0" w:color="auto"/>
              <w:right w:val="nil"/>
            </w:tcBorders>
            <w:shd w:val="clear" w:color="000000" w:fill="FFF2CC"/>
            <w:noWrap/>
            <w:vAlign w:val="center"/>
            <w:hideMark/>
          </w:tcPr>
          <w:p w14:paraId="7F932AC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16%</w:t>
            </w:r>
          </w:p>
        </w:tc>
      </w:tr>
      <w:tr w:rsidR="003257D9" w:rsidRPr="00C64BA4" w14:paraId="437FFACF" w14:textId="77777777" w:rsidTr="00613983">
        <w:trPr>
          <w:trHeight w:val="300"/>
          <w:jc w:val="center"/>
        </w:trPr>
        <w:tc>
          <w:tcPr>
            <w:tcW w:w="1328" w:type="dxa"/>
            <w:tcBorders>
              <w:top w:val="nil"/>
              <w:left w:val="nil"/>
              <w:bottom w:val="nil"/>
              <w:right w:val="nil"/>
            </w:tcBorders>
            <w:shd w:val="clear" w:color="auto" w:fill="auto"/>
            <w:noWrap/>
            <w:vAlign w:val="center"/>
            <w:hideMark/>
          </w:tcPr>
          <w:p w14:paraId="78D01BA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Manchester</w:t>
            </w:r>
          </w:p>
        </w:tc>
        <w:tc>
          <w:tcPr>
            <w:tcW w:w="945" w:type="dxa"/>
            <w:tcBorders>
              <w:top w:val="nil"/>
              <w:left w:val="single" w:sz="4" w:space="0" w:color="auto"/>
              <w:bottom w:val="nil"/>
              <w:right w:val="nil"/>
            </w:tcBorders>
            <w:shd w:val="clear" w:color="auto" w:fill="auto"/>
            <w:noWrap/>
            <w:vAlign w:val="center"/>
            <w:hideMark/>
          </w:tcPr>
          <w:p w14:paraId="62C2DAD8"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41%</w:t>
            </w:r>
          </w:p>
        </w:tc>
        <w:tc>
          <w:tcPr>
            <w:tcW w:w="1130" w:type="dxa"/>
            <w:tcBorders>
              <w:top w:val="nil"/>
              <w:left w:val="nil"/>
              <w:bottom w:val="nil"/>
              <w:right w:val="nil"/>
            </w:tcBorders>
            <w:shd w:val="clear" w:color="000000" w:fill="FFF2CC"/>
            <w:noWrap/>
            <w:vAlign w:val="center"/>
            <w:hideMark/>
          </w:tcPr>
          <w:p w14:paraId="68527B6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59%</w:t>
            </w:r>
          </w:p>
        </w:tc>
        <w:tc>
          <w:tcPr>
            <w:tcW w:w="945" w:type="dxa"/>
            <w:tcBorders>
              <w:top w:val="nil"/>
              <w:left w:val="single" w:sz="4" w:space="0" w:color="auto"/>
              <w:bottom w:val="nil"/>
              <w:right w:val="nil"/>
            </w:tcBorders>
            <w:shd w:val="clear" w:color="auto" w:fill="auto"/>
            <w:noWrap/>
            <w:vAlign w:val="center"/>
            <w:hideMark/>
          </w:tcPr>
          <w:p w14:paraId="3F548CE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40%</w:t>
            </w:r>
          </w:p>
        </w:tc>
        <w:tc>
          <w:tcPr>
            <w:tcW w:w="1130" w:type="dxa"/>
            <w:tcBorders>
              <w:top w:val="nil"/>
              <w:left w:val="nil"/>
              <w:bottom w:val="nil"/>
              <w:right w:val="nil"/>
            </w:tcBorders>
            <w:shd w:val="clear" w:color="000000" w:fill="FFF2CC"/>
            <w:noWrap/>
            <w:vAlign w:val="center"/>
            <w:hideMark/>
          </w:tcPr>
          <w:p w14:paraId="29ADA6F9"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60%</w:t>
            </w:r>
          </w:p>
        </w:tc>
        <w:tc>
          <w:tcPr>
            <w:tcW w:w="945" w:type="dxa"/>
            <w:tcBorders>
              <w:top w:val="nil"/>
              <w:left w:val="single" w:sz="4" w:space="0" w:color="auto"/>
              <w:bottom w:val="nil"/>
              <w:right w:val="nil"/>
            </w:tcBorders>
            <w:shd w:val="clear" w:color="auto" w:fill="auto"/>
            <w:noWrap/>
            <w:vAlign w:val="center"/>
            <w:hideMark/>
          </w:tcPr>
          <w:p w14:paraId="05EB7561"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38%</w:t>
            </w:r>
          </w:p>
        </w:tc>
        <w:tc>
          <w:tcPr>
            <w:tcW w:w="1177" w:type="dxa"/>
            <w:tcBorders>
              <w:top w:val="nil"/>
              <w:left w:val="nil"/>
              <w:bottom w:val="nil"/>
              <w:right w:val="nil"/>
            </w:tcBorders>
            <w:shd w:val="clear" w:color="000000" w:fill="FFF2CC"/>
            <w:noWrap/>
            <w:vAlign w:val="center"/>
            <w:hideMark/>
          </w:tcPr>
          <w:p w14:paraId="3502B25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61%</w:t>
            </w:r>
          </w:p>
        </w:tc>
      </w:tr>
      <w:tr w:rsidR="003257D9" w:rsidRPr="00C64BA4" w14:paraId="1C560E24" w14:textId="77777777" w:rsidTr="00613983">
        <w:trPr>
          <w:trHeight w:val="300"/>
          <w:jc w:val="center"/>
        </w:trPr>
        <w:tc>
          <w:tcPr>
            <w:tcW w:w="1328" w:type="dxa"/>
            <w:tcBorders>
              <w:top w:val="single" w:sz="4" w:space="0" w:color="auto"/>
              <w:left w:val="nil"/>
              <w:bottom w:val="single" w:sz="4" w:space="0" w:color="auto"/>
              <w:right w:val="nil"/>
            </w:tcBorders>
            <w:shd w:val="clear" w:color="000000" w:fill="F2F2F2"/>
            <w:noWrap/>
            <w:vAlign w:val="center"/>
            <w:hideMark/>
          </w:tcPr>
          <w:p w14:paraId="1FC5BD2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New Boston</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7FF7495A"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89%</w:t>
            </w:r>
          </w:p>
        </w:tc>
        <w:tc>
          <w:tcPr>
            <w:tcW w:w="1130" w:type="dxa"/>
            <w:tcBorders>
              <w:top w:val="single" w:sz="4" w:space="0" w:color="auto"/>
              <w:left w:val="nil"/>
              <w:bottom w:val="single" w:sz="4" w:space="0" w:color="auto"/>
              <w:right w:val="nil"/>
            </w:tcBorders>
            <w:shd w:val="clear" w:color="000000" w:fill="F2F2F2"/>
            <w:noWrap/>
            <w:vAlign w:val="center"/>
            <w:hideMark/>
          </w:tcPr>
          <w:p w14:paraId="4CC5F20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60E241B8"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90%</w:t>
            </w:r>
          </w:p>
        </w:tc>
        <w:tc>
          <w:tcPr>
            <w:tcW w:w="1130" w:type="dxa"/>
            <w:tcBorders>
              <w:top w:val="single" w:sz="4" w:space="0" w:color="auto"/>
              <w:left w:val="nil"/>
              <w:bottom w:val="single" w:sz="4" w:space="0" w:color="auto"/>
              <w:right w:val="nil"/>
            </w:tcBorders>
            <w:shd w:val="clear" w:color="000000" w:fill="F2F2F2"/>
            <w:noWrap/>
            <w:vAlign w:val="center"/>
            <w:hideMark/>
          </w:tcPr>
          <w:p w14:paraId="6300078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w:t>
            </w:r>
          </w:p>
        </w:tc>
        <w:tc>
          <w:tcPr>
            <w:tcW w:w="945" w:type="dxa"/>
            <w:tcBorders>
              <w:top w:val="single" w:sz="4" w:space="0" w:color="auto"/>
              <w:left w:val="single" w:sz="4" w:space="0" w:color="auto"/>
              <w:bottom w:val="single" w:sz="4" w:space="0" w:color="auto"/>
              <w:right w:val="nil"/>
            </w:tcBorders>
            <w:shd w:val="clear" w:color="000000" w:fill="F2F2F2"/>
            <w:noWrap/>
            <w:vAlign w:val="center"/>
            <w:hideMark/>
          </w:tcPr>
          <w:p w14:paraId="132CF400"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86%</w:t>
            </w:r>
          </w:p>
        </w:tc>
        <w:tc>
          <w:tcPr>
            <w:tcW w:w="1177" w:type="dxa"/>
            <w:tcBorders>
              <w:top w:val="single" w:sz="4" w:space="0" w:color="auto"/>
              <w:left w:val="nil"/>
              <w:bottom w:val="single" w:sz="4" w:space="0" w:color="auto"/>
              <w:right w:val="nil"/>
            </w:tcBorders>
            <w:shd w:val="clear" w:color="000000" w:fill="F2F2F2"/>
            <w:noWrap/>
            <w:vAlign w:val="center"/>
            <w:hideMark/>
          </w:tcPr>
          <w:p w14:paraId="3E995B7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10%</w:t>
            </w:r>
          </w:p>
        </w:tc>
      </w:tr>
      <w:tr w:rsidR="003257D9" w:rsidRPr="00C64BA4" w14:paraId="3F2DD071" w14:textId="77777777" w:rsidTr="00613983">
        <w:trPr>
          <w:trHeight w:val="300"/>
          <w:jc w:val="center"/>
        </w:trPr>
        <w:tc>
          <w:tcPr>
            <w:tcW w:w="1328" w:type="dxa"/>
            <w:tcBorders>
              <w:top w:val="nil"/>
              <w:left w:val="nil"/>
              <w:bottom w:val="nil"/>
              <w:right w:val="nil"/>
            </w:tcBorders>
            <w:shd w:val="clear" w:color="auto" w:fill="auto"/>
            <w:noWrap/>
            <w:vAlign w:val="center"/>
            <w:hideMark/>
          </w:tcPr>
          <w:p w14:paraId="2C6939DF" w14:textId="77777777" w:rsidR="003257D9" w:rsidRPr="00C64BA4" w:rsidRDefault="003257D9" w:rsidP="00206C45">
            <w:pPr>
              <w:spacing w:after="0" w:line="300" w:lineRule="auto"/>
              <w:jc w:val="center"/>
              <w:rPr>
                <w:rFonts w:eastAsia="Times New Roman" w:cs="Calibri"/>
                <w:color w:val="000000"/>
              </w:rPr>
            </w:pPr>
            <w:proofErr w:type="spellStart"/>
            <w:r w:rsidRPr="00C64BA4">
              <w:rPr>
                <w:rFonts w:eastAsia="Times New Roman" w:cs="Calibri"/>
                <w:color w:val="000000"/>
              </w:rPr>
              <w:t>Weare</w:t>
            </w:r>
            <w:proofErr w:type="spellEnd"/>
          </w:p>
        </w:tc>
        <w:tc>
          <w:tcPr>
            <w:tcW w:w="945" w:type="dxa"/>
            <w:tcBorders>
              <w:top w:val="nil"/>
              <w:left w:val="single" w:sz="4" w:space="0" w:color="auto"/>
              <w:bottom w:val="nil"/>
              <w:right w:val="nil"/>
            </w:tcBorders>
            <w:shd w:val="clear" w:color="auto" w:fill="auto"/>
            <w:noWrap/>
            <w:vAlign w:val="center"/>
            <w:hideMark/>
          </w:tcPr>
          <w:p w14:paraId="5BDDDBBA"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87%</w:t>
            </w:r>
          </w:p>
        </w:tc>
        <w:tc>
          <w:tcPr>
            <w:tcW w:w="1130" w:type="dxa"/>
            <w:tcBorders>
              <w:top w:val="nil"/>
              <w:left w:val="nil"/>
              <w:bottom w:val="nil"/>
              <w:right w:val="nil"/>
            </w:tcBorders>
            <w:shd w:val="clear" w:color="auto" w:fill="auto"/>
            <w:noWrap/>
            <w:vAlign w:val="center"/>
            <w:hideMark/>
          </w:tcPr>
          <w:p w14:paraId="694365DB"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7%</w:t>
            </w:r>
          </w:p>
        </w:tc>
        <w:tc>
          <w:tcPr>
            <w:tcW w:w="945" w:type="dxa"/>
            <w:tcBorders>
              <w:top w:val="nil"/>
              <w:left w:val="single" w:sz="4" w:space="0" w:color="auto"/>
              <w:bottom w:val="nil"/>
              <w:right w:val="nil"/>
            </w:tcBorders>
            <w:shd w:val="clear" w:color="auto" w:fill="auto"/>
            <w:noWrap/>
            <w:vAlign w:val="center"/>
            <w:hideMark/>
          </w:tcPr>
          <w:p w14:paraId="59A762FD"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85%</w:t>
            </w:r>
          </w:p>
        </w:tc>
        <w:tc>
          <w:tcPr>
            <w:tcW w:w="1130" w:type="dxa"/>
            <w:tcBorders>
              <w:top w:val="nil"/>
              <w:left w:val="nil"/>
              <w:bottom w:val="nil"/>
              <w:right w:val="nil"/>
            </w:tcBorders>
            <w:shd w:val="clear" w:color="auto" w:fill="auto"/>
            <w:noWrap/>
            <w:vAlign w:val="center"/>
            <w:hideMark/>
          </w:tcPr>
          <w:p w14:paraId="058D7B5A"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10%</w:t>
            </w:r>
          </w:p>
        </w:tc>
        <w:tc>
          <w:tcPr>
            <w:tcW w:w="945" w:type="dxa"/>
            <w:tcBorders>
              <w:top w:val="nil"/>
              <w:left w:val="single" w:sz="4" w:space="0" w:color="auto"/>
              <w:bottom w:val="nil"/>
              <w:right w:val="nil"/>
            </w:tcBorders>
            <w:shd w:val="clear" w:color="auto" w:fill="auto"/>
            <w:noWrap/>
            <w:vAlign w:val="center"/>
            <w:hideMark/>
          </w:tcPr>
          <w:p w14:paraId="1FC1CD5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88%</w:t>
            </w:r>
          </w:p>
        </w:tc>
        <w:tc>
          <w:tcPr>
            <w:tcW w:w="1177" w:type="dxa"/>
            <w:tcBorders>
              <w:top w:val="nil"/>
              <w:left w:val="nil"/>
              <w:bottom w:val="nil"/>
              <w:right w:val="nil"/>
            </w:tcBorders>
            <w:shd w:val="clear" w:color="auto" w:fill="auto"/>
            <w:noWrap/>
            <w:vAlign w:val="center"/>
            <w:hideMark/>
          </w:tcPr>
          <w:p w14:paraId="68EF4B6F"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w:t>
            </w:r>
          </w:p>
        </w:tc>
      </w:tr>
      <w:tr w:rsidR="003257D9" w:rsidRPr="00C64BA4" w14:paraId="679DFF5A" w14:textId="77777777" w:rsidTr="00613983">
        <w:trPr>
          <w:trHeight w:val="315"/>
          <w:jc w:val="center"/>
        </w:trPr>
        <w:tc>
          <w:tcPr>
            <w:tcW w:w="1328" w:type="dxa"/>
            <w:tcBorders>
              <w:top w:val="single" w:sz="4" w:space="0" w:color="auto"/>
              <w:left w:val="nil"/>
              <w:bottom w:val="single" w:sz="12" w:space="0" w:color="404040" w:themeColor="text1" w:themeTint="BF"/>
              <w:right w:val="nil"/>
            </w:tcBorders>
            <w:shd w:val="clear" w:color="000000" w:fill="F2F2F2"/>
            <w:noWrap/>
            <w:vAlign w:val="center"/>
            <w:hideMark/>
          </w:tcPr>
          <w:p w14:paraId="5BA2673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Windham</w:t>
            </w:r>
          </w:p>
        </w:tc>
        <w:tc>
          <w:tcPr>
            <w:tcW w:w="945" w:type="dxa"/>
            <w:tcBorders>
              <w:top w:val="single" w:sz="4" w:space="0" w:color="auto"/>
              <w:left w:val="single" w:sz="4" w:space="0" w:color="auto"/>
              <w:bottom w:val="single" w:sz="12" w:space="0" w:color="404040" w:themeColor="text1" w:themeTint="BF"/>
              <w:right w:val="nil"/>
            </w:tcBorders>
            <w:shd w:val="clear" w:color="000000" w:fill="F2F2F2"/>
            <w:noWrap/>
            <w:vAlign w:val="center"/>
            <w:hideMark/>
          </w:tcPr>
          <w:p w14:paraId="005DFBC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93%</w:t>
            </w:r>
          </w:p>
        </w:tc>
        <w:tc>
          <w:tcPr>
            <w:tcW w:w="1130" w:type="dxa"/>
            <w:tcBorders>
              <w:top w:val="single" w:sz="4" w:space="0" w:color="auto"/>
              <w:left w:val="nil"/>
              <w:bottom w:val="single" w:sz="12" w:space="0" w:color="404040" w:themeColor="text1" w:themeTint="BF"/>
              <w:right w:val="nil"/>
            </w:tcBorders>
            <w:shd w:val="clear" w:color="000000" w:fill="F2F2F2"/>
            <w:noWrap/>
            <w:vAlign w:val="center"/>
            <w:hideMark/>
          </w:tcPr>
          <w:p w14:paraId="3091AD0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w:t>
            </w:r>
          </w:p>
        </w:tc>
        <w:tc>
          <w:tcPr>
            <w:tcW w:w="945" w:type="dxa"/>
            <w:tcBorders>
              <w:top w:val="single" w:sz="4" w:space="0" w:color="auto"/>
              <w:left w:val="single" w:sz="4" w:space="0" w:color="auto"/>
              <w:bottom w:val="single" w:sz="12" w:space="0" w:color="404040" w:themeColor="text1" w:themeTint="BF"/>
              <w:right w:val="nil"/>
            </w:tcBorders>
            <w:shd w:val="clear" w:color="000000" w:fill="F2F2F2"/>
            <w:noWrap/>
            <w:vAlign w:val="center"/>
            <w:hideMark/>
          </w:tcPr>
          <w:p w14:paraId="5FA6EEC8"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94%</w:t>
            </w:r>
          </w:p>
        </w:tc>
        <w:tc>
          <w:tcPr>
            <w:tcW w:w="1130" w:type="dxa"/>
            <w:tcBorders>
              <w:top w:val="single" w:sz="4" w:space="0" w:color="auto"/>
              <w:left w:val="nil"/>
              <w:bottom w:val="single" w:sz="12" w:space="0" w:color="404040" w:themeColor="text1" w:themeTint="BF"/>
              <w:right w:val="nil"/>
            </w:tcBorders>
            <w:shd w:val="clear" w:color="000000" w:fill="F2F2F2"/>
            <w:noWrap/>
            <w:vAlign w:val="center"/>
            <w:hideMark/>
          </w:tcPr>
          <w:p w14:paraId="22235AB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w:t>
            </w:r>
          </w:p>
        </w:tc>
        <w:tc>
          <w:tcPr>
            <w:tcW w:w="945" w:type="dxa"/>
            <w:tcBorders>
              <w:top w:val="single" w:sz="4" w:space="0" w:color="auto"/>
              <w:left w:val="single" w:sz="4" w:space="0" w:color="auto"/>
              <w:bottom w:val="single" w:sz="12" w:space="0" w:color="404040" w:themeColor="text1" w:themeTint="BF"/>
              <w:right w:val="nil"/>
            </w:tcBorders>
            <w:shd w:val="clear" w:color="000000" w:fill="F2F2F2"/>
            <w:noWrap/>
            <w:vAlign w:val="center"/>
            <w:hideMark/>
          </w:tcPr>
          <w:p w14:paraId="415B826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92%</w:t>
            </w:r>
          </w:p>
        </w:tc>
        <w:tc>
          <w:tcPr>
            <w:tcW w:w="1177" w:type="dxa"/>
            <w:tcBorders>
              <w:top w:val="single" w:sz="4" w:space="0" w:color="auto"/>
              <w:left w:val="nil"/>
              <w:bottom w:val="single" w:sz="12" w:space="0" w:color="404040" w:themeColor="text1" w:themeTint="BF"/>
              <w:right w:val="nil"/>
            </w:tcBorders>
            <w:shd w:val="clear" w:color="000000" w:fill="F2F2F2"/>
            <w:noWrap/>
            <w:vAlign w:val="center"/>
            <w:hideMark/>
          </w:tcPr>
          <w:p w14:paraId="6EA5BF0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w:t>
            </w:r>
          </w:p>
        </w:tc>
      </w:tr>
      <w:tr w:rsidR="003257D9" w:rsidRPr="00C64BA4" w14:paraId="4C1C67BA" w14:textId="77777777" w:rsidTr="00613983">
        <w:trPr>
          <w:trHeight w:val="315"/>
          <w:jc w:val="center"/>
        </w:trPr>
        <w:tc>
          <w:tcPr>
            <w:tcW w:w="1328"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335A0620"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SNHPC</w:t>
            </w:r>
          </w:p>
        </w:tc>
        <w:tc>
          <w:tcPr>
            <w:tcW w:w="945" w:type="dxa"/>
            <w:tcBorders>
              <w:top w:val="single" w:sz="12" w:space="0" w:color="404040" w:themeColor="text1" w:themeTint="BF"/>
              <w:left w:val="single" w:sz="4" w:space="0" w:color="auto"/>
              <w:bottom w:val="single" w:sz="12" w:space="0" w:color="404040" w:themeColor="text1" w:themeTint="BF"/>
              <w:right w:val="nil"/>
            </w:tcBorders>
            <w:shd w:val="clear" w:color="auto" w:fill="auto"/>
            <w:noWrap/>
            <w:vAlign w:val="center"/>
            <w:hideMark/>
          </w:tcPr>
          <w:p w14:paraId="1FA9B8B8"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61%</w:t>
            </w:r>
          </w:p>
        </w:tc>
        <w:tc>
          <w:tcPr>
            <w:tcW w:w="1130" w:type="dxa"/>
            <w:tcBorders>
              <w:top w:val="single" w:sz="12" w:space="0" w:color="404040" w:themeColor="text1" w:themeTint="BF"/>
              <w:left w:val="nil"/>
              <w:bottom w:val="single" w:sz="12" w:space="0" w:color="404040" w:themeColor="text1" w:themeTint="BF"/>
              <w:right w:val="nil"/>
            </w:tcBorders>
            <w:shd w:val="clear" w:color="000000" w:fill="FFF2CC"/>
            <w:noWrap/>
            <w:vAlign w:val="center"/>
            <w:hideMark/>
          </w:tcPr>
          <w:p w14:paraId="4D201C1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37%</w:t>
            </w:r>
          </w:p>
        </w:tc>
        <w:tc>
          <w:tcPr>
            <w:tcW w:w="945" w:type="dxa"/>
            <w:tcBorders>
              <w:top w:val="single" w:sz="12" w:space="0" w:color="404040" w:themeColor="text1" w:themeTint="BF"/>
              <w:left w:val="single" w:sz="4" w:space="0" w:color="auto"/>
              <w:bottom w:val="single" w:sz="12" w:space="0" w:color="404040" w:themeColor="text1" w:themeTint="BF"/>
              <w:right w:val="nil"/>
            </w:tcBorders>
            <w:shd w:val="clear" w:color="auto" w:fill="auto"/>
            <w:noWrap/>
            <w:vAlign w:val="center"/>
            <w:hideMark/>
          </w:tcPr>
          <w:p w14:paraId="63E1C55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60%</w:t>
            </w:r>
          </w:p>
        </w:tc>
        <w:tc>
          <w:tcPr>
            <w:tcW w:w="1130" w:type="dxa"/>
            <w:tcBorders>
              <w:top w:val="single" w:sz="12" w:space="0" w:color="404040" w:themeColor="text1" w:themeTint="BF"/>
              <w:left w:val="nil"/>
              <w:bottom w:val="single" w:sz="12" w:space="0" w:color="404040" w:themeColor="text1" w:themeTint="BF"/>
              <w:right w:val="nil"/>
            </w:tcBorders>
            <w:shd w:val="clear" w:color="000000" w:fill="FFF2CC"/>
            <w:noWrap/>
            <w:vAlign w:val="center"/>
            <w:hideMark/>
          </w:tcPr>
          <w:p w14:paraId="675C7C89"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38%</w:t>
            </w:r>
          </w:p>
        </w:tc>
        <w:tc>
          <w:tcPr>
            <w:tcW w:w="945" w:type="dxa"/>
            <w:tcBorders>
              <w:top w:val="single" w:sz="12" w:space="0" w:color="404040" w:themeColor="text1" w:themeTint="BF"/>
              <w:left w:val="single" w:sz="4" w:space="0" w:color="auto"/>
              <w:bottom w:val="single" w:sz="12" w:space="0" w:color="404040" w:themeColor="text1" w:themeTint="BF"/>
              <w:right w:val="nil"/>
            </w:tcBorders>
            <w:shd w:val="clear" w:color="auto" w:fill="auto"/>
            <w:noWrap/>
            <w:vAlign w:val="center"/>
            <w:hideMark/>
          </w:tcPr>
          <w:p w14:paraId="62227D1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59%</w:t>
            </w:r>
          </w:p>
        </w:tc>
        <w:tc>
          <w:tcPr>
            <w:tcW w:w="1177" w:type="dxa"/>
            <w:tcBorders>
              <w:top w:val="single" w:sz="12" w:space="0" w:color="404040" w:themeColor="text1" w:themeTint="BF"/>
              <w:left w:val="nil"/>
              <w:bottom w:val="single" w:sz="12" w:space="0" w:color="404040" w:themeColor="text1" w:themeTint="BF"/>
              <w:right w:val="nil"/>
            </w:tcBorders>
            <w:shd w:val="clear" w:color="000000" w:fill="FFF2CC"/>
            <w:noWrap/>
            <w:vAlign w:val="center"/>
            <w:hideMark/>
          </w:tcPr>
          <w:p w14:paraId="6026D09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39%</w:t>
            </w:r>
          </w:p>
        </w:tc>
      </w:tr>
      <w:tr w:rsidR="003257D9" w:rsidRPr="00C64BA4" w14:paraId="2A314A5B" w14:textId="77777777" w:rsidTr="00613983">
        <w:trPr>
          <w:trHeight w:val="300"/>
          <w:jc w:val="center"/>
        </w:trPr>
        <w:tc>
          <w:tcPr>
            <w:tcW w:w="1328" w:type="dxa"/>
            <w:tcBorders>
              <w:top w:val="single" w:sz="12" w:space="0" w:color="404040" w:themeColor="text1" w:themeTint="BF"/>
              <w:left w:val="nil"/>
              <w:bottom w:val="nil"/>
              <w:right w:val="nil"/>
            </w:tcBorders>
            <w:shd w:val="clear" w:color="000000" w:fill="F2F2F2"/>
            <w:noWrap/>
            <w:vAlign w:val="center"/>
            <w:hideMark/>
          </w:tcPr>
          <w:p w14:paraId="78C4199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NH</w:t>
            </w:r>
          </w:p>
        </w:tc>
        <w:tc>
          <w:tcPr>
            <w:tcW w:w="945" w:type="dxa"/>
            <w:tcBorders>
              <w:top w:val="single" w:sz="12" w:space="0" w:color="404040" w:themeColor="text1" w:themeTint="BF"/>
              <w:left w:val="single" w:sz="4" w:space="0" w:color="auto"/>
              <w:bottom w:val="nil"/>
              <w:right w:val="nil"/>
            </w:tcBorders>
            <w:shd w:val="clear" w:color="000000" w:fill="F2F2F2"/>
            <w:noWrap/>
            <w:vAlign w:val="center"/>
            <w:hideMark/>
          </w:tcPr>
          <w:p w14:paraId="1617B471"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68%</w:t>
            </w:r>
          </w:p>
        </w:tc>
        <w:tc>
          <w:tcPr>
            <w:tcW w:w="1130" w:type="dxa"/>
            <w:tcBorders>
              <w:top w:val="single" w:sz="12" w:space="0" w:color="404040" w:themeColor="text1" w:themeTint="BF"/>
              <w:left w:val="nil"/>
              <w:bottom w:val="nil"/>
              <w:right w:val="nil"/>
            </w:tcBorders>
            <w:shd w:val="clear" w:color="000000" w:fill="FFF2CC"/>
            <w:noWrap/>
            <w:vAlign w:val="center"/>
            <w:hideMark/>
          </w:tcPr>
          <w:p w14:paraId="26721836"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26%</w:t>
            </w:r>
          </w:p>
        </w:tc>
        <w:tc>
          <w:tcPr>
            <w:tcW w:w="945" w:type="dxa"/>
            <w:tcBorders>
              <w:top w:val="single" w:sz="12" w:space="0" w:color="404040" w:themeColor="text1" w:themeTint="BF"/>
              <w:left w:val="single" w:sz="4" w:space="0" w:color="auto"/>
              <w:bottom w:val="nil"/>
              <w:right w:val="nil"/>
            </w:tcBorders>
            <w:shd w:val="clear" w:color="000000" w:fill="F2F2F2"/>
            <w:noWrap/>
            <w:vAlign w:val="center"/>
            <w:hideMark/>
          </w:tcPr>
          <w:p w14:paraId="02179C3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69%</w:t>
            </w:r>
          </w:p>
        </w:tc>
        <w:tc>
          <w:tcPr>
            <w:tcW w:w="1130" w:type="dxa"/>
            <w:tcBorders>
              <w:top w:val="single" w:sz="12" w:space="0" w:color="404040" w:themeColor="text1" w:themeTint="BF"/>
              <w:left w:val="nil"/>
              <w:bottom w:val="nil"/>
              <w:right w:val="nil"/>
            </w:tcBorders>
            <w:shd w:val="clear" w:color="000000" w:fill="FFF2CC"/>
            <w:noWrap/>
            <w:vAlign w:val="center"/>
            <w:hideMark/>
          </w:tcPr>
          <w:p w14:paraId="5ECFF611"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25%</w:t>
            </w:r>
          </w:p>
        </w:tc>
        <w:tc>
          <w:tcPr>
            <w:tcW w:w="945" w:type="dxa"/>
            <w:tcBorders>
              <w:top w:val="single" w:sz="12" w:space="0" w:color="404040" w:themeColor="text1" w:themeTint="BF"/>
              <w:left w:val="single" w:sz="4" w:space="0" w:color="auto"/>
              <w:bottom w:val="nil"/>
              <w:right w:val="nil"/>
            </w:tcBorders>
            <w:shd w:val="clear" w:color="000000" w:fill="F2F2F2"/>
            <w:noWrap/>
            <w:vAlign w:val="center"/>
            <w:hideMark/>
          </w:tcPr>
          <w:p w14:paraId="6B1FC41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69%</w:t>
            </w:r>
          </w:p>
        </w:tc>
        <w:tc>
          <w:tcPr>
            <w:tcW w:w="1177" w:type="dxa"/>
            <w:tcBorders>
              <w:top w:val="single" w:sz="12" w:space="0" w:color="404040" w:themeColor="text1" w:themeTint="BF"/>
              <w:left w:val="nil"/>
              <w:bottom w:val="nil"/>
              <w:right w:val="nil"/>
            </w:tcBorders>
            <w:shd w:val="clear" w:color="000000" w:fill="FFF2CC"/>
            <w:noWrap/>
            <w:vAlign w:val="center"/>
            <w:hideMark/>
          </w:tcPr>
          <w:p w14:paraId="3CB29600"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26%</w:t>
            </w:r>
          </w:p>
        </w:tc>
      </w:tr>
      <w:tr w:rsidR="003257D9" w:rsidRPr="00C64BA4" w14:paraId="1752CB5E" w14:textId="77777777" w:rsidTr="00613983">
        <w:trPr>
          <w:trHeight w:val="300"/>
          <w:jc w:val="center"/>
        </w:trPr>
        <w:tc>
          <w:tcPr>
            <w:tcW w:w="7600" w:type="dxa"/>
            <w:gridSpan w:val="7"/>
            <w:tcBorders>
              <w:top w:val="nil"/>
              <w:left w:val="nil"/>
              <w:bottom w:val="nil"/>
              <w:right w:val="nil"/>
            </w:tcBorders>
            <w:shd w:val="clear" w:color="auto" w:fill="auto"/>
            <w:noWrap/>
            <w:vAlign w:val="center"/>
            <w:hideMark/>
          </w:tcPr>
          <w:p w14:paraId="3FFE3C0E" w14:textId="24310353" w:rsidR="003257D9" w:rsidRPr="00C64BA4" w:rsidRDefault="003257D9"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5-Year American Community Survey</w:t>
            </w:r>
            <w:r w:rsidR="007D63C9">
              <w:rPr>
                <w:rStyle w:val="FootnoteReference"/>
                <w:rFonts w:eastAsia="Times New Roman" w:cs="Calibri"/>
                <w:color w:val="000000"/>
                <w:sz w:val="20"/>
                <w:szCs w:val="20"/>
              </w:rPr>
              <w:footnoteReference w:id="2"/>
            </w:r>
            <w:r w:rsidRPr="00C64BA4">
              <w:rPr>
                <w:rFonts w:eastAsia="Times New Roman" w:cs="Calibri"/>
                <w:color w:val="000000"/>
                <w:sz w:val="20"/>
                <w:szCs w:val="20"/>
              </w:rPr>
              <w:t xml:space="preserve"> </w:t>
            </w:r>
          </w:p>
        </w:tc>
      </w:tr>
      <w:tr w:rsidR="003257D9" w:rsidRPr="00C64BA4" w14:paraId="523D17CE" w14:textId="77777777" w:rsidTr="00613983">
        <w:trPr>
          <w:trHeight w:val="300"/>
          <w:jc w:val="center"/>
        </w:trPr>
        <w:tc>
          <w:tcPr>
            <w:tcW w:w="7600" w:type="dxa"/>
            <w:gridSpan w:val="7"/>
            <w:tcBorders>
              <w:top w:val="nil"/>
              <w:left w:val="nil"/>
              <w:bottom w:val="nil"/>
              <w:right w:val="nil"/>
            </w:tcBorders>
            <w:shd w:val="clear" w:color="auto" w:fill="auto"/>
            <w:noWrap/>
            <w:vAlign w:val="center"/>
            <w:hideMark/>
          </w:tcPr>
          <w:p w14:paraId="5E50864D" w14:textId="77777777" w:rsidR="003257D9" w:rsidRPr="00C64BA4" w:rsidRDefault="003257D9"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US Census Bureau</w:t>
            </w:r>
          </w:p>
        </w:tc>
      </w:tr>
    </w:tbl>
    <w:p w14:paraId="1D9224E3" w14:textId="77777777" w:rsidR="003257D9" w:rsidRPr="00C64BA4" w:rsidRDefault="003257D9" w:rsidP="00206C45">
      <w:pPr>
        <w:spacing w:after="120" w:line="300" w:lineRule="auto"/>
        <w:jc w:val="both"/>
        <w:textAlignment w:val="baseline"/>
        <w:rPr>
          <w:rFonts w:eastAsia="Times New Roman" w:cs="Segoe UI"/>
        </w:rPr>
      </w:pPr>
    </w:p>
    <w:p w14:paraId="0A9DD709" w14:textId="556BED01" w:rsidR="003257D9" w:rsidRPr="00C64BA4" w:rsidRDefault="003257D9" w:rsidP="00206C45">
      <w:pPr>
        <w:pStyle w:val="paragraph"/>
        <w:spacing w:before="0" w:beforeAutospacing="0" w:after="120" w:afterAutospacing="0" w:line="300" w:lineRule="auto"/>
        <w:jc w:val="both"/>
        <w:textAlignment w:val="baseline"/>
        <w:rPr>
          <w:rStyle w:val="eop"/>
          <w:rFonts w:asciiTheme="minorHAnsi" w:hAnsiTheme="minorHAnsi" w:cs="Segoe UI"/>
          <w:sz w:val="22"/>
          <w:szCs w:val="22"/>
        </w:rPr>
      </w:pPr>
      <w:bookmarkStart w:id="16" w:name="_Toc128137936"/>
      <w:r w:rsidRPr="00C64BA4">
        <w:rPr>
          <w:rStyle w:val="Heading3Char"/>
          <w:rFonts w:asciiTheme="minorHAnsi" w:hAnsiTheme="minorHAnsi"/>
        </w:rPr>
        <w:t>P</w:t>
      </w:r>
      <w:r w:rsidR="005C61DD" w:rsidRPr="00C64BA4">
        <w:rPr>
          <w:rStyle w:val="Heading3Char"/>
          <w:rFonts w:asciiTheme="minorHAnsi" w:hAnsiTheme="minorHAnsi"/>
        </w:rPr>
        <w:t>opulation</w:t>
      </w:r>
      <w:r w:rsidRPr="00C64BA4">
        <w:rPr>
          <w:rStyle w:val="Heading3Char"/>
          <w:rFonts w:asciiTheme="minorHAnsi" w:hAnsiTheme="minorHAnsi"/>
        </w:rPr>
        <w:t>.</w:t>
      </w:r>
      <w:bookmarkEnd w:id="16"/>
      <w:r w:rsidRPr="00C64BA4">
        <w:rPr>
          <w:rStyle w:val="eop"/>
          <w:rFonts w:asciiTheme="minorHAnsi" w:hAnsiTheme="minorHAnsi" w:cs="Segoe UI"/>
          <w:sz w:val="22"/>
          <w:szCs w:val="22"/>
        </w:rPr>
        <w:t xml:space="preserve">  The total population of the region has increased by approximately 13.5% since 2000.  Aside from overall growth, significant population shifts are found within the various age cohorts.  For example, the numbers of youth (18 and under) have decreased in each of the region’s communities. Rural and urban communities alike on average have only 0.53 minors per household. </w:t>
      </w:r>
      <w:proofErr w:type="gramStart"/>
      <w:r w:rsidRPr="00C64BA4">
        <w:rPr>
          <w:rStyle w:val="eop"/>
          <w:rFonts w:asciiTheme="minorHAnsi" w:hAnsiTheme="minorHAnsi" w:cs="Segoe UI"/>
          <w:sz w:val="22"/>
          <w:szCs w:val="22"/>
        </w:rPr>
        <w:t>Similar to</w:t>
      </w:r>
      <w:proofErr w:type="gramEnd"/>
      <w:r w:rsidRPr="00C64BA4">
        <w:rPr>
          <w:rStyle w:val="eop"/>
          <w:rFonts w:asciiTheme="minorHAnsi" w:hAnsiTheme="minorHAnsi" w:cs="Segoe UI"/>
          <w:sz w:val="22"/>
          <w:szCs w:val="22"/>
        </w:rPr>
        <w:t xml:space="preserve"> the nation, the region’s older population (65 and over) has increased.  The region’s disabled population comprises of approximately 12 percent of the total population.  As the state ages, one can expect the disabled population to increase as well. </w:t>
      </w:r>
    </w:p>
    <w:p w14:paraId="704517A7" w14:textId="73056677" w:rsidR="005336D5" w:rsidRPr="00C64BA4" w:rsidRDefault="005336D5" w:rsidP="005336D5">
      <w:pPr>
        <w:pStyle w:val="paragraph"/>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The population of the region is projected to grow by 11% over the next 20 years.   Trend data for births and deaths are used to develop the population projections that are further broken down by various components, such as age, sex, and household size.  This information, along with trend data for housing stock, is used to predict future housing need.  This information is detailed in </w:t>
      </w:r>
      <w:r w:rsidRPr="00755D0A">
        <w:rPr>
          <w:rStyle w:val="eop"/>
          <w:rFonts w:asciiTheme="minorHAnsi" w:hAnsiTheme="minorHAnsi" w:cs="Segoe UI"/>
          <w:sz w:val="22"/>
          <w:szCs w:val="22"/>
        </w:rPr>
        <w:t xml:space="preserve">Section </w:t>
      </w:r>
      <w:r w:rsidR="00755D0A" w:rsidRPr="00755D0A">
        <w:rPr>
          <w:rStyle w:val="eop"/>
          <w:rFonts w:asciiTheme="minorHAnsi" w:hAnsiTheme="minorHAnsi" w:cs="Segoe UI"/>
          <w:sz w:val="22"/>
          <w:szCs w:val="22"/>
        </w:rPr>
        <w:t xml:space="preserve">IV page </w:t>
      </w:r>
      <w:r w:rsidR="00755D0A">
        <w:rPr>
          <w:rStyle w:val="eop"/>
          <w:rFonts w:asciiTheme="minorHAnsi" w:hAnsiTheme="minorHAnsi" w:cs="Segoe UI"/>
          <w:sz w:val="22"/>
          <w:szCs w:val="22"/>
          <w:highlight w:val="yellow"/>
        </w:rPr>
        <w:t>25</w:t>
      </w:r>
      <w:r w:rsidRPr="00C64BA4">
        <w:rPr>
          <w:rStyle w:val="eop"/>
          <w:rFonts w:asciiTheme="minorHAnsi" w:hAnsiTheme="minorHAnsi" w:cs="Segoe UI"/>
          <w:sz w:val="22"/>
          <w:szCs w:val="22"/>
          <w:highlight w:val="yellow"/>
        </w:rPr>
        <w:t>.</w:t>
      </w:r>
    </w:p>
    <w:p w14:paraId="49CED1EA" w14:textId="51AA1FB5" w:rsidR="005336D5" w:rsidRDefault="003257D9" w:rsidP="00206C45">
      <w:pPr>
        <w:pStyle w:val="paragraph"/>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In addition to including basic Census data on numbers and ages of the population, this report identifies “Communities of Interest” and “Communities of Concern.”  These are people who, for various reasons, </w:t>
      </w:r>
      <w:proofErr w:type="gramStart"/>
      <w:r w:rsidRPr="00C64BA4">
        <w:rPr>
          <w:rStyle w:val="eop"/>
          <w:rFonts w:asciiTheme="minorHAnsi" w:hAnsiTheme="minorHAnsi" w:cs="Segoe UI"/>
          <w:sz w:val="22"/>
          <w:szCs w:val="22"/>
        </w:rPr>
        <w:t>are considered to be</w:t>
      </w:r>
      <w:proofErr w:type="gramEnd"/>
      <w:r w:rsidRPr="00C64BA4">
        <w:rPr>
          <w:rStyle w:val="eop"/>
          <w:rFonts w:asciiTheme="minorHAnsi" w:hAnsiTheme="minorHAnsi" w:cs="Segoe UI"/>
          <w:sz w:val="22"/>
          <w:szCs w:val="22"/>
        </w:rPr>
        <w:t xml:space="preserve"> at amplified risk of housing discrimination; they include minorities, immigrants, low-income residents, older adults, and people with disabilities.  This report analyzes their status and includes state and federal programs aimed at protecting these classes of people. </w:t>
      </w:r>
    </w:p>
    <w:p w14:paraId="068F3867" w14:textId="77777777" w:rsidR="005336D5" w:rsidRDefault="005336D5">
      <w:pPr>
        <w:rPr>
          <w:rStyle w:val="eop"/>
          <w:rFonts w:eastAsia="Times New Roman" w:cs="Segoe UI"/>
        </w:rPr>
      </w:pPr>
      <w:r>
        <w:rPr>
          <w:rStyle w:val="eop"/>
          <w:rFonts w:cs="Segoe UI"/>
        </w:rPr>
        <w:br w:type="page"/>
      </w:r>
    </w:p>
    <w:p w14:paraId="1E57DD52" w14:textId="269C4567" w:rsidR="003257D9" w:rsidRPr="00C64BA4" w:rsidRDefault="005C61DD" w:rsidP="00E75682">
      <w:pPr>
        <w:pStyle w:val="Heading2"/>
        <w:rPr>
          <w:rStyle w:val="eop"/>
          <w:rFonts w:cs="Segoe UI"/>
          <w:sz w:val="22"/>
          <w:szCs w:val="22"/>
        </w:rPr>
      </w:pPr>
      <w:bookmarkStart w:id="17" w:name="_Toc128137937"/>
      <w:r w:rsidRPr="00C64BA4">
        <w:rPr>
          <w:rStyle w:val="eop"/>
          <w:rFonts w:cs="Segoe UI"/>
          <w:sz w:val="22"/>
          <w:szCs w:val="22"/>
        </w:rPr>
        <w:lastRenderedPageBreak/>
        <w:t>Key Issues</w:t>
      </w:r>
      <w:bookmarkEnd w:id="17"/>
    </w:p>
    <w:p w14:paraId="2BD24811" w14:textId="77777777" w:rsidR="003257D9" w:rsidRPr="00C64BA4" w:rsidRDefault="003257D9" w:rsidP="00206C45">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Looking at the Numbers:</w:t>
      </w:r>
    </w:p>
    <w:p w14:paraId="3D236D46" w14:textId="77777777" w:rsidR="003257D9" w:rsidRPr="00C64BA4" w:rsidRDefault="003257D9" w:rsidP="00206C45">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Changing demographics</w:t>
      </w:r>
    </w:p>
    <w:p w14:paraId="1323D9A5" w14:textId="0392DCF1" w:rsidR="003257D9" w:rsidRPr="00C64BA4" w:rsidRDefault="003257D9" w:rsidP="00206C45">
      <w:pPr>
        <w:pStyle w:val="paragraph"/>
        <w:spacing w:before="0" w:beforeAutospacing="0" w:after="120" w:afterAutospacing="0" w:line="300" w:lineRule="auto"/>
        <w:ind w:left="1440"/>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The two most prominent ways the demographics of the region are changing are reflected in age and race/ethnic composition.  The percentage of younger people is decreasing while the percentage of older people is increasing.  This is a regional as well as statewide trend observed for at least a decade in New Hampshire that has implications for housing availability and housing needs at all levels.</w:t>
      </w:r>
    </w:p>
    <w:p w14:paraId="61613FCB" w14:textId="77777777" w:rsidR="003257D9" w:rsidRPr="00C64BA4" w:rsidRDefault="003257D9" w:rsidP="00206C45">
      <w:pPr>
        <w:pStyle w:val="paragraph"/>
        <w:spacing w:before="0" w:beforeAutospacing="0" w:after="120" w:afterAutospacing="0" w:line="300" w:lineRule="auto"/>
        <w:ind w:left="1440"/>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Ethnically, the region remains predominantly White and non-Hispanic or Latino, although this ratio is shifting, with the number and percentage of minorities increasing over the last decade.  Today around 17% of SNHPC residents are a racial or Hispanic or Latino ethnic minority, up from around 7% in 2000.</w:t>
      </w:r>
    </w:p>
    <w:p w14:paraId="6AD93911" w14:textId="77777777" w:rsidR="003257D9" w:rsidRPr="00C64BA4" w:rsidRDefault="003257D9" w:rsidP="00206C45">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Increase in households that are “housing </w:t>
      </w:r>
      <w:proofErr w:type="gramStart"/>
      <w:r w:rsidRPr="00C64BA4">
        <w:rPr>
          <w:rStyle w:val="eop"/>
          <w:rFonts w:asciiTheme="minorHAnsi" w:hAnsiTheme="minorHAnsi" w:cs="Segoe UI"/>
          <w:sz w:val="22"/>
          <w:szCs w:val="22"/>
        </w:rPr>
        <w:t>burdened”</w:t>
      </w:r>
      <w:proofErr w:type="gramEnd"/>
    </w:p>
    <w:p w14:paraId="077693A0" w14:textId="77777777" w:rsidR="00A149BD" w:rsidRDefault="003257D9" w:rsidP="00A149BD">
      <w:pPr>
        <w:pStyle w:val="paragraph"/>
        <w:spacing w:before="0" w:beforeAutospacing="0" w:after="120" w:afterAutospacing="0" w:line="300" w:lineRule="auto"/>
        <w:ind w:left="1440"/>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A household that is considered “burdened” is one that is paying more than 30% of its income on housing. In the Southern NH region, 48% of households responding to the general public survey </w:t>
      </w:r>
      <w:r w:rsidRPr="00C64BA4">
        <w:rPr>
          <w:rStyle w:val="eop"/>
          <w:rFonts w:asciiTheme="minorHAnsi" w:hAnsiTheme="minorHAnsi" w:cs="Segoe UI"/>
          <w:i/>
          <w:iCs/>
          <w:sz w:val="22"/>
          <w:szCs w:val="22"/>
        </w:rPr>
        <w:t>judge themselves</w:t>
      </w:r>
      <w:r w:rsidRPr="00C64BA4">
        <w:rPr>
          <w:rStyle w:val="eop"/>
          <w:rFonts w:asciiTheme="minorHAnsi" w:hAnsiTheme="minorHAnsi" w:cs="Segoe UI"/>
          <w:sz w:val="22"/>
          <w:szCs w:val="22"/>
        </w:rPr>
        <w:t xml:space="preserve"> to be housing burdened.  Not surprisingly, the lower the income, the greater the burden.  When transportation costs are factored in, this burden is even greater.  Based strictly on Census data, housing burden is</w:t>
      </w:r>
      <w:r w:rsidR="00465AC3">
        <w:rPr>
          <w:rStyle w:val="eop"/>
          <w:rFonts w:asciiTheme="minorHAnsi" w:hAnsiTheme="minorHAnsi" w:cs="Segoe UI"/>
          <w:sz w:val="22"/>
          <w:szCs w:val="22"/>
        </w:rPr>
        <w:t xml:space="preserve"> </w:t>
      </w:r>
      <w:r w:rsidRPr="00C64BA4">
        <w:rPr>
          <w:rStyle w:val="eop"/>
          <w:rFonts w:asciiTheme="minorHAnsi" w:hAnsiTheme="minorHAnsi" w:cs="Segoe UI"/>
          <w:sz w:val="22"/>
          <w:szCs w:val="22"/>
        </w:rPr>
        <w:t>31% regionwide.</w:t>
      </w:r>
    </w:p>
    <w:p w14:paraId="6D36440C" w14:textId="75CE53ED" w:rsidR="00A149BD" w:rsidRDefault="00A149BD" w:rsidP="00A149BD">
      <w:pPr>
        <w:pStyle w:val="paragraph"/>
        <w:spacing w:before="0" w:beforeAutospacing="0" w:after="120" w:afterAutospacing="0" w:line="300" w:lineRule="auto"/>
        <w:ind w:left="1440"/>
        <w:jc w:val="both"/>
        <w:textAlignment w:val="baseline"/>
        <w:rPr>
          <w:rStyle w:val="eop"/>
          <w:rFonts w:asciiTheme="minorHAnsi" w:hAnsiTheme="minorHAnsi" w:cs="Segoe UI"/>
          <w:sz w:val="22"/>
          <w:szCs w:val="22"/>
        </w:rPr>
      </w:pPr>
      <w:r w:rsidRPr="00A149BD">
        <w:rPr>
          <w:rStyle w:val="eop"/>
          <w:rFonts w:asciiTheme="minorHAnsi" w:hAnsiTheme="minorHAnsi" w:cs="Segoe UI"/>
          <w:sz w:val="22"/>
          <w:szCs w:val="22"/>
        </w:rPr>
        <w:t>Demand for housing in the SNHPC region greatly outweighs the current supply. Between 2020 and 2030, the SNHPC region is expected to add, on average, around 1,320 new housing units each year or an annual growth rate of 1.1%. Increases slow significantly between 2030 and 2040. This slowdown reflects decelerating population growth due to an aging population and a more balanced housing market.</w:t>
      </w:r>
    </w:p>
    <w:p w14:paraId="251D9DC2" w14:textId="77777777" w:rsidR="004E582A" w:rsidRPr="004E582A" w:rsidRDefault="004E582A" w:rsidP="004E582A">
      <w:pPr>
        <w:pStyle w:val="paragraph"/>
        <w:spacing w:before="0" w:beforeAutospacing="0" w:after="120" w:afterAutospacing="0" w:line="300" w:lineRule="auto"/>
        <w:ind w:left="1440"/>
        <w:jc w:val="both"/>
        <w:textAlignment w:val="baseline"/>
        <w:rPr>
          <w:rStyle w:val="eop"/>
          <w:rFonts w:asciiTheme="minorHAnsi" w:hAnsiTheme="minorHAnsi" w:cs="Segoe UI"/>
          <w:sz w:val="22"/>
          <w:szCs w:val="22"/>
        </w:rPr>
      </w:pPr>
    </w:p>
    <w:p w14:paraId="6AD34696" w14:textId="05C5BC50" w:rsidR="005C61DD" w:rsidRPr="00C64BA4" w:rsidRDefault="00C96C23" w:rsidP="00206C45">
      <w:pPr>
        <w:pStyle w:val="Caption"/>
        <w:keepNext/>
        <w:spacing w:line="300" w:lineRule="auto"/>
      </w:pPr>
      <w:bookmarkStart w:id="18" w:name="_Toc128137893"/>
      <w:r>
        <w:t>Table</w:t>
      </w:r>
      <w:r w:rsidR="005C61DD" w:rsidRPr="00C64BA4">
        <w:t xml:space="preserve"> </w:t>
      </w:r>
      <w:r w:rsidR="0062538A">
        <w:fldChar w:fldCharType="begin"/>
      </w:r>
      <w:r w:rsidR="0062538A">
        <w:instrText xml:space="preserve"> SEQ Table \* ARABIC </w:instrText>
      </w:r>
      <w:r w:rsidR="0062538A">
        <w:fldChar w:fldCharType="separate"/>
      </w:r>
      <w:r w:rsidR="008B512A">
        <w:rPr>
          <w:noProof/>
        </w:rPr>
        <w:t>2</w:t>
      </w:r>
      <w:r w:rsidR="0062538A">
        <w:rPr>
          <w:noProof/>
        </w:rPr>
        <w:fldChar w:fldCharType="end"/>
      </w:r>
      <w:r w:rsidR="00232DF3">
        <w:t xml:space="preserve">: </w:t>
      </w:r>
      <w:r w:rsidR="00755D0A">
        <w:t>Percentage</w:t>
      </w:r>
      <w:r w:rsidR="00232DF3">
        <w:t xml:space="preserve"> of Households Paying 30% or More of Their Income on Housing</w:t>
      </w:r>
      <w:bookmarkEnd w:id="18"/>
    </w:p>
    <w:tbl>
      <w:tblPr>
        <w:tblW w:w="5000" w:type="pct"/>
        <w:tblLook w:val="04A0" w:firstRow="1" w:lastRow="0" w:firstColumn="1" w:lastColumn="0" w:noHBand="0" w:noVBand="1"/>
      </w:tblPr>
      <w:tblGrid>
        <w:gridCol w:w="2664"/>
        <w:gridCol w:w="2769"/>
        <w:gridCol w:w="3927"/>
      </w:tblGrid>
      <w:tr w:rsidR="003257D9" w:rsidRPr="00C64BA4" w14:paraId="155C8E30" w14:textId="77777777" w:rsidTr="00613983">
        <w:trPr>
          <w:trHeight w:val="300"/>
          <w:tblHeader/>
        </w:trPr>
        <w:tc>
          <w:tcPr>
            <w:tcW w:w="1423" w:type="pct"/>
            <w:tcBorders>
              <w:top w:val="nil"/>
              <w:left w:val="nil"/>
              <w:bottom w:val="nil"/>
              <w:right w:val="nil"/>
            </w:tcBorders>
            <w:shd w:val="clear" w:color="000000" w:fill="FFFFFF"/>
            <w:noWrap/>
            <w:vAlign w:val="bottom"/>
            <w:hideMark/>
          </w:tcPr>
          <w:p w14:paraId="463B0819" w14:textId="77777777" w:rsidR="003257D9" w:rsidRPr="00C64BA4" w:rsidRDefault="003257D9" w:rsidP="00206C45">
            <w:pPr>
              <w:spacing w:after="0" w:line="300" w:lineRule="auto"/>
              <w:rPr>
                <w:rFonts w:eastAsia="Times New Roman" w:cs="Calibri"/>
                <w:color w:val="000000"/>
              </w:rPr>
            </w:pPr>
            <w:bookmarkStart w:id="19" w:name="_Hlk122602929"/>
            <w:r w:rsidRPr="00C64BA4">
              <w:rPr>
                <w:rFonts w:eastAsia="Times New Roman" w:cs="Calibri"/>
                <w:color w:val="000000"/>
              </w:rPr>
              <w:t> </w:t>
            </w:r>
          </w:p>
        </w:tc>
        <w:tc>
          <w:tcPr>
            <w:tcW w:w="3577" w:type="pct"/>
            <w:gridSpan w:val="2"/>
            <w:tcBorders>
              <w:top w:val="nil"/>
              <w:left w:val="nil"/>
              <w:bottom w:val="nil"/>
              <w:right w:val="nil"/>
            </w:tcBorders>
            <w:shd w:val="clear" w:color="000000" w:fill="FFFFFF"/>
            <w:noWrap/>
            <w:vAlign w:val="bottom"/>
            <w:hideMark/>
          </w:tcPr>
          <w:p w14:paraId="61B26F16"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2020</w:t>
            </w:r>
          </w:p>
        </w:tc>
      </w:tr>
      <w:tr w:rsidR="003257D9" w:rsidRPr="00C64BA4" w14:paraId="3EE6498D" w14:textId="77777777" w:rsidTr="00613983">
        <w:trPr>
          <w:trHeight w:val="825"/>
          <w:tblHeader/>
        </w:trPr>
        <w:tc>
          <w:tcPr>
            <w:tcW w:w="1423" w:type="pct"/>
            <w:tcBorders>
              <w:top w:val="nil"/>
              <w:left w:val="nil"/>
              <w:bottom w:val="nil"/>
              <w:right w:val="nil"/>
            </w:tcBorders>
            <w:shd w:val="clear" w:color="000000" w:fill="FFFFFF"/>
            <w:noWrap/>
            <w:vAlign w:val="center"/>
            <w:hideMark/>
          </w:tcPr>
          <w:p w14:paraId="1AC79032" w14:textId="77777777" w:rsidR="003257D9" w:rsidRPr="00C64BA4" w:rsidRDefault="003257D9" w:rsidP="00206C45">
            <w:pPr>
              <w:spacing w:after="0" w:line="300" w:lineRule="auto"/>
              <w:rPr>
                <w:rFonts w:eastAsia="Times New Roman" w:cs="Calibri"/>
                <w:b/>
                <w:bCs/>
                <w:color w:val="595959"/>
              </w:rPr>
            </w:pPr>
            <w:r w:rsidRPr="00C64BA4">
              <w:rPr>
                <w:rFonts w:eastAsia="Times New Roman" w:cs="Calibri"/>
                <w:b/>
                <w:bCs/>
                <w:color w:val="595959"/>
              </w:rPr>
              <w:t> </w:t>
            </w:r>
          </w:p>
        </w:tc>
        <w:tc>
          <w:tcPr>
            <w:tcW w:w="3577" w:type="pct"/>
            <w:gridSpan w:val="2"/>
            <w:tcBorders>
              <w:top w:val="nil"/>
              <w:left w:val="nil"/>
              <w:bottom w:val="nil"/>
              <w:right w:val="nil"/>
            </w:tcBorders>
            <w:shd w:val="clear" w:color="000000" w:fill="FFFFFF"/>
            <w:vAlign w:val="bottom"/>
            <w:hideMark/>
          </w:tcPr>
          <w:p w14:paraId="74F38FF3"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 of Households Paying 30% or More of Their Income on Housing Costs</w:t>
            </w:r>
          </w:p>
        </w:tc>
      </w:tr>
      <w:tr w:rsidR="003257D9" w:rsidRPr="00C64BA4" w14:paraId="3F0FA52B" w14:textId="77777777" w:rsidTr="00613983">
        <w:trPr>
          <w:trHeight w:val="765"/>
          <w:tblHeader/>
        </w:trPr>
        <w:tc>
          <w:tcPr>
            <w:tcW w:w="1423" w:type="pct"/>
            <w:tcBorders>
              <w:top w:val="nil"/>
              <w:left w:val="nil"/>
              <w:bottom w:val="single" w:sz="4" w:space="0" w:color="auto"/>
              <w:right w:val="nil"/>
            </w:tcBorders>
            <w:shd w:val="clear" w:color="000000" w:fill="FFFFFF"/>
            <w:noWrap/>
            <w:vAlign w:val="center"/>
            <w:hideMark/>
          </w:tcPr>
          <w:p w14:paraId="23A06BD5" w14:textId="77777777" w:rsidR="003257D9" w:rsidRPr="00C64BA4" w:rsidRDefault="003257D9" w:rsidP="00206C45">
            <w:pPr>
              <w:spacing w:after="0" w:line="300" w:lineRule="auto"/>
              <w:rPr>
                <w:rFonts w:eastAsia="Times New Roman" w:cs="Calibri"/>
                <w:b/>
                <w:bCs/>
                <w:color w:val="595959"/>
              </w:rPr>
            </w:pPr>
            <w:r w:rsidRPr="00C64BA4">
              <w:rPr>
                <w:rFonts w:eastAsia="Times New Roman" w:cs="Calibri"/>
                <w:b/>
                <w:bCs/>
                <w:color w:val="595959"/>
              </w:rPr>
              <w:t> </w:t>
            </w:r>
          </w:p>
        </w:tc>
        <w:tc>
          <w:tcPr>
            <w:tcW w:w="1479" w:type="pct"/>
            <w:tcBorders>
              <w:top w:val="nil"/>
              <w:left w:val="nil"/>
              <w:bottom w:val="single" w:sz="4" w:space="0" w:color="auto"/>
              <w:right w:val="nil"/>
            </w:tcBorders>
            <w:shd w:val="clear" w:color="000000" w:fill="FFFFFF"/>
            <w:vAlign w:val="bottom"/>
            <w:hideMark/>
          </w:tcPr>
          <w:p w14:paraId="5C559A67"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All Households</w:t>
            </w:r>
          </w:p>
        </w:tc>
        <w:tc>
          <w:tcPr>
            <w:tcW w:w="2097" w:type="pct"/>
            <w:tcBorders>
              <w:top w:val="nil"/>
              <w:left w:val="nil"/>
              <w:bottom w:val="single" w:sz="4" w:space="0" w:color="auto"/>
              <w:right w:val="nil"/>
            </w:tcBorders>
            <w:shd w:val="clear" w:color="000000" w:fill="FFFFFF"/>
            <w:vAlign w:val="bottom"/>
            <w:hideMark/>
          </w:tcPr>
          <w:p w14:paraId="5B113AF5" w14:textId="77777777" w:rsidR="003257D9" w:rsidRPr="00C64BA4" w:rsidRDefault="003257D9" w:rsidP="00206C45">
            <w:pPr>
              <w:spacing w:after="0" w:line="300" w:lineRule="auto"/>
              <w:jc w:val="center"/>
              <w:rPr>
                <w:rFonts w:eastAsia="Times New Roman" w:cs="Calibri"/>
                <w:b/>
                <w:bCs/>
                <w:color w:val="595959"/>
              </w:rPr>
            </w:pPr>
            <w:r w:rsidRPr="00C64BA4">
              <w:rPr>
                <w:rFonts w:eastAsia="Times New Roman" w:cs="Calibri"/>
                <w:b/>
                <w:bCs/>
                <w:color w:val="595959"/>
              </w:rPr>
              <w:t>Households Making $75,000 or More</w:t>
            </w:r>
          </w:p>
        </w:tc>
      </w:tr>
      <w:tr w:rsidR="003257D9" w:rsidRPr="00C64BA4" w14:paraId="3B173D8E" w14:textId="77777777" w:rsidTr="00613983">
        <w:trPr>
          <w:trHeight w:val="300"/>
        </w:trPr>
        <w:tc>
          <w:tcPr>
            <w:tcW w:w="1423" w:type="pct"/>
            <w:tcBorders>
              <w:top w:val="nil"/>
              <w:left w:val="nil"/>
              <w:bottom w:val="nil"/>
              <w:right w:val="nil"/>
            </w:tcBorders>
            <w:shd w:val="clear" w:color="000000" w:fill="FFFFFF"/>
            <w:noWrap/>
            <w:vAlign w:val="center"/>
            <w:hideMark/>
          </w:tcPr>
          <w:p w14:paraId="56402621"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Auburn</w:t>
            </w:r>
          </w:p>
        </w:tc>
        <w:tc>
          <w:tcPr>
            <w:tcW w:w="1479" w:type="pct"/>
            <w:tcBorders>
              <w:top w:val="nil"/>
              <w:left w:val="nil"/>
              <w:bottom w:val="nil"/>
              <w:right w:val="nil"/>
            </w:tcBorders>
            <w:shd w:val="clear" w:color="000000" w:fill="FFFFFF"/>
            <w:noWrap/>
            <w:vAlign w:val="center"/>
            <w:hideMark/>
          </w:tcPr>
          <w:p w14:paraId="7603B31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27%</w:t>
            </w:r>
          </w:p>
        </w:tc>
        <w:tc>
          <w:tcPr>
            <w:tcW w:w="2097" w:type="pct"/>
            <w:tcBorders>
              <w:top w:val="nil"/>
              <w:left w:val="nil"/>
              <w:bottom w:val="nil"/>
              <w:right w:val="nil"/>
            </w:tcBorders>
            <w:shd w:val="clear" w:color="000000" w:fill="FFFFFF"/>
            <w:noWrap/>
            <w:vAlign w:val="center"/>
            <w:hideMark/>
          </w:tcPr>
          <w:p w14:paraId="06F9E01C"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19%</w:t>
            </w:r>
          </w:p>
        </w:tc>
      </w:tr>
      <w:tr w:rsidR="003257D9" w:rsidRPr="00C64BA4" w14:paraId="073F1960" w14:textId="77777777" w:rsidTr="00613983">
        <w:trPr>
          <w:trHeight w:val="300"/>
        </w:trPr>
        <w:tc>
          <w:tcPr>
            <w:tcW w:w="1423" w:type="pct"/>
            <w:tcBorders>
              <w:top w:val="single" w:sz="4" w:space="0" w:color="auto"/>
              <w:left w:val="nil"/>
              <w:bottom w:val="single" w:sz="4" w:space="0" w:color="auto"/>
              <w:right w:val="nil"/>
            </w:tcBorders>
            <w:shd w:val="clear" w:color="000000" w:fill="E7E6E6"/>
            <w:noWrap/>
            <w:vAlign w:val="center"/>
            <w:hideMark/>
          </w:tcPr>
          <w:p w14:paraId="05A150F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Bedford</w:t>
            </w:r>
          </w:p>
        </w:tc>
        <w:tc>
          <w:tcPr>
            <w:tcW w:w="1479" w:type="pct"/>
            <w:tcBorders>
              <w:top w:val="single" w:sz="4" w:space="0" w:color="auto"/>
              <w:left w:val="nil"/>
              <w:bottom w:val="single" w:sz="4" w:space="0" w:color="auto"/>
              <w:right w:val="nil"/>
            </w:tcBorders>
            <w:shd w:val="clear" w:color="000000" w:fill="E7E6E6"/>
            <w:noWrap/>
            <w:vAlign w:val="center"/>
            <w:hideMark/>
          </w:tcPr>
          <w:p w14:paraId="18AB1E05"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23%</w:t>
            </w:r>
          </w:p>
        </w:tc>
        <w:tc>
          <w:tcPr>
            <w:tcW w:w="2097" w:type="pct"/>
            <w:tcBorders>
              <w:top w:val="single" w:sz="4" w:space="0" w:color="auto"/>
              <w:left w:val="nil"/>
              <w:bottom w:val="single" w:sz="4" w:space="0" w:color="auto"/>
              <w:right w:val="nil"/>
            </w:tcBorders>
            <w:shd w:val="clear" w:color="000000" w:fill="E7E6E6"/>
            <w:noWrap/>
            <w:vAlign w:val="center"/>
            <w:hideMark/>
          </w:tcPr>
          <w:p w14:paraId="77AB71F1"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8%</w:t>
            </w:r>
          </w:p>
        </w:tc>
      </w:tr>
      <w:tr w:rsidR="003257D9" w:rsidRPr="00C64BA4" w14:paraId="4742FFDC" w14:textId="77777777" w:rsidTr="00613983">
        <w:trPr>
          <w:trHeight w:val="300"/>
        </w:trPr>
        <w:tc>
          <w:tcPr>
            <w:tcW w:w="1423" w:type="pct"/>
            <w:tcBorders>
              <w:top w:val="nil"/>
              <w:left w:val="nil"/>
              <w:bottom w:val="nil"/>
              <w:right w:val="nil"/>
            </w:tcBorders>
            <w:shd w:val="clear" w:color="000000" w:fill="FFFFFF"/>
            <w:noWrap/>
            <w:vAlign w:val="center"/>
            <w:hideMark/>
          </w:tcPr>
          <w:p w14:paraId="1ABD1DD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Candia</w:t>
            </w:r>
          </w:p>
        </w:tc>
        <w:tc>
          <w:tcPr>
            <w:tcW w:w="1479" w:type="pct"/>
            <w:tcBorders>
              <w:top w:val="nil"/>
              <w:left w:val="nil"/>
              <w:bottom w:val="nil"/>
              <w:right w:val="nil"/>
            </w:tcBorders>
            <w:shd w:val="clear" w:color="000000" w:fill="FFFFFF"/>
            <w:noWrap/>
            <w:vAlign w:val="center"/>
            <w:hideMark/>
          </w:tcPr>
          <w:p w14:paraId="642F84A5"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33%</w:t>
            </w:r>
          </w:p>
        </w:tc>
        <w:tc>
          <w:tcPr>
            <w:tcW w:w="2097" w:type="pct"/>
            <w:tcBorders>
              <w:top w:val="nil"/>
              <w:left w:val="nil"/>
              <w:bottom w:val="nil"/>
              <w:right w:val="nil"/>
            </w:tcBorders>
            <w:shd w:val="clear" w:color="000000" w:fill="FFFFFF"/>
            <w:noWrap/>
            <w:vAlign w:val="center"/>
            <w:hideMark/>
          </w:tcPr>
          <w:p w14:paraId="0E009439"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w:t>
            </w:r>
          </w:p>
        </w:tc>
      </w:tr>
      <w:tr w:rsidR="003257D9" w:rsidRPr="00C64BA4" w14:paraId="3BD5AB72" w14:textId="77777777" w:rsidTr="00613983">
        <w:trPr>
          <w:trHeight w:val="300"/>
        </w:trPr>
        <w:tc>
          <w:tcPr>
            <w:tcW w:w="1423" w:type="pct"/>
            <w:tcBorders>
              <w:top w:val="single" w:sz="4" w:space="0" w:color="auto"/>
              <w:left w:val="nil"/>
              <w:bottom w:val="single" w:sz="4" w:space="0" w:color="auto"/>
              <w:right w:val="nil"/>
            </w:tcBorders>
            <w:shd w:val="clear" w:color="000000" w:fill="E7E6E6"/>
            <w:noWrap/>
            <w:vAlign w:val="center"/>
            <w:hideMark/>
          </w:tcPr>
          <w:p w14:paraId="705E7AC1"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Chester</w:t>
            </w:r>
          </w:p>
        </w:tc>
        <w:tc>
          <w:tcPr>
            <w:tcW w:w="1479" w:type="pct"/>
            <w:tcBorders>
              <w:top w:val="single" w:sz="4" w:space="0" w:color="auto"/>
              <w:left w:val="nil"/>
              <w:bottom w:val="single" w:sz="4" w:space="0" w:color="auto"/>
              <w:right w:val="nil"/>
            </w:tcBorders>
            <w:shd w:val="clear" w:color="000000" w:fill="E7E6E6"/>
            <w:noWrap/>
            <w:vAlign w:val="center"/>
            <w:hideMark/>
          </w:tcPr>
          <w:p w14:paraId="7398242A"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22%</w:t>
            </w:r>
          </w:p>
        </w:tc>
        <w:tc>
          <w:tcPr>
            <w:tcW w:w="2097" w:type="pct"/>
            <w:tcBorders>
              <w:top w:val="single" w:sz="4" w:space="0" w:color="auto"/>
              <w:left w:val="nil"/>
              <w:bottom w:val="single" w:sz="4" w:space="0" w:color="auto"/>
              <w:right w:val="nil"/>
            </w:tcBorders>
            <w:shd w:val="clear" w:color="000000" w:fill="E7E6E6"/>
            <w:noWrap/>
            <w:vAlign w:val="center"/>
            <w:hideMark/>
          </w:tcPr>
          <w:p w14:paraId="2EB0486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11%</w:t>
            </w:r>
          </w:p>
        </w:tc>
      </w:tr>
      <w:tr w:rsidR="003257D9" w:rsidRPr="00C64BA4" w14:paraId="608B556E" w14:textId="77777777" w:rsidTr="00613983">
        <w:trPr>
          <w:trHeight w:val="300"/>
        </w:trPr>
        <w:tc>
          <w:tcPr>
            <w:tcW w:w="1423" w:type="pct"/>
            <w:tcBorders>
              <w:top w:val="nil"/>
              <w:left w:val="nil"/>
              <w:bottom w:val="nil"/>
              <w:right w:val="nil"/>
            </w:tcBorders>
            <w:shd w:val="clear" w:color="000000" w:fill="FFFFFF"/>
            <w:noWrap/>
            <w:vAlign w:val="center"/>
            <w:hideMark/>
          </w:tcPr>
          <w:p w14:paraId="0F1F1812"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Deerfield</w:t>
            </w:r>
          </w:p>
        </w:tc>
        <w:tc>
          <w:tcPr>
            <w:tcW w:w="1479" w:type="pct"/>
            <w:tcBorders>
              <w:top w:val="nil"/>
              <w:left w:val="nil"/>
              <w:bottom w:val="nil"/>
              <w:right w:val="nil"/>
            </w:tcBorders>
            <w:shd w:val="clear" w:color="000000" w:fill="FFFFFF"/>
            <w:noWrap/>
            <w:vAlign w:val="center"/>
            <w:hideMark/>
          </w:tcPr>
          <w:p w14:paraId="36EB3458"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24%</w:t>
            </w:r>
          </w:p>
        </w:tc>
        <w:tc>
          <w:tcPr>
            <w:tcW w:w="2097" w:type="pct"/>
            <w:tcBorders>
              <w:top w:val="nil"/>
              <w:left w:val="nil"/>
              <w:bottom w:val="nil"/>
              <w:right w:val="nil"/>
            </w:tcBorders>
            <w:shd w:val="clear" w:color="000000" w:fill="FFFFFF"/>
            <w:noWrap/>
            <w:vAlign w:val="center"/>
            <w:hideMark/>
          </w:tcPr>
          <w:p w14:paraId="7843EA95"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7%</w:t>
            </w:r>
          </w:p>
        </w:tc>
      </w:tr>
      <w:tr w:rsidR="003257D9" w:rsidRPr="00C64BA4" w14:paraId="22B434DF" w14:textId="77777777" w:rsidTr="00613983">
        <w:trPr>
          <w:trHeight w:val="300"/>
        </w:trPr>
        <w:tc>
          <w:tcPr>
            <w:tcW w:w="1423" w:type="pct"/>
            <w:tcBorders>
              <w:top w:val="single" w:sz="4" w:space="0" w:color="auto"/>
              <w:left w:val="nil"/>
              <w:bottom w:val="single" w:sz="4" w:space="0" w:color="auto"/>
              <w:right w:val="nil"/>
            </w:tcBorders>
            <w:shd w:val="clear" w:color="000000" w:fill="E7E6E6"/>
            <w:noWrap/>
            <w:vAlign w:val="center"/>
            <w:hideMark/>
          </w:tcPr>
          <w:p w14:paraId="5C594E2D"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Derry</w:t>
            </w:r>
          </w:p>
        </w:tc>
        <w:tc>
          <w:tcPr>
            <w:tcW w:w="1479" w:type="pct"/>
            <w:tcBorders>
              <w:top w:val="single" w:sz="4" w:space="0" w:color="auto"/>
              <w:left w:val="nil"/>
              <w:bottom w:val="single" w:sz="4" w:space="0" w:color="auto"/>
              <w:right w:val="nil"/>
            </w:tcBorders>
            <w:shd w:val="clear" w:color="000000" w:fill="E7E6E6"/>
            <w:noWrap/>
            <w:vAlign w:val="center"/>
            <w:hideMark/>
          </w:tcPr>
          <w:p w14:paraId="6918FFCB"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32%</w:t>
            </w:r>
          </w:p>
        </w:tc>
        <w:tc>
          <w:tcPr>
            <w:tcW w:w="2097" w:type="pct"/>
            <w:tcBorders>
              <w:top w:val="single" w:sz="4" w:space="0" w:color="auto"/>
              <w:left w:val="nil"/>
              <w:bottom w:val="single" w:sz="4" w:space="0" w:color="auto"/>
              <w:right w:val="nil"/>
            </w:tcBorders>
            <w:shd w:val="clear" w:color="000000" w:fill="E7E6E6"/>
            <w:noWrap/>
            <w:vAlign w:val="center"/>
            <w:hideMark/>
          </w:tcPr>
          <w:p w14:paraId="7F19FAB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w:t>
            </w:r>
          </w:p>
        </w:tc>
      </w:tr>
      <w:tr w:rsidR="003257D9" w:rsidRPr="00C64BA4" w14:paraId="2BCB6EF9" w14:textId="77777777" w:rsidTr="00613983">
        <w:trPr>
          <w:trHeight w:val="300"/>
        </w:trPr>
        <w:tc>
          <w:tcPr>
            <w:tcW w:w="1423" w:type="pct"/>
            <w:tcBorders>
              <w:top w:val="nil"/>
              <w:left w:val="nil"/>
              <w:bottom w:val="nil"/>
              <w:right w:val="nil"/>
            </w:tcBorders>
            <w:shd w:val="clear" w:color="000000" w:fill="FFFFFF"/>
            <w:noWrap/>
            <w:vAlign w:val="center"/>
            <w:hideMark/>
          </w:tcPr>
          <w:p w14:paraId="765D022F" w14:textId="77777777" w:rsidR="003257D9" w:rsidRPr="00C64BA4" w:rsidRDefault="003257D9" w:rsidP="00206C45">
            <w:pPr>
              <w:spacing w:after="0" w:line="300" w:lineRule="auto"/>
              <w:jc w:val="center"/>
              <w:rPr>
                <w:rFonts w:eastAsia="Times New Roman" w:cs="Calibri"/>
                <w:color w:val="000000"/>
              </w:rPr>
            </w:pPr>
            <w:proofErr w:type="spellStart"/>
            <w:r w:rsidRPr="00C64BA4">
              <w:rPr>
                <w:rFonts w:eastAsia="Times New Roman" w:cs="Calibri"/>
                <w:color w:val="000000"/>
              </w:rPr>
              <w:t>Francestown</w:t>
            </w:r>
            <w:proofErr w:type="spellEnd"/>
          </w:p>
        </w:tc>
        <w:tc>
          <w:tcPr>
            <w:tcW w:w="1479" w:type="pct"/>
            <w:tcBorders>
              <w:top w:val="nil"/>
              <w:left w:val="nil"/>
              <w:bottom w:val="nil"/>
              <w:right w:val="nil"/>
            </w:tcBorders>
            <w:shd w:val="clear" w:color="000000" w:fill="FFFFFF"/>
            <w:noWrap/>
            <w:vAlign w:val="center"/>
            <w:hideMark/>
          </w:tcPr>
          <w:p w14:paraId="6929C799"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18%</w:t>
            </w:r>
          </w:p>
        </w:tc>
        <w:tc>
          <w:tcPr>
            <w:tcW w:w="2097" w:type="pct"/>
            <w:tcBorders>
              <w:top w:val="nil"/>
              <w:left w:val="nil"/>
              <w:bottom w:val="nil"/>
              <w:right w:val="nil"/>
            </w:tcBorders>
            <w:shd w:val="clear" w:color="000000" w:fill="FFFFFF"/>
            <w:noWrap/>
            <w:vAlign w:val="center"/>
            <w:hideMark/>
          </w:tcPr>
          <w:p w14:paraId="02DB229C"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6%</w:t>
            </w:r>
          </w:p>
        </w:tc>
      </w:tr>
      <w:tr w:rsidR="003257D9" w:rsidRPr="00C64BA4" w14:paraId="29D4C337" w14:textId="77777777" w:rsidTr="00613983">
        <w:trPr>
          <w:trHeight w:val="300"/>
        </w:trPr>
        <w:tc>
          <w:tcPr>
            <w:tcW w:w="1423" w:type="pct"/>
            <w:tcBorders>
              <w:top w:val="single" w:sz="4" w:space="0" w:color="auto"/>
              <w:left w:val="nil"/>
              <w:bottom w:val="single" w:sz="4" w:space="0" w:color="auto"/>
              <w:right w:val="nil"/>
            </w:tcBorders>
            <w:shd w:val="clear" w:color="000000" w:fill="E7E6E6"/>
            <w:noWrap/>
            <w:vAlign w:val="center"/>
            <w:hideMark/>
          </w:tcPr>
          <w:p w14:paraId="366D180F"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Goffstown</w:t>
            </w:r>
          </w:p>
        </w:tc>
        <w:tc>
          <w:tcPr>
            <w:tcW w:w="1479" w:type="pct"/>
            <w:tcBorders>
              <w:top w:val="single" w:sz="4" w:space="0" w:color="auto"/>
              <w:left w:val="nil"/>
              <w:bottom w:val="single" w:sz="4" w:space="0" w:color="auto"/>
              <w:right w:val="nil"/>
            </w:tcBorders>
            <w:shd w:val="clear" w:color="000000" w:fill="E7E6E6"/>
            <w:noWrap/>
            <w:vAlign w:val="center"/>
            <w:hideMark/>
          </w:tcPr>
          <w:p w14:paraId="1240BA8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25%</w:t>
            </w:r>
          </w:p>
        </w:tc>
        <w:tc>
          <w:tcPr>
            <w:tcW w:w="2097" w:type="pct"/>
            <w:tcBorders>
              <w:top w:val="single" w:sz="4" w:space="0" w:color="auto"/>
              <w:left w:val="nil"/>
              <w:bottom w:val="single" w:sz="4" w:space="0" w:color="auto"/>
              <w:right w:val="nil"/>
            </w:tcBorders>
            <w:shd w:val="clear" w:color="000000" w:fill="E7E6E6"/>
            <w:noWrap/>
            <w:vAlign w:val="center"/>
            <w:hideMark/>
          </w:tcPr>
          <w:p w14:paraId="583FFCD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4%</w:t>
            </w:r>
          </w:p>
        </w:tc>
      </w:tr>
      <w:tr w:rsidR="003257D9" w:rsidRPr="00C64BA4" w14:paraId="290169AB" w14:textId="77777777" w:rsidTr="00613983">
        <w:trPr>
          <w:trHeight w:val="300"/>
        </w:trPr>
        <w:tc>
          <w:tcPr>
            <w:tcW w:w="1423" w:type="pct"/>
            <w:tcBorders>
              <w:top w:val="nil"/>
              <w:left w:val="nil"/>
              <w:bottom w:val="nil"/>
              <w:right w:val="nil"/>
            </w:tcBorders>
            <w:shd w:val="clear" w:color="000000" w:fill="FFFFFF"/>
            <w:noWrap/>
            <w:vAlign w:val="center"/>
            <w:hideMark/>
          </w:tcPr>
          <w:p w14:paraId="6251E46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Hooksett</w:t>
            </w:r>
          </w:p>
        </w:tc>
        <w:tc>
          <w:tcPr>
            <w:tcW w:w="1479" w:type="pct"/>
            <w:tcBorders>
              <w:top w:val="nil"/>
              <w:left w:val="nil"/>
              <w:bottom w:val="nil"/>
              <w:right w:val="nil"/>
            </w:tcBorders>
            <w:shd w:val="clear" w:color="000000" w:fill="FFFFFF"/>
            <w:noWrap/>
            <w:vAlign w:val="center"/>
            <w:hideMark/>
          </w:tcPr>
          <w:p w14:paraId="7AB431EF"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28%</w:t>
            </w:r>
          </w:p>
        </w:tc>
        <w:tc>
          <w:tcPr>
            <w:tcW w:w="2097" w:type="pct"/>
            <w:tcBorders>
              <w:top w:val="nil"/>
              <w:left w:val="nil"/>
              <w:bottom w:val="nil"/>
              <w:right w:val="nil"/>
            </w:tcBorders>
            <w:shd w:val="clear" w:color="000000" w:fill="FFFFFF"/>
            <w:noWrap/>
            <w:vAlign w:val="center"/>
            <w:hideMark/>
          </w:tcPr>
          <w:p w14:paraId="6DEC9AF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7%</w:t>
            </w:r>
          </w:p>
        </w:tc>
      </w:tr>
      <w:tr w:rsidR="003257D9" w:rsidRPr="00C64BA4" w14:paraId="0D66AD44" w14:textId="77777777" w:rsidTr="00613983">
        <w:trPr>
          <w:trHeight w:val="300"/>
        </w:trPr>
        <w:tc>
          <w:tcPr>
            <w:tcW w:w="1423" w:type="pct"/>
            <w:tcBorders>
              <w:top w:val="single" w:sz="4" w:space="0" w:color="auto"/>
              <w:left w:val="nil"/>
              <w:bottom w:val="single" w:sz="4" w:space="0" w:color="auto"/>
              <w:right w:val="nil"/>
            </w:tcBorders>
            <w:shd w:val="clear" w:color="000000" w:fill="E7E6E6"/>
            <w:noWrap/>
            <w:vAlign w:val="center"/>
            <w:hideMark/>
          </w:tcPr>
          <w:p w14:paraId="363F95AC"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Londonderry</w:t>
            </w:r>
          </w:p>
        </w:tc>
        <w:tc>
          <w:tcPr>
            <w:tcW w:w="1479" w:type="pct"/>
            <w:tcBorders>
              <w:top w:val="single" w:sz="4" w:space="0" w:color="auto"/>
              <w:left w:val="nil"/>
              <w:bottom w:val="single" w:sz="4" w:space="0" w:color="auto"/>
              <w:right w:val="nil"/>
            </w:tcBorders>
            <w:shd w:val="clear" w:color="000000" w:fill="E7E6E6"/>
            <w:noWrap/>
            <w:vAlign w:val="center"/>
            <w:hideMark/>
          </w:tcPr>
          <w:p w14:paraId="405DA513"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25%</w:t>
            </w:r>
          </w:p>
        </w:tc>
        <w:tc>
          <w:tcPr>
            <w:tcW w:w="2097" w:type="pct"/>
            <w:tcBorders>
              <w:top w:val="single" w:sz="4" w:space="0" w:color="auto"/>
              <w:left w:val="nil"/>
              <w:bottom w:val="single" w:sz="4" w:space="0" w:color="auto"/>
              <w:right w:val="nil"/>
            </w:tcBorders>
            <w:shd w:val="clear" w:color="000000" w:fill="E7E6E6"/>
            <w:noWrap/>
            <w:vAlign w:val="center"/>
            <w:hideMark/>
          </w:tcPr>
          <w:p w14:paraId="6392AF9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7%</w:t>
            </w:r>
          </w:p>
        </w:tc>
      </w:tr>
      <w:tr w:rsidR="003257D9" w:rsidRPr="00C64BA4" w14:paraId="749E5F1E" w14:textId="77777777" w:rsidTr="00613983">
        <w:trPr>
          <w:trHeight w:val="300"/>
        </w:trPr>
        <w:tc>
          <w:tcPr>
            <w:tcW w:w="1423" w:type="pct"/>
            <w:tcBorders>
              <w:top w:val="nil"/>
              <w:left w:val="nil"/>
              <w:bottom w:val="nil"/>
              <w:right w:val="nil"/>
            </w:tcBorders>
            <w:shd w:val="clear" w:color="000000" w:fill="FFFFFF"/>
            <w:noWrap/>
            <w:vAlign w:val="center"/>
            <w:hideMark/>
          </w:tcPr>
          <w:p w14:paraId="3711BDC7"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lastRenderedPageBreak/>
              <w:t>Manchester</w:t>
            </w:r>
          </w:p>
        </w:tc>
        <w:tc>
          <w:tcPr>
            <w:tcW w:w="1479" w:type="pct"/>
            <w:tcBorders>
              <w:top w:val="nil"/>
              <w:left w:val="nil"/>
              <w:bottom w:val="nil"/>
              <w:right w:val="nil"/>
            </w:tcBorders>
            <w:shd w:val="clear" w:color="000000" w:fill="FFFFFF"/>
            <w:noWrap/>
            <w:vAlign w:val="center"/>
            <w:hideMark/>
          </w:tcPr>
          <w:p w14:paraId="3EAA5E59"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38%</w:t>
            </w:r>
          </w:p>
        </w:tc>
        <w:tc>
          <w:tcPr>
            <w:tcW w:w="2097" w:type="pct"/>
            <w:tcBorders>
              <w:top w:val="nil"/>
              <w:left w:val="nil"/>
              <w:bottom w:val="nil"/>
              <w:right w:val="nil"/>
            </w:tcBorders>
            <w:shd w:val="clear" w:color="000000" w:fill="FFFFFF"/>
            <w:noWrap/>
            <w:vAlign w:val="center"/>
            <w:hideMark/>
          </w:tcPr>
          <w:p w14:paraId="28F25B1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4%</w:t>
            </w:r>
          </w:p>
        </w:tc>
      </w:tr>
      <w:tr w:rsidR="003257D9" w:rsidRPr="00C64BA4" w14:paraId="138C9554" w14:textId="77777777" w:rsidTr="00613983">
        <w:trPr>
          <w:trHeight w:val="300"/>
        </w:trPr>
        <w:tc>
          <w:tcPr>
            <w:tcW w:w="1423" w:type="pct"/>
            <w:tcBorders>
              <w:top w:val="single" w:sz="4" w:space="0" w:color="auto"/>
              <w:left w:val="nil"/>
              <w:bottom w:val="single" w:sz="4" w:space="0" w:color="auto"/>
              <w:right w:val="nil"/>
            </w:tcBorders>
            <w:shd w:val="clear" w:color="000000" w:fill="E7E6E6"/>
            <w:noWrap/>
            <w:vAlign w:val="center"/>
            <w:hideMark/>
          </w:tcPr>
          <w:p w14:paraId="7AB3FE3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New Boston</w:t>
            </w:r>
          </w:p>
        </w:tc>
        <w:tc>
          <w:tcPr>
            <w:tcW w:w="1479" w:type="pct"/>
            <w:tcBorders>
              <w:top w:val="single" w:sz="4" w:space="0" w:color="auto"/>
              <w:left w:val="nil"/>
              <w:bottom w:val="single" w:sz="4" w:space="0" w:color="auto"/>
              <w:right w:val="nil"/>
            </w:tcBorders>
            <w:shd w:val="clear" w:color="000000" w:fill="E7E6E6"/>
            <w:noWrap/>
            <w:vAlign w:val="center"/>
            <w:hideMark/>
          </w:tcPr>
          <w:p w14:paraId="662BF7EA"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22%</w:t>
            </w:r>
          </w:p>
        </w:tc>
        <w:tc>
          <w:tcPr>
            <w:tcW w:w="2097" w:type="pct"/>
            <w:tcBorders>
              <w:top w:val="single" w:sz="4" w:space="0" w:color="auto"/>
              <w:left w:val="nil"/>
              <w:bottom w:val="single" w:sz="4" w:space="0" w:color="auto"/>
              <w:right w:val="nil"/>
            </w:tcBorders>
            <w:shd w:val="clear" w:color="000000" w:fill="E7E6E6"/>
            <w:noWrap/>
            <w:vAlign w:val="center"/>
            <w:hideMark/>
          </w:tcPr>
          <w:p w14:paraId="3FD2C2EB"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9%</w:t>
            </w:r>
          </w:p>
        </w:tc>
      </w:tr>
      <w:tr w:rsidR="003257D9" w:rsidRPr="00C64BA4" w14:paraId="32A64299" w14:textId="77777777" w:rsidTr="00613983">
        <w:trPr>
          <w:trHeight w:val="300"/>
        </w:trPr>
        <w:tc>
          <w:tcPr>
            <w:tcW w:w="1423" w:type="pct"/>
            <w:tcBorders>
              <w:top w:val="nil"/>
              <w:left w:val="nil"/>
              <w:bottom w:val="nil"/>
              <w:right w:val="nil"/>
            </w:tcBorders>
            <w:shd w:val="clear" w:color="000000" w:fill="FFFFFF"/>
            <w:noWrap/>
            <w:vAlign w:val="center"/>
            <w:hideMark/>
          </w:tcPr>
          <w:p w14:paraId="134976D5" w14:textId="77777777" w:rsidR="003257D9" w:rsidRPr="00C64BA4" w:rsidRDefault="003257D9" w:rsidP="00206C45">
            <w:pPr>
              <w:spacing w:after="0" w:line="300" w:lineRule="auto"/>
              <w:jc w:val="center"/>
              <w:rPr>
                <w:rFonts w:eastAsia="Times New Roman" w:cs="Calibri"/>
                <w:color w:val="000000"/>
              </w:rPr>
            </w:pPr>
            <w:proofErr w:type="spellStart"/>
            <w:r w:rsidRPr="00C64BA4">
              <w:rPr>
                <w:rFonts w:eastAsia="Times New Roman" w:cs="Calibri"/>
                <w:color w:val="000000"/>
              </w:rPr>
              <w:t>Weare</w:t>
            </w:r>
            <w:proofErr w:type="spellEnd"/>
          </w:p>
        </w:tc>
        <w:tc>
          <w:tcPr>
            <w:tcW w:w="1479" w:type="pct"/>
            <w:tcBorders>
              <w:top w:val="nil"/>
              <w:left w:val="nil"/>
              <w:bottom w:val="nil"/>
              <w:right w:val="nil"/>
            </w:tcBorders>
            <w:shd w:val="clear" w:color="000000" w:fill="FFFFFF"/>
            <w:noWrap/>
            <w:vAlign w:val="center"/>
            <w:hideMark/>
          </w:tcPr>
          <w:p w14:paraId="04608F84"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28%</w:t>
            </w:r>
          </w:p>
        </w:tc>
        <w:tc>
          <w:tcPr>
            <w:tcW w:w="2097" w:type="pct"/>
            <w:tcBorders>
              <w:top w:val="nil"/>
              <w:left w:val="nil"/>
              <w:bottom w:val="nil"/>
              <w:right w:val="nil"/>
            </w:tcBorders>
            <w:shd w:val="clear" w:color="000000" w:fill="FFFFFF"/>
            <w:noWrap/>
            <w:vAlign w:val="center"/>
            <w:hideMark/>
          </w:tcPr>
          <w:p w14:paraId="076E6F08"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15%</w:t>
            </w:r>
          </w:p>
        </w:tc>
      </w:tr>
      <w:tr w:rsidR="003257D9" w:rsidRPr="00C64BA4" w14:paraId="17A71018" w14:textId="77777777" w:rsidTr="00613983">
        <w:trPr>
          <w:trHeight w:val="300"/>
        </w:trPr>
        <w:tc>
          <w:tcPr>
            <w:tcW w:w="1423" w:type="pct"/>
            <w:tcBorders>
              <w:top w:val="single" w:sz="4" w:space="0" w:color="auto"/>
              <w:left w:val="nil"/>
              <w:bottom w:val="single" w:sz="12" w:space="0" w:color="404040" w:themeColor="text1" w:themeTint="BF"/>
              <w:right w:val="nil"/>
            </w:tcBorders>
            <w:shd w:val="clear" w:color="000000" w:fill="E7E6E6"/>
            <w:noWrap/>
            <w:vAlign w:val="center"/>
            <w:hideMark/>
          </w:tcPr>
          <w:p w14:paraId="2F55C65E"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Windham</w:t>
            </w:r>
          </w:p>
        </w:tc>
        <w:tc>
          <w:tcPr>
            <w:tcW w:w="1479" w:type="pct"/>
            <w:tcBorders>
              <w:top w:val="single" w:sz="4" w:space="0" w:color="auto"/>
              <w:left w:val="nil"/>
              <w:bottom w:val="single" w:sz="12" w:space="0" w:color="404040" w:themeColor="text1" w:themeTint="BF"/>
              <w:right w:val="nil"/>
            </w:tcBorders>
            <w:shd w:val="clear" w:color="000000" w:fill="E7E6E6"/>
            <w:noWrap/>
            <w:vAlign w:val="center"/>
            <w:hideMark/>
          </w:tcPr>
          <w:p w14:paraId="08A7D560"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26%</w:t>
            </w:r>
          </w:p>
        </w:tc>
        <w:tc>
          <w:tcPr>
            <w:tcW w:w="2097" w:type="pct"/>
            <w:tcBorders>
              <w:top w:val="single" w:sz="4" w:space="0" w:color="auto"/>
              <w:left w:val="nil"/>
              <w:bottom w:val="single" w:sz="12" w:space="0" w:color="404040" w:themeColor="text1" w:themeTint="BF"/>
              <w:right w:val="nil"/>
            </w:tcBorders>
            <w:shd w:val="clear" w:color="000000" w:fill="E7E6E6"/>
            <w:noWrap/>
            <w:vAlign w:val="center"/>
            <w:hideMark/>
          </w:tcPr>
          <w:p w14:paraId="29B17375"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11%</w:t>
            </w:r>
          </w:p>
        </w:tc>
      </w:tr>
      <w:tr w:rsidR="003257D9" w:rsidRPr="00C64BA4" w14:paraId="0EB3F432" w14:textId="77777777" w:rsidTr="00613983">
        <w:trPr>
          <w:trHeight w:val="300"/>
        </w:trPr>
        <w:tc>
          <w:tcPr>
            <w:tcW w:w="1423" w:type="pct"/>
            <w:tcBorders>
              <w:top w:val="single" w:sz="12" w:space="0" w:color="404040" w:themeColor="text1" w:themeTint="BF"/>
              <w:left w:val="nil"/>
              <w:bottom w:val="single" w:sz="12" w:space="0" w:color="404040" w:themeColor="text1" w:themeTint="BF"/>
              <w:right w:val="nil"/>
            </w:tcBorders>
            <w:shd w:val="clear" w:color="000000" w:fill="FFFFFF"/>
            <w:noWrap/>
            <w:vAlign w:val="center"/>
            <w:hideMark/>
          </w:tcPr>
          <w:p w14:paraId="7F213238"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SNHPC</w:t>
            </w:r>
          </w:p>
        </w:tc>
        <w:tc>
          <w:tcPr>
            <w:tcW w:w="1479" w:type="pct"/>
            <w:tcBorders>
              <w:top w:val="single" w:sz="12" w:space="0" w:color="404040" w:themeColor="text1" w:themeTint="BF"/>
              <w:left w:val="nil"/>
              <w:bottom w:val="single" w:sz="12" w:space="0" w:color="404040" w:themeColor="text1" w:themeTint="BF"/>
              <w:right w:val="nil"/>
            </w:tcBorders>
            <w:shd w:val="clear" w:color="000000" w:fill="FFFFFF"/>
            <w:noWrap/>
            <w:vAlign w:val="center"/>
            <w:hideMark/>
          </w:tcPr>
          <w:p w14:paraId="379095D1"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31%</w:t>
            </w:r>
          </w:p>
        </w:tc>
        <w:tc>
          <w:tcPr>
            <w:tcW w:w="2097" w:type="pct"/>
            <w:tcBorders>
              <w:top w:val="single" w:sz="12" w:space="0" w:color="404040" w:themeColor="text1" w:themeTint="BF"/>
              <w:left w:val="nil"/>
              <w:bottom w:val="single" w:sz="12" w:space="0" w:color="404040" w:themeColor="text1" w:themeTint="BF"/>
              <w:right w:val="nil"/>
            </w:tcBorders>
            <w:shd w:val="clear" w:color="000000" w:fill="FFFFFF"/>
            <w:noWrap/>
            <w:vAlign w:val="center"/>
            <w:hideMark/>
          </w:tcPr>
          <w:p w14:paraId="40D035FD"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7%</w:t>
            </w:r>
          </w:p>
        </w:tc>
      </w:tr>
      <w:tr w:rsidR="003257D9" w:rsidRPr="00C64BA4" w14:paraId="4E5B82E6" w14:textId="77777777" w:rsidTr="00613983">
        <w:trPr>
          <w:trHeight w:val="300"/>
        </w:trPr>
        <w:tc>
          <w:tcPr>
            <w:tcW w:w="1423" w:type="pct"/>
            <w:tcBorders>
              <w:top w:val="single" w:sz="12" w:space="0" w:color="404040" w:themeColor="text1" w:themeTint="BF"/>
              <w:left w:val="nil"/>
              <w:bottom w:val="nil"/>
              <w:right w:val="nil"/>
            </w:tcBorders>
            <w:shd w:val="clear" w:color="000000" w:fill="E7E6E6"/>
            <w:noWrap/>
            <w:vAlign w:val="center"/>
            <w:hideMark/>
          </w:tcPr>
          <w:p w14:paraId="28ABC801"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NH</w:t>
            </w:r>
          </w:p>
        </w:tc>
        <w:tc>
          <w:tcPr>
            <w:tcW w:w="1479" w:type="pct"/>
            <w:tcBorders>
              <w:top w:val="single" w:sz="12" w:space="0" w:color="404040" w:themeColor="text1" w:themeTint="BF"/>
              <w:left w:val="nil"/>
              <w:bottom w:val="nil"/>
              <w:right w:val="nil"/>
            </w:tcBorders>
            <w:shd w:val="clear" w:color="000000" w:fill="E7E6E6"/>
            <w:noWrap/>
            <w:vAlign w:val="center"/>
            <w:hideMark/>
          </w:tcPr>
          <w:p w14:paraId="61249DC9"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31%</w:t>
            </w:r>
          </w:p>
        </w:tc>
        <w:tc>
          <w:tcPr>
            <w:tcW w:w="2097" w:type="pct"/>
            <w:tcBorders>
              <w:top w:val="single" w:sz="12" w:space="0" w:color="404040" w:themeColor="text1" w:themeTint="BF"/>
              <w:left w:val="nil"/>
              <w:bottom w:val="nil"/>
              <w:right w:val="nil"/>
            </w:tcBorders>
            <w:shd w:val="clear" w:color="000000" w:fill="E7E6E6"/>
            <w:noWrap/>
            <w:vAlign w:val="center"/>
            <w:hideMark/>
          </w:tcPr>
          <w:p w14:paraId="54C6168A" w14:textId="77777777" w:rsidR="003257D9" w:rsidRPr="00C64BA4" w:rsidRDefault="003257D9" w:rsidP="00206C45">
            <w:pPr>
              <w:spacing w:after="0" w:line="300" w:lineRule="auto"/>
              <w:jc w:val="center"/>
              <w:rPr>
                <w:rFonts w:eastAsia="Times New Roman" w:cs="Calibri"/>
                <w:color w:val="000000"/>
              </w:rPr>
            </w:pPr>
            <w:r w:rsidRPr="00C64BA4">
              <w:rPr>
                <w:rFonts w:eastAsia="Times New Roman" w:cs="Calibri"/>
                <w:color w:val="000000"/>
              </w:rPr>
              <w:t>7%</w:t>
            </w:r>
          </w:p>
        </w:tc>
      </w:tr>
      <w:tr w:rsidR="003257D9" w:rsidRPr="00C64BA4" w14:paraId="16199CDD" w14:textId="77777777" w:rsidTr="00613983">
        <w:trPr>
          <w:trHeight w:val="80"/>
        </w:trPr>
        <w:tc>
          <w:tcPr>
            <w:tcW w:w="5000" w:type="pct"/>
            <w:gridSpan w:val="3"/>
            <w:tcBorders>
              <w:top w:val="nil"/>
              <w:left w:val="nil"/>
              <w:bottom w:val="nil"/>
              <w:right w:val="nil"/>
            </w:tcBorders>
            <w:shd w:val="clear" w:color="000000" w:fill="FFFFFF"/>
            <w:noWrap/>
            <w:vAlign w:val="center"/>
            <w:hideMark/>
          </w:tcPr>
          <w:p w14:paraId="27B9986F" w14:textId="77777777" w:rsidR="003257D9" w:rsidRPr="00C64BA4" w:rsidRDefault="003257D9"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5-Year American Community Survey</w:t>
            </w:r>
          </w:p>
        </w:tc>
      </w:tr>
      <w:tr w:rsidR="003257D9" w:rsidRPr="00C64BA4" w14:paraId="6FD15FDA" w14:textId="77777777" w:rsidTr="00613983">
        <w:trPr>
          <w:trHeight w:val="153"/>
        </w:trPr>
        <w:tc>
          <w:tcPr>
            <w:tcW w:w="5000" w:type="pct"/>
            <w:gridSpan w:val="3"/>
            <w:tcBorders>
              <w:top w:val="nil"/>
              <w:left w:val="nil"/>
              <w:bottom w:val="nil"/>
              <w:right w:val="nil"/>
            </w:tcBorders>
            <w:shd w:val="clear" w:color="000000" w:fill="FFFFFF"/>
            <w:noWrap/>
            <w:vAlign w:val="center"/>
            <w:hideMark/>
          </w:tcPr>
          <w:p w14:paraId="6FA38926" w14:textId="77777777" w:rsidR="003257D9" w:rsidRPr="00C64BA4" w:rsidRDefault="003257D9"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US Census Bureau</w:t>
            </w:r>
          </w:p>
        </w:tc>
      </w:tr>
      <w:bookmarkEnd w:id="19"/>
    </w:tbl>
    <w:p w14:paraId="7FAD670B" w14:textId="77777777" w:rsidR="003257D9" w:rsidRPr="00C64BA4" w:rsidRDefault="003257D9" w:rsidP="00206C45">
      <w:pPr>
        <w:pStyle w:val="paragraph"/>
        <w:spacing w:before="0" w:beforeAutospacing="0" w:after="120" w:afterAutospacing="0" w:line="300" w:lineRule="auto"/>
        <w:jc w:val="both"/>
        <w:textAlignment w:val="baseline"/>
        <w:rPr>
          <w:rStyle w:val="eop"/>
          <w:rFonts w:asciiTheme="minorHAnsi" w:hAnsiTheme="minorHAnsi" w:cs="Segoe UI"/>
          <w:sz w:val="22"/>
          <w:szCs w:val="22"/>
        </w:rPr>
      </w:pPr>
    </w:p>
    <w:p w14:paraId="3A5703A3" w14:textId="77777777" w:rsidR="003257D9" w:rsidRPr="00C64BA4" w:rsidRDefault="003257D9" w:rsidP="004E582A">
      <w:pPr>
        <w:pStyle w:val="ListParagraph"/>
        <w:keepNext/>
        <w:keepLines/>
        <w:numPr>
          <w:ilvl w:val="0"/>
          <w:numId w:val="14"/>
        </w:numPr>
        <w:spacing w:after="120" w:line="300" w:lineRule="auto"/>
        <w:jc w:val="both"/>
        <w:textAlignment w:val="baseline"/>
        <w:rPr>
          <w:rStyle w:val="eop"/>
          <w:rFonts w:eastAsia="Times New Roman" w:cs="Segoe UI"/>
        </w:rPr>
      </w:pPr>
      <w:r w:rsidRPr="00C64BA4">
        <w:rPr>
          <w:rStyle w:val="eop"/>
          <w:rFonts w:cs="Segoe UI"/>
        </w:rPr>
        <w:t xml:space="preserve">Regional and Local Challenges: </w:t>
      </w:r>
    </w:p>
    <w:p w14:paraId="37335AC2" w14:textId="77777777" w:rsidR="003257D9" w:rsidRPr="00C64BA4" w:rsidRDefault="003257D9" w:rsidP="004E582A">
      <w:pPr>
        <w:pStyle w:val="paragraph"/>
        <w:keepNext/>
        <w:keepLines/>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Housing demand, housing need, </w:t>
      </w:r>
      <w:proofErr w:type="gramStart"/>
      <w:r w:rsidRPr="00C64BA4">
        <w:rPr>
          <w:rStyle w:val="eop"/>
          <w:rFonts w:asciiTheme="minorHAnsi" w:hAnsiTheme="minorHAnsi" w:cs="Segoe UI"/>
          <w:sz w:val="22"/>
          <w:szCs w:val="22"/>
        </w:rPr>
        <w:t>affordability</w:t>
      </w:r>
      <w:proofErr w:type="gramEnd"/>
      <w:r w:rsidRPr="00C64BA4">
        <w:rPr>
          <w:rStyle w:val="eop"/>
          <w:rFonts w:asciiTheme="minorHAnsi" w:hAnsiTheme="minorHAnsi" w:cs="Segoe UI"/>
          <w:sz w:val="22"/>
          <w:szCs w:val="22"/>
        </w:rPr>
        <w:t xml:space="preserve"> and housing development</w:t>
      </w:r>
    </w:p>
    <w:p w14:paraId="482D9673" w14:textId="556859B1" w:rsidR="003257D9" w:rsidRPr="00C64BA4" w:rsidRDefault="003257D9" w:rsidP="004E582A">
      <w:pPr>
        <w:pStyle w:val="paragraph"/>
        <w:keepNext/>
        <w:keepLines/>
        <w:numPr>
          <w:ilvl w:val="2"/>
          <w:numId w:val="14"/>
        </w:numPr>
        <w:spacing w:before="0" w:beforeAutospacing="0" w:after="120" w:afterAutospacing="0" w:line="300" w:lineRule="auto"/>
        <w:jc w:val="both"/>
        <w:textAlignment w:val="baseline"/>
        <w:rPr>
          <w:rFonts w:asciiTheme="minorHAnsi" w:hAnsiTheme="minorHAnsi" w:cs="Segoe UI"/>
          <w:sz w:val="20"/>
          <w:szCs w:val="20"/>
        </w:rPr>
      </w:pPr>
      <w:r w:rsidRPr="00C64BA4">
        <w:rPr>
          <w:rFonts w:asciiTheme="minorHAnsi" w:hAnsiTheme="minorHAnsi" w:cs="Segoe UI"/>
          <w:sz w:val="22"/>
          <w:szCs w:val="22"/>
        </w:rPr>
        <w:t xml:space="preserve">The issue of housing affordability is central to this report.  </w:t>
      </w:r>
      <w:r w:rsidR="003F4C73">
        <w:rPr>
          <w:rFonts w:asciiTheme="minorHAnsi" w:hAnsiTheme="minorHAnsi" w:cs="Segoe UI"/>
          <w:sz w:val="22"/>
          <w:szCs w:val="22"/>
        </w:rPr>
        <w:t xml:space="preserve">Wages have not kept up with the cost of housing.  </w:t>
      </w:r>
      <w:r w:rsidRPr="00C64BA4">
        <w:rPr>
          <w:rFonts w:asciiTheme="minorHAnsi" w:hAnsiTheme="minorHAnsi" w:cs="Segoe UI"/>
          <w:sz w:val="22"/>
          <w:szCs w:val="22"/>
        </w:rPr>
        <w:t xml:space="preserve">The Southern NH region, as well as the entire state, has been and continues to struggle against a severe housing shortage.  </w:t>
      </w:r>
      <w:r w:rsidR="003F4C73">
        <w:rPr>
          <w:rFonts w:asciiTheme="minorHAnsi" w:hAnsiTheme="minorHAnsi" w:cs="Segoe UI"/>
          <w:sz w:val="22"/>
          <w:szCs w:val="22"/>
        </w:rPr>
        <w:t>Wage limitations and housing</w:t>
      </w:r>
      <w:r w:rsidRPr="00C64BA4">
        <w:rPr>
          <w:rFonts w:asciiTheme="minorHAnsi" w:hAnsiTheme="minorHAnsi" w:cs="Segoe UI"/>
          <w:sz w:val="22"/>
          <w:szCs w:val="22"/>
        </w:rPr>
        <w:t xml:space="preserve"> shortage</w:t>
      </w:r>
      <w:r w:rsidR="003F4C73">
        <w:rPr>
          <w:rFonts w:asciiTheme="minorHAnsi" w:hAnsiTheme="minorHAnsi" w:cs="Segoe UI"/>
          <w:sz w:val="22"/>
          <w:szCs w:val="22"/>
        </w:rPr>
        <w:t>s</w:t>
      </w:r>
      <w:r w:rsidRPr="00C64BA4">
        <w:rPr>
          <w:rFonts w:asciiTheme="minorHAnsi" w:hAnsiTheme="minorHAnsi" w:cs="Segoe UI"/>
          <w:sz w:val="22"/>
          <w:szCs w:val="22"/>
        </w:rPr>
        <w:t xml:space="preserve">, combined with construction challenges related to the COVID-19 pandemic, has contributed to </w:t>
      </w:r>
      <w:r w:rsidR="003F4C73">
        <w:rPr>
          <w:rFonts w:asciiTheme="minorHAnsi" w:hAnsiTheme="minorHAnsi" w:cs="Segoe UI"/>
          <w:sz w:val="22"/>
          <w:szCs w:val="22"/>
        </w:rPr>
        <w:t xml:space="preserve">the housing </w:t>
      </w:r>
      <w:proofErr w:type="gramStart"/>
      <w:r w:rsidR="003F4C73">
        <w:rPr>
          <w:rFonts w:asciiTheme="minorHAnsi" w:hAnsiTheme="minorHAnsi" w:cs="Segoe UI"/>
          <w:sz w:val="22"/>
          <w:szCs w:val="22"/>
        </w:rPr>
        <w:t>crisis</w:t>
      </w:r>
      <w:proofErr w:type="gramEnd"/>
      <w:r w:rsidR="003F4C73">
        <w:rPr>
          <w:rFonts w:asciiTheme="minorHAnsi" w:hAnsiTheme="minorHAnsi" w:cs="Segoe UI"/>
          <w:sz w:val="22"/>
          <w:szCs w:val="22"/>
        </w:rPr>
        <w:t xml:space="preserve"> and </w:t>
      </w:r>
      <w:r w:rsidRPr="00C64BA4">
        <w:rPr>
          <w:rFonts w:asciiTheme="minorHAnsi" w:hAnsiTheme="minorHAnsi" w:cs="Segoe UI"/>
          <w:sz w:val="22"/>
          <w:szCs w:val="22"/>
        </w:rPr>
        <w:t xml:space="preserve">rising costs of home ownership and rentals. </w:t>
      </w:r>
    </w:p>
    <w:p w14:paraId="17F188AE" w14:textId="5366F511" w:rsidR="003257D9" w:rsidRPr="00C64BA4" w:rsidRDefault="00776D16" w:rsidP="00206C45">
      <w:pPr>
        <w:pStyle w:val="paragraph"/>
        <w:numPr>
          <w:ilvl w:val="2"/>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T</w:t>
      </w:r>
      <w:r w:rsidR="003257D9" w:rsidRPr="00C64BA4">
        <w:rPr>
          <w:rStyle w:val="eop"/>
          <w:rFonts w:asciiTheme="minorHAnsi" w:hAnsiTheme="minorHAnsi" w:cs="Segoe UI"/>
          <w:sz w:val="22"/>
          <w:szCs w:val="22"/>
        </w:rPr>
        <w:t xml:space="preserve">he demand for all types of housing, </w:t>
      </w:r>
      <w:r w:rsidR="002D75AB">
        <w:rPr>
          <w:rStyle w:val="eop"/>
          <w:rFonts w:asciiTheme="minorHAnsi" w:hAnsiTheme="minorHAnsi" w:cs="Segoe UI"/>
          <w:sz w:val="22"/>
          <w:szCs w:val="22"/>
        </w:rPr>
        <w:t xml:space="preserve">as well as </w:t>
      </w:r>
      <w:r w:rsidR="003257D9" w:rsidRPr="00C64BA4">
        <w:rPr>
          <w:rStyle w:val="eop"/>
          <w:rFonts w:asciiTheme="minorHAnsi" w:hAnsiTheme="minorHAnsi" w:cs="Segoe UI"/>
          <w:sz w:val="22"/>
          <w:szCs w:val="22"/>
        </w:rPr>
        <w:t>a robust range in the cost of that housing is not being met. The list of issues and roadblocks are long, and the pandemic only amplified and added to these impacts on costs. Financing challenges, labor shortages, zoning restrictions, and other long-standing issues have all contributed to a severe housing shortage and its related affordability.</w:t>
      </w:r>
    </w:p>
    <w:p w14:paraId="281538F4" w14:textId="04C29C22" w:rsidR="003257D9" w:rsidRPr="00C64BA4" w:rsidRDefault="003257D9" w:rsidP="00206C45">
      <w:pPr>
        <w:pStyle w:val="paragraph"/>
        <w:numPr>
          <w:ilvl w:val="2"/>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Housing needs are changing as the characteristics of the population in the region are changing. Existing and new housing units: the quantity, styles and even the size of homes are not meeting the changing needs of individuals and families.  The stories are common: young adults wanting to find work in the region, new families who are just beginning their relationship with New Hampshire and even with the country, or longtime residents hoping to downsize and stay in their community: there are few options for any of them.  Although many families enjoy a single-family home, more people – both younger and older</w:t>
      </w:r>
      <w:r w:rsidR="00427C0B">
        <w:rPr>
          <w:rStyle w:val="eop"/>
          <w:rFonts w:asciiTheme="minorHAnsi" w:hAnsiTheme="minorHAnsi" w:cs="Segoe UI"/>
          <w:sz w:val="22"/>
          <w:szCs w:val="22"/>
        </w:rPr>
        <w:t xml:space="preserve">-- </w:t>
      </w:r>
      <w:r w:rsidRPr="00C64BA4">
        <w:rPr>
          <w:rStyle w:val="eop"/>
          <w:rFonts w:asciiTheme="minorHAnsi" w:hAnsiTheme="minorHAnsi" w:cs="Segoe UI"/>
          <w:sz w:val="22"/>
          <w:szCs w:val="22"/>
        </w:rPr>
        <w:t>are looking for maintenance-free housing styles.  Modest and affordable cottage or village style housing units are difficult to find yet are extremely desirable.</w:t>
      </w:r>
    </w:p>
    <w:p w14:paraId="5136B5E4" w14:textId="2D7A5DC8" w:rsidR="003257D9" w:rsidRPr="00C64BA4" w:rsidRDefault="003257D9" w:rsidP="00206C45">
      <w:pPr>
        <w:pStyle w:val="paragraph"/>
        <w:numPr>
          <w:ilvl w:val="2"/>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Rising costs and labor shortages related to construction have contributed to the lack of building.  Again, the pandemic has had a tremendous effect on all these costs and shortages.  Related to these costs are the risks and costs associated with the permitting process.  Talk to a developer and often the story is the same: process delays, regulatory roadblocks, nay-saying abutters, and negative attitudes are </w:t>
      </w:r>
      <w:r w:rsidRPr="00C64BA4">
        <w:rPr>
          <w:rStyle w:val="eop"/>
          <w:rFonts w:asciiTheme="minorHAnsi" w:hAnsiTheme="minorHAnsi" w:cs="Segoe UI"/>
          <w:sz w:val="22"/>
          <w:szCs w:val="22"/>
        </w:rPr>
        <w:lastRenderedPageBreak/>
        <w:t>among the many challenges</w:t>
      </w:r>
      <w:r w:rsidR="002D75AB">
        <w:rPr>
          <w:rStyle w:val="eop"/>
          <w:rFonts w:asciiTheme="minorHAnsi" w:hAnsiTheme="minorHAnsi" w:cs="Segoe UI"/>
          <w:sz w:val="22"/>
          <w:szCs w:val="22"/>
        </w:rPr>
        <w:t xml:space="preserve"> they face</w:t>
      </w:r>
      <w:r w:rsidRPr="00C64BA4">
        <w:rPr>
          <w:rStyle w:val="eop"/>
          <w:rFonts w:asciiTheme="minorHAnsi" w:hAnsiTheme="minorHAnsi" w:cs="Segoe UI"/>
          <w:sz w:val="22"/>
          <w:szCs w:val="22"/>
        </w:rPr>
        <w:t>. Some developers are reluctant to take on the risks of creating anything except single family homes on large lots.</w:t>
      </w:r>
    </w:p>
    <w:p w14:paraId="197B7DF1" w14:textId="12385CC4" w:rsidR="003257D9" w:rsidRPr="00C64BA4" w:rsidRDefault="003257D9" w:rsidP="00206C45">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Community values, land use boards, and guiding growth</w:t>
      </w:r>
    </w:p>
    <w:p w14:paraId="319B3C20" w14:textId="1A6E6838" w:rsidR="003257D9" w:rsidRPr="00C64BA4" w:rsidRDefault="003257D9" w:rsidP="00206C45">
      <w:pPr>
        <w:pStyle w:val="paragraph"/>
        <w:spacing w:before="0" w:beforeAutospacing="0" w:after="120" w:afterAutospacing="0" w:line="300" w:lineRule="auto"/>
        <w:ind w:left="1440"/>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Housing development often raises concerns regardless of the type of housing.  Single family, cluster</w:t>
      </w:r>
      <w:r w:rsidR="00427C0B">
        <w:rPr>
          <w:rStyle w:val="eop"/>
          <w:rFonts w:asciiTheme="minorHAnsi" w:hAnsiTheme="minorHAnsi" w:cs="Segoe UI"/>
          <w:sz w:val="22"/>
          <w:szCs w:val="22"/>
        </w:rPr>
        <w:t>-</w:t>
      </w:r>
      <w:r w:rsidRPr="00C64BA4">
        <w:rPr>
          <w:rStyle w:val="eop"/>
          <w:rFonts w:asciiTheme="minorHAnsi" w:hAnsiTheme="minorHAnsi" w:cs="Segoe UI"/>
          <w:sz w:val="22"/>
          <w:szCs w:val="22"/>
        </w:rPr>
        <w:t xml:space="preserve">style housing, duplexes, and especially multi-family housing applications all can trigger a neighborhood or even </w:t>
      </w:r>
      <w:r w:rsidR="00427C0B">
        <w:rPr>
          <w:rStyle w:val="eop"/>
          <w:rFonts w:asciiTheme="minorHAnsi" w:hAnsiTheme="minorHAnsi" w:cs="Segoe UI"/>
          <w:sz w:val="22"/>
          <w:szCs w:val="22"/>
        </w:rPr>
        <w:t>a</w:t>
      </w:r>
      <w:r w:rsidR="00427C0B" w:rsidRPr="00C64BA4">
        <w:rPr>
          <w:rStyle w:val="eop"/>
          <w:rFonts w:asciiTheme="minorHAnsi" w:hAnsiTheme="minorHAnsi" w:cs="Segoe UI"/>
          <w:sz w:val="22"/>
          <w:szCs w:val="22"/>
        </w:rPr>
        <w:t xml:space="preserve"> </w:t>
      </w:r>
      <w:r w:rsidRPr="00C64BA4">
        <w:rPr>
          <w:rStyle w:val="eop"/>
          <w:rFonts w:asciiTheme="minorHAnsi" w:hAnsiTheme="minorHAnsi" w:cs="Segoe UI"/>
          <w:sz w:val="22"/>
          <w:szCs w:val="22"/>
        </w:rPr>
        <w:t xml:space="preserve">community in rallying against </w:t>
      </w:r>
      <w:r w:rsidR="00646FBF">
        <w:rPr>
          <w:rStyle w:val="eop"/>
          <w:rFonts w:asciiTheme="minorHAnsi" w:hAnsiTheme="minorHAnsi" w:cs="Segoe UI"/>
          <w:sz w:val="22"/>
          <w:szCs w:val="22"/>
        </w:rPr>
        <w:t>new development</w:t>
      </w:r>
      <w:r w:rsidRPr="00C64BA4">
        <w:rPr>
          <w:rStyle w:val="eop"/>
          <w:rFonts w:asciiTheme="minorHAnsi" w:hAnsiTheme="minorHAnsi" w:cs="Segoe UI"/>
          <w:sz w:val="22"/>
          <w:szCs w:val="22"/>
        </w:rPr>
        <w:t xml:space="preserve">. </w:t>
      </w:r>
    </w:p>
    <w:p w14:paraId="2B5E6C98" w14:textId="3C73FCB1" w:rsidR="003257D9" w:rsidRPr="00C64BA4" w:rsidRDefault="003257D9" w:rsidP="001B1AD8">
      <w:pPr>
        <w:pStyle w:val="paragraph"/>
        <w:spacing w:before="0" w:beforeAutospacing="0" w:after="120" w:afterAutospacing="0" w:line="300" w:lineRule="auto"/>
        <w:ind w:left="1440"/>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Regardless of community size, one of the common </w:t>
      </w:r>
      <w:r w:rsidR="00646FBF">
        <w:rPr>
          <w:rStyle w:val="eop"/>
          <w:rFonts w:asciiTheme="minorHAnsi" w:hAnsiTheme="minorHAnsi" w:cs="Segoe UI"/>
          <w:sz w:val="22"/>
          <w:szCs w:val="22"/>
        </w:rPr>
        <w:t>community goals discussed during Master Plan updates is</w:t>
      </w:r>
      <w:r w:rsidRPr="00C64BA4">
        <w:rPr>
          <w:rStyle w:val="eop"/>
          <w:rFonts w:asciiTheme="minorHAnsi" w:hAnsiTheme="minorHAnsi" w:cs="Segoe UI"/>
          <w:sz w:val="22"/>
          <w:szCs w:val="22"/>
        </w:rPr>
        <w:t xml:space="preserve"> the desire to </w:t>
      </w:r>
      <w:r w:rsidR="00646FBF">
        <w:rPr>
          <w:rStyle w:val="eop"/>
          <w:rFonts w:asciiTheme="minorHAnsi" w:hAnsiTheme="minorHAnsi" w:cs="Segoe UI"/>
          <w:sz w:val="22"/>
          <w:szCs w:val="22"/>
        </w:rPr>
        <w:t>ensure</w:t>
      </w:r>
      <w:r w:rsidRPr="00C64BA4">
        <w:rPr>
          <w:rStyle w:val="eop"/>
          <w:rFonts w:asciiTheme="minorHAnsi" w:hAnsiTheme="minorHAnsi" w:cs="Segoe UI"/>
          <w:sz w:val="22"/>
          <w:szCs w:val="22"/>
        </w:rPr>
        <w:t xml:space="preserve"> community character</w:t>
      </w:r>
      <w:r w:rsidR="00646FBF">
        <w:rPr>
          <w:rStyle w:val="eop"/>
          <w:rFonts w:asciiTheme="minorHAnsi" w:hAnsiTheme="minorHAnsi" w:cs="Segoe UI"/>
          <w:sz w:val="22"/>
          <w:szCs w:val="22"/>
        </w:rPr>
        <w:t xml:space="preserve"> is protected</w:t>
      </w:r>
      <w:r w:rsidRPr="00C64BA4">
        <w:rPr>
          <w:rStyle w:val="eop"/>
          <w:rFonts w:asciiTheme="minorHAnsi" w:hAnsiTheme="minorHAnsi" w:cs="Segoe UI"/>
          <w:sz w:val="22"/>
          <w:szCs w:val="22"/>
        </w:rPr>
        <w:t xml:space="preserve">.  </w:t>
      </w:r>
      <w:r w:rsidR="00646FBF">
        <w:rPr>
          <w:rStyle w:val="eop"/>
          <w:rFonts w:asciiTheme="minorHAnsi" w:hAnsiTheme="minorHAnsi" w:cs="Segoe UI"/>
          <w:sz w:val="22"/>
          <w:szCs w:val="22"/>
        </w:rPr>
        <w:t xml:space="preserve">Understanding what is meant by community character may be a key to defining how a community may want to grow.  </w:t>
      </w:r>
      <w:r w:rsidRPr="00C64BA4">
        <w:rPr>
          <w:rStyle w:val="eop"/>
          <w:rFonts w:asciiTheme="minorHAnsi" w:hAnsiTheme="minorHAnsi" w:cs="Segoe UI"/>
          <w:sz w:val="22"/>
          <w:szCs w:val="22"/>
        </w:rPr>
        <w:t xml:space="preserve">Some may </w:t>
      </w:r>
      <w:r w:rsidR="00646FBF">
        <w:rPr>
          <w:rStyle w:val="eop"/>
          <w:rFonts w:asciiTheme="minorHAnsi" w:hAnsiTheme="minorHAnsi" w:cs="Segoe UI"/>
          <w:sz w:val="22"/>
          <w:szCs w:val="22"/>
        </w:rPr>
        <w:t>be referring to the community’s</w:t>
      </w:r>
      <w:r w:rsidRPr="00C64BA4">
        <w:rPr>
          <w:rStyle w:val="eop"/>
          <w:rFonts w:asciiTheme="minorHAnsi" w:hAnsiTheme="minorHAnsi" w:cs="Segoe UI"/>
          <w:sz w:val="22"/>
          <w:szCs w:val="22"/>
        </w:rPr>
        <w:t xml:space="preserve"> aesthetics,  </w:t>
      </w:r>
      <w:r w:rsidR="00646FBF">
        <w:rPr>
          <w:rStyle w:val="eop"/>
          <w:rFonts w:asciiTheme="minorHAnsi" w:hAnsiTheme="minorHAnsi" w:cs="Segoe UI"/>
          <w:sz w:val="22"/>
          <w:szCs w:val="22"/>
        </w:rPr>
        <w:t xml:space="preserve">charm, or </w:t>
      </w:r>
      <w:r w:rsidRPr="00C64BA4">
        <w:rPr>
          <w:rStyle w:val="eop"/>
          <w:rFonts w:asciiTheme="minorHAnsi" w:hAnsiTheme="minorHAnsi" w:cs="Segoe UI"/>
          <w:sz w:val="22"/>
          <w:szCs w:val="22"/>
        </w:rPr>
        <w:t xml:space="preserve">way of life.  </w:t>
      </w:r>
      <w:r w:rsidR="00646FBF">
        <w:rPr>
          <w:rStyle w:val="eop"/>
          <w:rFonts w:asciiTheme="minorHAnsi" w:hAnsiTheme="minorHAnsi" w:cs="Segoe UI"/>
          <w:sz w:val="22"/>
          <w:szCs w:val="22"/>
        </w:rPr>
        <w:t xml:space="preserve">If understood, community character and </w:t>
      </w:r>
      <w:r w:rsidRPr="00C64BA4">
        <w:rPr>
          <w:rStyle w:val="eop"/>
          <w:rFonts w:asciiTheme="minorHAnsi" w:hAnsiTheme="minorHAnsi" w:cs="Segoe UI"/>
          <w:sz w:val="22"/>
          <w:szCs w:val="22"/>
        </w:rPr>
        <w:t xml:space="preserve">growth </w:t>
      </w:r>
      <w:r w:rsidR="00646FBF">
        <w:rPr>
          <w:rStyle w:val="eop"/>
          <w:rFonts w:asciiTheme="minorHAnsi" w:hAnsiTheme="minorHAnsi" w:cs="Segoe UI"/>
          <w:sz w:val="22"/>
          <w:szCs w:val="22"/>
        </w:rPr>
        <w:t>can</w:t>
      </w:r>
      <w:r w:rsidRPr="00C64BA4">
        <w:rPr>
          <w:rStyle w:val="eop"/>
          <w:rFonts w:asciiTheme="minorHAnsi" w:hAnsiTheme="minorHAnsi" w:cs="Segoe UI"/>
          <w:sz w:val="22"/>
          <w:szCs w:val="22"/>
        </w:rPr>
        <w:t xml:space="preserve"> be </w:t>
      </w:r>
      <w:r w:rsidR="00646FBF">
        <w:rPr>
          <w:rStyle w:val="eop"/>
          <w:rFonts w:asciiTheme="minorHAnsi" w:hAnsiTheme="minorHAnsi" w:cs="Segoe UI"/>
          <w:sz w:val="22"/>
          <w:szCs w:val="22"/>
        </w:rPr>
        <w:t>balanced</w:t>
      </w:r>
      <w:r w:rsidRPr="00C64BA4">
        <w:rPr>
          <w:rStyle w:val="eop"/>
          <w:rFonts w:asciiTheme="minorHAnsi" w:hAnsiTheme="minorHAnsi" w:cs="Segoe UI"/>
          <w:sz w:val="22"/>
          <w:szCs w:val="22"/>
        </w:rPr>
        <w:t xml:space="preserve"> b</w:t>
      </w:r>
      <w:r w:rsidR="00646FBF">
        <w:rPr>
          <w:rStyle w:val="eop"/>
          <w:rFonts w:asciiTheme="minorHAnsi" w:hAnsiTheme="minorHAnsi" w:cs="Segoe UI"/>
          <w:sz w:val="22"/>
          <w:szCs w:val="22"/>
        </w:rPr>
        <w:t>y a guiding vision</w:t>
      </w:r>
      <w:r w:rsidR="004403FB">
        <w:rPr>
          <w:rStyle w:val="eop"/>
          <w:rFonts w:asciiTheme="minorHAnsi" w:hAnsiTheme="minorHAnsi" w:cs="Segoe UI"/>
          <w:sz w:val="22"/>
          <w:szCs w:val="22"/>
        </w:rPr>
        <w:t xml:space="preserve"> and complimentary</w:t>
      </w:r>
      <w:r w:rsidRPr="00C64BA4">
        <w:rPr>
          <w:rStyle w:val="eop"/>
          <w:rFonts w:asciiTheme="minorHAnsi" w:hAnsiTheme="minorHAnsi" w:cs="Segoe UI"/>
          <w:sz w:val="22"/>
          <w:szCs w:val="22"/>
        </w:rPr>
        <w:t xml:space="preserve"> land use regulations. </w:t>
      </w:r>
    </w:p>
    <w:p w14:paraId="6078DC4F" w14:textId="2075246E" w:rsidR="003257D9" w:rsidRPr="00C64BA4" w:rsidRDefault="003257D9" w:rsidP="00206C45">
      <w:pPr>
        <w:pStyle w:val="paragraph"/>
        <w:spacing w:before="0" w:beforeAutospacing="0" w:after="120" w:afterAutospacing="0" w:line="300" w:lineRule="auto"/>
        <w:ind w:left="1440"/>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Land use boards have the ability to guide and to an extent determine housing styles, designs, density, and even amenities. Land use regulations determined by planning boards need to embrace community character, recognize housing need, and consider community growth. How to balance these key elements is the challenge planners and land use boards face.  </w:t>
      </w:r>
    </w:p>
    <w:p w14:paraId="17A89B6B" w14:textId="6A64BBE1" w:rsidR="003257D9" w:rsidRPr="00C64BA4" w:rsidRDefault="003257D9" w:rsidP="00206C45">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Resources and Education:</w:t>
      </w:r>
    </w:p>
    <w:p w14:paraId="3A5F0DBF" w14:textId="07DF1175" w:rsidR="003257D9" w:rsidRDefault="003257D9" w:rsidP="00206C45">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One critical component to planner and land use board success is ensuring state and regional support for educational opportunities, resources and assistance.  With these tools, planners and land use boards can evaluate strengths and identify weakness such as updating their regulations, understanding their responsibilities, and meeting the challenges they face with the changing demands in housing.  </w:t>
      </w:r>
    </w:p>
    <w:p w14:paraId="76CD0392" w14:textId="244AB80E" w:rsidR="00074E18" w:rsidRPr="00C64BA4" w:rsidRDefault="00074E18" w:rsidP="00E75682">
      <w:pPr>
        <w:pStyle w:val="Heading2"/>
        <w:rPr>
          <w:rStyle w:val="eop"/>
          <w:rFonts w:cs="Segoe UI"/>
          <w:sz w:val="22"/>
          <w:szCs w:val="22"/>
        </w:rPr>
      </w:pPr>
      <w:bookmarkStart w:id="20" w:name="_Toc128137938"/>
      <w:r w:rsidRPr="00C64BA4">
        <w:rPr>
          <w:rStyle w:val="eop"/>
          <w:rFonts w:cs="Segoe UI"/>
          <w:sz w:val="22"/>
          <w:szCs w:val="22"/>
        </w:rPr>
        <w:t>Recommendations</w:t>
      </w:r>
      <w:bookmarkEnd w:id="20"/>
    </w:p>
    <w:p w14:paraId="04F1C949" w14:textId="6183C3CE" w:rsidR="00074E18" w:rsidRDefault="00A440B4" w:rsidP="00074E18">
      <w:pPr>
        <w:pStyle w:val="paragraph"/>
        <w:spacing w:before="0" w:beforeAutospacing="0" w:after="120" w:afterAutospacing="0" w:line="300" w:lineRule="auto"/>
        <w:jc w:val="both"/>
        <w:textAlignment w:val="baseline"/>
        <w:rPr>
          <w:rStyle w:val="eop"/>
          <w:rFonts w:asciiTheme="minorHAnsi" w:hAnsiTheme="minorHAnsi" w:cs="Segoe UI"/>
          <w:sz w:val="22"/>
          <w:szCs w:val="22"/>
        </w:rPr>
      </w:pPr>
      <w:r>
        <w:rPr>
          <w:rFonts w:asciiTheme="minorHAnsi" w:hAnsiTheme="minorHAnsi" w:cs="Segoe UI"/>
          <w:noProof/>
          <w:sz w:val="22"/>
          <w:szCs w:val="22"/>
        </w:rPr>
        <w:drawing>
          <wp:anchor distT="182880" distB="182880" distL="182880" distR="182880" simplePos="0" relativeHeight="251713536" behindDoc="0" locked="0" layoutInCell="1" allowOverlap="0" wp14:anchorId="2C0B8D96" wp14:editId="062CCF55">
            <wp:simplePos x="0" y="0"/>
            <wp:positionH relativeFrom="margin">
              <wp:posOffset>3917315</wp:posOffset>
            </wp:positionH>
            <wp:positionV relativeFrom="paragraph">
              <wp:posOffset>58946</wp:posOffset>
            </wp:positionV>
            <wp:extent cx="2026285" cy="1353185"/>
            <wp:effectExtent l="0" t="0" r="0" b="0"/>
            <wp:wrapThrough wrapText="bothSides">
              <wp:wrapPolygon edited="0">
                <wp:start x="0" y="0"/>
                <wp:lineTo x="0" y="21286"/>
                <wp:lineTo x="21322" y="21286"/>
                <wp:lineTo x="21322" y="0"/>
                <wp:lineTo x="0" y="0"/>
              </wp:wrapPolygon>
            </wp:wrapThrough>
            <wp:docPr id="43" name="Picture 43" descr="Paper house and paper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aper house and paper tree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26285" cy="1353185"/>
                    </a:xfrm>
                    <a:prstGeom prst="rect">
                      <a:avLst/>
                    </a:prstGeom>
                  </pic:spPr>
                </pic:pic>
              </a:graphicData>
            </a:graphic>
            <wp14:sizeRelH relativeFrom="margin">
              <wp14:pctWidth>0</wp14:pctWidth>
            </wp14:sizeRelH>
            <wp14:sizeRelV relativeFrom="margin">
              <wp14:pctHeight>0</wp14:pctHeight>
            </wp14:sizeRelV>
          </wp:anchor>
        </w:drawing>
      </w:r>
      <w:r w:rsidR="00045AF8">
        <w:rPr>
          <w:rStyle w:val="eop"/>
          <w:rFonts w:asciiTheme="minorHAnsi" w:hAnsiTheme="minorHAnsi" w:cs="Segoe UI"/>
          <w:sz w:val="22"/>
          <w:szCs w:val="22"/>
        </w:rPr>
        <w:t>For some, it may seem that there is just nothing to be done, the housing crisis is too big, the lift is just too heavy.  However, we believe there’s plenty to be done and that by implementing even just a few of the following recommendations, improvements will be noted and eventually housing will be built.</w:t>
      </w:r>
    </w:p>
    <w:p w14:paraId="58E3DFF5" w14:textId="15FD2883" w:rsidR="00045AF8" w:rsidRPr="00C64BA4" w:rsidRDefault="00045AF8" w:rsidP="00A63780">
      <w:pPr>
        <w:pStyle w:val="paragraph"/>
        <w:numPr>
          <w:ilvl w:val="0"/>
          <w:numId w:val="38"/>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Begin with the Community Goals in Mind</w:t>
      </w:r>
      <w:r w:rsidR="00A63780">
        <w:rPr>
          <w:rStyle w:val="eop"/>
          <w:rFonts w:asciiTheme="minorHAnsi" w:hAnsiTheme="minorHAnsi" w:cs="Segoe UI"/>
          <w:sz w:val="22"/>
          <w:szCs w:val="22"/>
        </w:rPr>
        <w:t xml:space="preserve">: </w:t>
      </w:r>
    </w:p>
    <w:p w14:paraId="37B69A99" w14:textId="752B4F54" w:rsidR="005336D5" w:rsidRPr="00C64BA4" w:rsidRDefault="005336D5" w:rsidP="005336D5">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Beginning with the </w:t>
      </w:r>
      <w:r w:rsidR="00E116D4">
        <w:rPr>
          <w:rStyle w:val="eop"/>
          <w:rFonts w:asciiTheme="minorHAnsi" w:hAnsiTheme="minorHAnsi" w:cs="Segoe UI"/>
          <w:sz w:val="22"/>
          <w:szCs w:val="22"/>
        </w:rPr>
        <w:t>M</w:t>
      </w:r>
      <w:r w:rsidRPr="00C64BA4">
        <w:rPr>
          <w:rStyle w:val="eop"/>
          <w:rFonts w:asciiTheme="minorHAnsi" w:hAnsiTheme="minorHAnsi" w:cs="Segoe UI"/>
          <w:sz w:val="22"/>
          <w:szCs w:val="22"/>
        </w:rPr>
        <w:t xml:space="preserve">aster </w:t>
      </w:r>
      <w:r w:rsidR="00E116D4">
        <w:rPr>
          <w:rStyle w:val="eop"/>
          <w:rFonts w:asciiTheme="minorHAnsi" w:hAnsiTheme="minorHAnsi" w:cs="Segoe UI"/>
          <w:sz w:val="22"/>
          <w:szCs w:val="22"/>
        </w:rPr>
        <w:t>P</w:t>
      </w:r>
      <w:r w:rsidRPr="00C64BA4">
        <w:rPr>
          <w:rStyle w:val="eop"/>
          <w:rFonts w:asciiTheme="minorHAnsi" w:hAnsiTheme="minorHAnsi" w:cs="Segoe UI"/>
          <w:sz w:val="22"/>
          <w:szCs w:val="22"/>
        </w:rPr>
        <w:t>lan</w:t>
      </w:r>
      <w:r w:rsidR="002D75AB">
        <w:rPr>
          <w:rStyle w:val="eop"/>
          <w:rFonts w:asciiTheme="minorHAnsi" w:hAnsiTheme="minorHAnsi" w:cs="Segoe UI"/>
          <w:sz w:val="22"/>
          <w:szCs w:val="22"/>
        </w:rPr>
        <w:t xml:space="preserve">:    </w:t>
      </w:r>
      <w:r w:rsidRPr="00C64BA4">
        <w:rPr>
          <w:rStyle w:val="eop"/>
          <w:rFonts w:asciiTheme="minorHAnsi" w:hAnsiTheme="minorHAnsi" w:cs="Segoe UI"/>
          <w:sz w:val="22"/>
          <w:szCs w:val="22"/>
        </w:rPr>
        <w:t>All good land use regulations begin with a master plan.  The master plan is, in fact, the foundation for all of a town’s land use regulations.  It is through the development and/or updating of a master plan that a community’s vision and housing goals and objectives are identified typically through a public process.</w:t>
      </w:r>
    </w:p>
    <w:p w14:paraId="29BA4EA8" w14:textId="3878CB06" w:rsidR="005336D5" w:rsidRDefault="005336D5" w:rsidP="005336D5">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Regulation </w:t>
      </w:r>
      <w:r w:rsidR="00E116D4">
        <w:rPr>
          <w:rStyle w:val="eop"/>
          <w:rFonts w:asciiTheme="minorHAnsi" w:hAnsiTheme="minorHAnsi" w:cs="Segoe UI"/>
          <w:sz w:val="22"/>
          <w:szCs w:val="22"/>
        </w:rPr>
        <w:t>A</w:t>
      </w:r>
      <w:r w:rsidRPr="00C64BA4">
        <w:rPr>
          <w:rStyle w:val="eop"/>
          <w:rFonts w:asciiTheme="minorHAnsi" w:hAnsiTheme="minorHAnsi" w:cs="Segoe UI"/>
          <w:sz w:val="22"/>
          <w:szCs w:val="22"/>
        </w:rPr>
        <w:t>ssessment</w:t>
      </w:r>
      <w:r w:rsidR="002D75AB">
        <w:rPr>
          <w:rStyle w:val="eop"/>
          <w:rFonts w:asciiTheme="minorHAnsi" w:hAnsiTheme="minorHAnsi" w:cs="Segoe UI"/>
          <w:sz w:val="22"/>
          <w:szCs w:val="22"/>
        </w:rPr>
        <w:t xml:space="preserve">:    </w:t>
      </w:r>
      <w:r w:rsidRPr="00C64BA4">
        <w:rPr>
          <w:rStyle w:val="eop"/>
          <w:rFonts w:asciiTheme="minorHAnsi" w:hAnsiTheme="minorHAnsi" w:cs="Segoe UI"/>
          <w:sz w:val="22"/>
          <w:szCs w:val="22"/>
        </w:rPr>
        <w:t xml:space="preserve">Good practice for all land use boards is to periodically review land use regulations.  It is not uncommon for master plans to be developed/updated on an infrequent basis, but zoning and other regulations are reviewed more frequently.  To avoid a “disassociation” between the vision and goals of the master plan with ordinances and </w:t>
      </w:r>
      <w:r w:rsidRPr="00C64BA4">
        <w:rPr>
          <w:rStyle w:val="eop"/>
          <w:rFonts w:asciiTheme="minorHAnsi" w:hAnsiTheme="minorHAnsi" w:cs="Segoe UI"/>
          <w:sz w:val="22"/>
          <w:szCs w:val="22"/>
        </w:rPr>
        <w:lastRenderedPageBreak/>
        <w:t>regulation updates that are developed more regularly, the planning board should regularly compare these fundamental planning products to ensure there are synergies.</w:t>
      </w:r>
    </w:p>
    <w:p w14:paraId="0D117AAD" w14:textId="40ABAD7A" w:rsidR="00BD6F71" w:rsidRDefault="00BD6F71" w:rsidP="005336D5">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 xml:space="preserve">Review progress made since the last RHNA:   It’s always good to </w:t>
      </w:r>
      <w:proofErr w:type="gramStart"/>
      <w:r>
        <w:rPr>
          <w:rStyle w:val="eop"/>
          <w:rFonts w:asciiTheme="minorHAnsi" w:hAnsiTheme="minorHAnsi" w:cs="Segoe UI"/>
          <w:sz w:val="22"/>
          <w:szCs w:val="22"/>
        </w:rPr>
        <w:t>take a look</w:t>
      </w:r>
      <w:proofErr w:type="gramEnd"/>
      <w:r>
        <w:rPr>
          <w:rStyle w:val="eop"/>
          <w:rFonts w:asciiTheme="minorHAnsi" w:hAnsiTheme="minorHAnsi" w:cs="Segoe UI"/>
          <w:sz w:val="22"/>
          <w:szCs w:val="22"/>
        </w:rPr>
        <w:t xml:space="preserve"> at where you’ve been and where you are headed.  Reviewing the recommendations from the last RHNA and taking an inventory of regulatory, process, or policy changes can help a community, Planning Board, and staff recognize the work that has happened over the years.  This review can help guide resources and invigorate the next course of action in meeting housing challenges.</w:t>
      </w:r>
    </w:p>
    <w:p w14:paraId="272EBB90" w14:textId="77777777" w:rsidR="00A63780" w:rsidRPr="00C64BA4" w:rsidRDefault="00A63780" w:rsidP="00A63780">
      <w:pPr>
        <w:pStyle w:val="paragraph"/>
        <w:numPr>
          <w:ilvl w:val="0"/>
          <w:numId w:val="38"/>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Allow Flexibility in Regulations</w:t>
      </w:r>
    </w:p>
    <w:p w14:paraId="06C179FF" w14:textId="5A71371E" w:rsidR="00A63780" w:rsidRDefault="00A63780" w:rsidP="00A63780">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2D75AB">
        <w:rPr>
          <w:rStyle w:val="eop"/>
          <w:rFonts w:asciiTheme="minorHAnsi" w:hAnsiTheme="minorHAnsi" w:cs="Segoe UI"/>
          <w:sz w:val="22"/>
          <w:szCs w:val="22"/>
        </w:rPr>
        <w:t>Creating Flexible Regulations:</w:t>
      </w:r>
      <w:r>
        <w:rPr>
          <w:rStyle w:val="eop"/>
          <w:rFonts w:asciiTheme="minorHAnsi" w:hAnsiTheme="minorHAnsi" w:cs="Segoe UI"/>
          <w:sz w:val="22"/>
          <w:szCs w:val="22"/>
        </w:rPr>
        <w:t xml:space="preserve">    </w:t>
      </w:r>
      <w:r w:rsidRPr="002D75AB">
        <w:rPr>
          <w:rStyle w:val="eop"/>
          <w:rFonts w:asciiTheme="minorHAnsi" w:hAnsiTheme="minorHAnsi" w:cs="Segoe UI"/>
          <w:sz w:val="22"/>
          <w:szCs w:val="22"/>
        </w:rPr>
        <w:t>One of the most common complaints from builders and homeowners is the time and expense of navigating the permitting system.  Zoning tends to be rigid, with any deviation requiring relief from the Zoning Board of Adjustment.  Not only is this a time and money investment, but there is also no guarantee that relief will be granted.  An alternative to this is to craft ordinances and regulations that build in options for relief from the planning board that do not require a zoning board approval.  A Conditional Use Permit, for example, allows the planning board to grant waivers or modifications, subject to certain criteria.  This allows an applicant to get through the process with just one board, saving time and money.</w:t>
      </w:r>
      <w:r w:rsidR="00107957" w:rsidRPr="00107957">
        <w:rPr>
          <w:rFonts w:asciiTheme="minorHAnsi" w:eastAsiaTheme="majorEastAsia" w:hAnsiTheme="minorHAnsi" w:cstheme="majorBidi"/>
          <w:noProof/>
          <w:sz w:val="22"/>
          <w:szCs w:val="22"/>
        </w:rPr>
        <w:t xml:space="preserve"> </w:t>
      </w:r>
    </w:p>
    <w:p w14:paraId="40F1DA48" w14:textId="4EAF44CA" w:rsidR="003257D9" w:rsidRPr="00C64BA4" w:rsidRDefault="003257D9" w:rsidP="00206C45">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Adaptive Reuse</w:t>
      </w:r>
      <w:r w:rsidR="002D75AB">
        <w:rPr>
          <w:rStyle w:val="eop"/>
          <w:rFonts w:asciiTheme="minorHAnsi" w:hAnsiTheme="minorHAnsi" w:cs="Segoe UI"/>
          <w:sz w:val="22"/>
          <w:szCs w:val="22"/>
        </w:rPr>
        <w:t xml:space="preserve">:    </w:t>
      </w:r>
      <w:r w:rsidRPr="00C64BA4">
        <w:rPr>
          <w:rStyle w:val="eop"/>
          <w:rFonts w:asciiTheme="minorHAnsi" w:hAnsiTheme="minorHAnsi" w:cs="Segoe UI"/>
          <w:sz w:val="22"/>
          <w:szCs w:val="22"/>
        </w:rPr>
        <w:t>Adaptive reuse means using or repurposing existing buildings for new uses – rather than tearing them down to build new.  There are a number of examples of this approach across New Hampshire and within the Southern NH region; a few of them are:</w:t>
      </w:r>
    </w:p>
    <w:p w14:paraId="194FDADE" w14:textId="0D8097CC" w:rsidR="003257D9" w:rsidRPr="00C64BA4" w:rsidRDefault="003257D9" w:rsidP="00206C45">
      <w:pPr>
        <w:pStyle w:val="paragraph"/>
        <w:numPr>
          <w:ilvl w:val="2"/>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In Manchester, </w:t>
      </w:r>
      <w:r w:rsidR="00A8058F">
        <w:rPr>
          <w:rStyle w:val="eop"/>
          <w:rFonts w:asciiTheme="minorHAnsi" w:hAnsiTheme="minorHAnsi" w:cs="Segoe UI"/>
          <w:sz w:val="22"/>
          <w:szCs w:val="22"/>
        </w:rPr>
        <w:t>hundreds</w:t>
      </w:r>
      <w:r w:rsidR="00A8058F" w:rsidRPr="00C64BA4">
        <w:rPr>
          <w:rStyle w:val="eop"/>
          <w:rFonts w:asciiTheme="minorHAnsi" w:hAnsiTheme="minorHAnsi" w:cs="Segoe UI"/>
          <w:sz w:val="22"/>
          <w:szCs w:val="22"/>
        </w:rPr>
        <w:t xml:space="preserve"> </w:t>
      </w:r>
      <w:r w:rsidRPr="00C64BA4">
        <w:rPr>
          <w:rStyle w:val="eop"/>
          <w:rFonts w:asciiTheme="minorHAnsi" w:hAnsiTheme="minorHAnsi" w:cs="Segoe UI"/>
          <w:sz w:val="22"/>
          <w:szCs w:val="22"/>
        </w:rPr>
        <w:t>of thousands of square feet of the old mill buildings have been reused for various uses including housing, commercial and institutional enterprises.</w:t>
      </w:r>
    </w:p>
    <w:p w14:paraId="278C40E7" w14:textId="1D5342A7" w:rsidR="003257D9" w:rsidRPr="00C64BA4" w:rsidRDefault="003257D9" w:rsidP="00206C45">
      <w:pPr>
        <w:pStyle w:val="paragraph"/>
        <w:numPr>
          <w:ilvl w:val="2"/>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In Antrim, an old mill building is being renovated into apartments.</w:t>
      </w:r>
    </w:p>
    <w:p w14:paraId="4AA2B7FB" w14:textId="09A38814" w:rsidR="003257D9" w:rsidRPr="00C64BA4" w:rsidRDefault="003257D9" w:rsidP="00206C45">
      <w:pPr>
        <w:pStyle w:val="paragraph"/>
        <w:numPr>
          <w:ilvl w:val="2"/>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In Troy, an old mill building is being reused for a mix of residential and light industrial uses.</w:t>
      </w:r>
    </w:p>
    <w:p w14:paraId="5F78FEC2" w14:textId="2016C4ED" w:rsidR="003257D9" w:rsidRPr="00C64BA4" w:rsidRDefault="003257D9" w:rsidP="00206C45">
      <w:pPr>
        <w:pStyle w:val="paragraph"/>
        <w:spacing w:before="0" w:beforeAutospacing="0" w:after="120" w:afterAutospacing="0" w:line="300" w:lineRule="auto"/>
        <w:ind w:left="1440"/>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Innovative developers often take on additional risks when repurposing an old, often abandoned building.  However, such risks can benefit an entire community</w:t>
      </w:r>
      <w:r w:rsidR="00A8058F">
        <w:rPr>
          <w:rStyle w:val="eop"/>
          <w:rFonts w:asciiTheme="minorHAnsi" w:hAnsiTheme="minorHAnsi" w:cs="Segoe UI"/>
          <w:sz w:val="22"/>
          <w:szCs w:val="22"/>
        </w:rPr>
        <w:t>,</w:t>
      </w:r>
      <w:r w:rsidRPr="00C64BA4">
        <w:rPr>
          <w:rStyle w:val="eop"/>
          <w:rFonts w:asciiTheme="minorHAnsi" w:hAnsiTheme="minorHAnsi" w:cs="Segoe UI"/>
          <w:sz w:val="22"/>
          <w:szCs w:val="22"/>
        </w:rPr>
        <w:t xml:space="preserve"> or at the very least, their downtown when the redevelopment breathes new life into the community with new residents and new businesses.</w:t>
      </w:r>
    </w:p>
    <w:p w14:paraId="48C40EE4" w14:textId="0EFB7AF5" w:rsidR="00074E18" w:rsidRDefault="00074E18" w:rsidP="00074E18">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Allowing for </w:t>
      </w:r>
      <w:r w:rsidR="00E116D4">
        <w:rPr>
          <w:rStyle w:val="eop"/>
          <w:rFonts w:asciiTheme="minorHAnsi" w:hAnsiTheme="minorHAnsi" w:cs="Segoe UI"/>
          <w:sz w:val="22"/>
          <w:szCs w:val="22"/>
        </w:rPr>
        <w:t>I</w:t>
      </w:r>
      <w:r w:rsidRPr="00C64BA4">
        <w:rPr>
          <w:rStyle w:val="eop"/>
          <w:rFonts w:asciiTheme="minorHAnsi" w:hAnsiTheme="minorHAnsi" w:cs="Segoe UI"/>
          <w:sz w:val="22"/>
          <w:szCs w:val="22"/>
        </w:rPr>
        <w:t>n-</w:t>
      </w:r>
      <w:r w:rsidR="00E116D4">
        <w:rPr>
          <w:rStyle w:val="eop"/>
          <w:rFonts w:asciiTheme="minorHAnsi" w:hAnsiTheme="minorHAnsi" w:cs="Segoe UI"/>
          <w:sz w:val="22"/>
          <w:szCs w:val="22"/>
        </w:rPr>
        <w:t>F</w:t>
      </w:r>
      <w:r w:rsidRPr="00C64BA4">
        <w:rPr>
          <w:rStyle w:val="eop"/>
          <w:rFonts w:asciiTheme="minorHAnsi" w:hAnsiTheme="minorHAnsi" w:cs="Segoe UI"/>
          <w:sz w:val="22"/>
          <w:szCs w:val="22"/>
        </w:rPr>
        <w:t xml:space="preserve">ill </w:t>
      </w:r>
      <w:r w:rsidR="00E116D4">
        <w:rPr>
          <w:rStyle w:val="eop"/>
          <w:rFonts w:asciiTheme="minorHAnsi" w:hAnsiTheme="minorHAnsi" w:cs="Segoe UI"/>
          <w:sz w:val="22"/>
          <w:szCs w:val="22"/>
        </w:rPr>
        <w:t>D</w:t>
      </w:r>
      <w:r w:rsidRPr="00C64BA4">
        <w:rPr>
          <w:rStyle w:val="eop"/>
          <w:rFonts w:asciiTheme="minorHAnsi" w:hAnsiTheme="minorHAnsi" w:cs="Segoe UI"/>
          <w:sz w:val="22"/>
          <w:szCs w:val="22"/>
        </w:rPr>
        <w:t>evelopment</w:t>
      </w:r>
      <w:r w:rsidR="002D75AB">
        <w:rPr>
          <w:rStyle w:val="eop"/>
          <w:rFonts w:asciiTheme="minorHAnsi" w:hAnsiTheme="minorHAnsi" w:cs="Segoe UI"/>
          <w:sz w:val="22"/>
          <w:szCs w:val="22"/>
        </w:rPr>
        <w:t>:</w:t>
      </w:r>
      <w:r w:rsidRPr="00C64BA4">
        <w:rPr>
          <w:rStyle w:val="eop"/>
          <w:rFonts w:asciiTheme="minorHAnsi" w:hAnsiTheme="minorHAnsi" w:cs="Segoe UI"/>
          <w:sz w:val="22"/>
          <w:szCs w:val="22"/>
        </w:rPr>
        <w:t xml:space="preserve">  Infill development refers to the development of underutilized or vacant land in existing urban- or otherwise-developed areas.  It is meant to encourage density on existing infrastructure, as well as offer an alternative to sprawl.  This approach can be extremely advantageous in addressing the housing shortage in a state like New Hampshire that is largely rural.  This provides a way to create additional housing by taking advantage of the infrastructure that does exist. </w:t>
      </w:r>
    </w:p>
    <w:p w14:paraId="5AE8D3A9" w14:textId="6914D7BC" w:rsidR="001D6EF2" w:rsidRPr="001D6EF2" w:rsidRDefault="00A440B4" w:rsidP="00966D05">
      <w:pPr>
        <w:pStyle w:val="paragraph"/>
        <w:numPr>
          <w:ilvl w:val="0"/>
          <w:numId w:val="38"/>
        </w:numPr>
        <w:spacing w:before="0" w:beforeAutospacing="0" w:after="120" w:afterAutospacing="0" w:line="300" w:lineRule="auto"/>
        <w:jc w:val="both"/>
        <w:textAlignment w:val="baseline"/>
        <w:rPr>
          <w:rStyle w:val="eop"/>
          <w:rFonts w:asciiTheme="minorHAnsi" w:hAnsiTheme="minorHAnsi" w:cs="Segoe UI"/>
          <w:sz w:val="22"/>
          <w:szCs w:val="22"/>
        </w:rPr>
      </w:pPr>
      <w:r>
        <w:rPr>
          <w:rFonts w:asciiTheme="minorHAnsi" w:hAnsiTheme="minorHAnsi" w:cs="Segoe UI"/>
          <w:noProof/>
          <w:sz w:val="22"/>
          <w:szCs w:val="22"/>
        </w:rPr>
        <w:lastRenderedPageBreak/>
        <w:drawing>
          <wp:anchor distT="182880" distB="182880" distL="114300" distR="114300" simplePos="0" relativeHeight="251711488" behindDoc="1" locked="0" layoutInCell="1" allowOverlap="1" wp14:anchorId="6AB1F72C" wp14:editId="69FC153C">
            <wp:simplePos x="0" y="0"/>
            <wp:positionH relativeFrom="margin">
              <wp:posOffset>1600156</wp:posOffset>
            </wp:positionH>
            <wp:positionV relativeFrom="paragraph">
              <wp:posOffset>86360</wp:posOffset>
            </wp:positionV>
            <wp:extent cx="3328416" cy="2212848"/>
            <wp:effectExtent l="0" t="0" r="5715" b="0"/>
            <wp:wrapTopAndBottom/>
            <wp:docPr id="37" name="Picture 37" descr="Four wooden houses with different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our wooden houses with different size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28416" cy="2212848"/>
                    </a:xfrm>
                    <a:prstGeom prst="rect">
                      <a:avLst/>
                    </a:prstGeom>
                  </pic:spPr>
                </pic:pic>
              </a:graphicData>
            </a:graphic>
            <wp14:sizeRelH relativeFrom="margin">
              <wp14:pctWidth>0</wp14:pctWidth>
            </wp14:sizeRelH>
            <wp14:sizeRelV relativeFrom="margin">
              <wp14:pctHeight>0</wp14:pctHeight>
            </wp14:sizeRelV>
          </wp:anchor>
        </w:drawing>
      </w:r>
      <w:r w:rsidR="00A63780" w:rsidRPr="001D6EF2">
        <w:rPr>
          <w:rStyle w:val="eop"/>
          <w:rFonts w:asciiTheme="minorHAnsi" w:hAnsiTheme="minorHAnsi" w:cs="Segoe UI"/>
          <w:sz w:val="22"/>
          <w:szCs w:val="22"/>
        </w:rPr>
        <w:t>Consider the Needs of the Community</w:t>
      </w:r>
      <w:r w:rsidR="001D6EF2">
        <w:rPr>
          <w:rStyle w:val="eop"/>
          <w:rFonts w:asciiTheme="minorHAnsi" w:hAnsiTheme="minorHAnsi" w:cs="Segoe UI"/>
          <w:sz w:val="22"/>
          <w:szCs w:val="22"/>
        </w:rPr>
        <w:t>:</w:t>
      </w:r>
      <w:r w:rsidR="001D6EF2" w:rsidRPr="001D6EF2">
        <w:rPr>
          <w:rStyle w:val="eop"/>
          <w:rFonts w:asciiTheme="minorHAnsi" w:hAnsiTheme="minorHAnsi" w:cs="Segoe UI"/>
          <w:sz w:val="22"/>
          <w:szCs w:val="22"/>
        </w:rPr>
        <w:t xml:space="preserve"> People of all ages have shared their stories about wanting low-maintenance and affordable housing.  </w:t>
      </w:r>
      <w:r w:rsidR="001D6EF2">
        <w:rPr>
          <w:rStyle w:val="eop"/>
          <w:rFonts w:asciiTheme="minorHAnsi" w:hAnsiTheme="minorHAnsi" w:cs="Segoe UI"/>
          <w:sz w:val="22"/>
          <w:szCs w:val="22"/>
        </w:rPr>
        <w:t>Minimal lot sizes</w:t>
      </w:r>
      <w:r w:rsidR="001D6EF2" w:rsidRPr="001D6EF2">
        <w:rPr>
          <w:rStyle w:val="eop"/>
          <w:rFonts w:asciiTheme="minorHAnsi" w:hAnsiTheme="minorHAnsi" w:cs="Segoe UI"/>
          <w:sz w:val="22"/>
          <w:szCs w:val="22"/>
        </w:rPr>
        <w:t>, smaller and accessible homes, such as cottage-style communities are some of the most desirable housing types.  Listen to those in your own community: young working couples, single Mothers with children, larger families, recent retirees, and older adults needing assistance.  Ask them, what is your ideal type of housing and create allowances for it.</w:t>
      </w:r>
    </w:p>
    <w:p w14:paraId="2AC2A343" w14:textId="01C5D435" w:rsidR="00A63780" w:rsidRPr="00C64BA4" w:rsidRDefault="00A63780" w:rsidP="00A63780">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Employer Housing:</w:t>
      </w:r>
      <w:r>
        <w:rPr>
          <w:rStyle w:val="eop"/>
          <w:rFonts w:asciiTheme="minorHAnsi" w:hAnsiTheme="minorHAnsi" w:cs="Segoe UI"/>
          <w:sz w:val="22"/>
          <w:szCs w:val="22"/>
        </w:rPr>
        <w:t xml:space="preserve">    </w:t>
      </w:r>
      <w:r w:rsidRPr="00C64BA4">
        <w:rPr>
          <w:rStyle w:val="eop"/>
          <w:rFonts w:asciiTheme="minorHAnsi" w:hAnsiTheme="minorHAnsi" w:cs="Segoe UI"/>
          <w:sz w:val="22"/>
          <w:szCs w:val="22"/>
        </w:rPr>
        <w:t xml:space="preserve">Many employers in the state are struggling with worker attraction and retention due to the cost and availability of housing.  Some employers are taking a proactive approach and providing housing to their employees.  One such example is Maggie and John Randolph who recognized as business owners they needed to build housing for their staff.  Read their inspirational story here: </w:t>
      </w:r>
    </w:p>
    <w:p w14:paraId="07FE047B" w14:textId="5537F221" w:rsidR="00A63780" w:rsidRPr="00C64BA4" w:rsidRDefault="0062538A" w:rsidP="00A63780">
      <w:pPr>
        <w:pStyle w:val="paragraph"/>
        <w:spacing w:before="0" w:beforeAutospacing="0" w:after="120" w:afterAutospacing="0" w:line="300" w:lineRule="auto"/>
        <w:ind w:left="1440"/>
        <w:jc w:val="both"/>
        <w:textAlignment w:val="baseline"/>
        <w:rPr>
          <w:rStyle w:val="eop"/>
          <w:rFonts w:asciiTheme="minorHAnsi" w:hAnsiTheme="minorHAnsi" w:cs="Segoe UI"/>
          <w:sz w:val="22"/>
          <w:szCs w:val="22"/>
        </w:rPr>
      </w:pPr>
      <w:hyperlink r:id="rId31" w:anchor="?article=4018605" w:history="1">
        <w:r w:rsidR="00A63780" w:rsidRPr="00C64BA4">
          <w:rPr>
            <w:rStyle w:val="Hyperlink"/>
            <w:rFonts w:asciiTheme="minorHAnsi" w:hAnsiTheme="minorHAnsi" w:cs="Segoe UI"/>
            <w:sz w:val="22"/>
            <w:szCs w:val="22"/>
          </w:rPr>
          <w:t>https://read.nhbr.com/nh-business-review/2022/09/09/#?article=4018605</w:t>
        </w:r>
      </w:hyperlink>
    </w:p>
    <w:p w14:paraId="21EB7B13" w14:textId="20DEE88C" w:rsidR="00A63780" w:rsidRPr="00C64BA4" w:rsidRDefault="00A63780" w:rsidP="00A63780">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Age-friendly housing.  Age-friendly housing is housing that can accommodate people of all ages as they progress through the various stages of their lives. </w:t>
      </w:r>
      <w:hyperlink r:id="rId32" w:history="1">
        <w:r w:rsidRPr="00C64BA4">
          <w:rPr>
            <w:rStyle w:val="eop"/>
            <w:rFonts w:asciiTheme="minorHAnsi" w:hAnsiTheme="minorHAnsi" w:cs="Segoe UI"/>
            <w:sz w:val="22"/>
            <w:szCs w:val="22"/>
          </w:rPr>
          <w:t>Universal design</w:t>
        </w:r>
      </w:hyperlink>
      <w:r w:rsidRPr="00C64BA4">
        <w:rPr>
          <w:rStyle w:val="eop"/>
          <w:rFonts w:asciiTheme="minorHAnsi" w:hAnsiTheme="minorHAnsi" w:cs="Segoe UI"/>
          <w:sz w:val="22"/>
          <w:szCs w:val="22"/>
        </w:rPr>
        <w:t>, one aspect of age-friendly housing</w:t>
      </w:r>
      <w:r>
        <w:rPr>
          <w:rStyle w:val="eop"/>
          <w:rFonts w:asciiTheme="minorHAnsi" w:hAnsiTheme="minorHAnsi" w:cs="Segoe UI"/>
          <w:sz w:val="22"/>
          <w:szCs w:val="22"/>
        </w:rPr>
        <w:t>,</w:t>
      </w:r>
      <w:r w:rsidRPr="00C64BA4">
        <w:rPr>
          <w:rStyle w:val="eop"/>
          <w:rFonts w:asciiTheme="minorHAnsi" w:hAnsiTheme="minorHAnsi" w:cs="Segoe UI"/>
          <w:sz w:val="22"/>
          <w:szCs w:val="22"/>
        </w:rPr>
        <w:t xml:space="preserve"> considers housing details such as stepless entryways, wider doorways, multi-</w:t>
      </w:r>
      <w:proofErr w:type="gramStart"/>
      <w:r w:rsidRPr="00C64BA4">
        <w:rPr>
          <w:rStyle w:val="eop"/>
          <w:rFonts w:asciiTheme="minorHAnsi" w:hAnsiTheme="minorHAnsi" w:cs="Segoe UI"/>
          <w:sz w:val="22"/>
          <w:szCs w:val="22"/>
        </w:rPr>
        <w:t>level</w:t>
      </w:r>
      <w:proofErr w:type="gramEnd"/>
      <w:r w:rsidRPr="00C64BA4">
        <w:rPr>
          <w:rStyle w:val="eop"/>
          <w:rFonts w:asciiTheme="minorHAnsi" w:hAnsiTheme="minorHAnsi" w:cs="Segoe UI"/>
          <w:sz w:val="22"/>
          <w:szCs w:val="22"/>
        </w:rPr>
        <w:t xml:space="preserve"> or height-adjustable counters, grab bars in bathrooms, and ample lighting.  As New Hampshire’s older adult community </w:t>
      </w:r>
      <w:proofErr w:type="gramStart"/>
      <w:r w:rsidRPr="00C64BA4">
        <w:rPr>
          <w:rStyle w:val="eop"/>
          <w:rFonts w:asciiTheme="minorHAnsi" w:hAnsiTheme="minorHAnsi" w:cs="Segoe UI"/>
          <w:sz w:val="22"/>
          <w:szCs w:val="22"/>
        </w:rPr>
        <w:t>grows in size</w:t>
      </w:r>
      <w:proofErr w:type="gramEnd"/>
      <w:r w:rsidRPr="00C64BA4">
        <w:rPr>
          <w:rStyle w:val="eop"/>
          <w:rFonts w:asciiTheme="minorHAnsi" w:hAnsiTheme="minorHAnsi" w:cs="Segoe UI"/>
          <w:sz w:val="22"/>
          <w:szCs w:val="22"/>
        </w:rPr>
        <w:t>, accommodating people of all abilities will be a critical component in building needed housing. Planning Boards can recommend or even require units built with universal design features and consider amenities for all ages and abilities.</w:t>
      </w:r>
    </w:p>
    <w:p w14:paraId="474D5B82" w14:textId="231541E2" w:rsidR="00074E18" w:rsidRPr="00C64BA4" w:rsidRDefault="00A63780" w:rsidP="00A63780">
      <w:pPr>
        <w:pStyle w:val="paragraph"/>
        <w:numPr>
          <w:ilvl w:val="0"/>
          <w:numId w:val="38"/>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Density is Not a Four-Lettered Word – Whether adding one ADU, 10 single family homes, or 200 senior-friendly apartments, growth and change can alert a community and feed the fires of the “not in my back yard” (NIMBY) fires blazing.  Often</w:t>
      </w:r>
      <w:r w:rsidR="001D6EF2">
        <w:rPr>
          <w:rStyle w:val="eop"/>
          <w:rFonts w:asciiTheme="minorHAnsi" w:hAnsiTheme="minorHAnsi" w:cs="Segoe UI"/>
          <w:sz w:val="22"/>
          <w:szCs w:val="22"/>
        </w:rPr>
        <w:t>, it isn’t necessarily the number of units that the issue, but the concern and fear of change.  Guiding the nuances of development</w:t>
      </w:r>
      <w:r w:rsidR="001D6EF2" w:rsidRPr="001D6EF2">
        <w:rPr>
          <w:rStyle w:val="eop"/>
          <w:rFonts w:asciiTheme="minorHAnsi" w:hAnsiTheme="minorHAnsi" w:cs="Segoe UI"/>
          <w:sz w:val="22"/>
          <w:szCs w:val="22"/>
        </w:rPr>
        <w:t xml:space="preserve"> </w:t>
      </w:r>
      <w:r w:rsidR="001D6EF2">
        <w:rPr>
          <w:rStyle w:val="eop"/>
          <w:rFonts w:asciiTheme="minorHAnsi" w:hAnsiTheme="minorHAnsi" w:cs="Segoe UI"/>
          <w:sz w:val="22"/>
          <w:szCs w:val="22"/>
        </w:rPr>
        <w:t xml:space="preserve">to </w:t>
      </w:r>
      <w:r w:rsidR="00CD33D7">
        <w:rPr>
          <w:rStyle w:val="eop"/>
          <w:rFonts w:asciiTheme="minorHAnsi" w:hAnsiTheme="minorHAnsi" w:cs="Segoe UI"/>
          <w:sz w:val="22"/>
          <w:szCs w:val="22"/>
        </w:rPr>
        <w:t>verify</w:t>
      </w:r>
      <w:r w:rsidR="001D6EF2">
        <w:rPr>
          <w:rStyle w:val="eop"/>
          <w:rFonts w:asciiTheme="minorHAnsi" w:hAnsiTheme="minorHAnsi" w:cs="Segoe UI"/>
          <w:sz w:val="22"/>
          <w:szCs w:val="22"/>
        </w:rPr>
        <w:t xml:space="preserve"> they are in keeping with community character,</w:t>
      </w:r>
      <w:r w:rsidR="001D6EF2" w:rsidRPr="001D6EF2">
        <w:rPr>
          <w:rStyle w:val="eop"/>
          <w:rFonts w:asciiTheme="minorHAnsi" w:hAnsiTheme="minorHAnsi" w:cs="Segoe UI"/>
          <w:sz w:val="22"/>
          <w:szCs w:val="22"/>
        </w:rPr>
        <w:t xml:space="preserve"> </w:t>
      </w:r>
      <w:r w:rsidR="001D6EF2">
        <w:rPr>
          <w:rStyle w:val="eop"/>
          <w:rFonts w:asciiTheme="minorHAnsi" w:hAnsiTheme="minorHAnsi" w:cs="Segoe UI"/>
          <w:sz w:val="22"/>
          <w:szCs w:val="22"/>
        </w:rPr>
        <w:t xml:space="preserve">from aesthetics to infrastructure, and ensuring community goals are met are often more important that the number of units. </w:t>
      </w:r>
    </w:p>
    <w:p w14:paraId="424C1DED" w14:textId="018D2FEE" w:rsidR="00E116D4" w:rsidRDefault="00074E18" w:rsidP="00E311CC">
      <w:pPr>
        <w:pStyle w:val="paragraph"/>
        <w:numPr>
          <w:ilvl w:val="1"/>
          <w:numId w:val="14"/>
        </w:numPr>
        <w:spacing w:before="0" w:beforeAutospacing="0" w:after="120" w:afterAutospacing="0" w:line="300" w:lineRule="auto"/>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Slow but Steady Wins the Race, One Unit at a Time – ADUs.  One of the easiest and simplest solutions to creating need</w:t>
      </w:r>
      <w:r>
        <w:rPr>
          <w:rStyle w:val="eop"/>
          <w:rFonts w:asciiTheme="minorHAnsi" w:hAnsiTheme="minorHAnsi" w:cs="Segoe UI"/>
          <w:sz w:val="22"/>
          <w:szCs w:val="22"/>
        </w:rPr>
        <w:t>ed</w:t>
      </w:r>
      <w:r w:rsidRPr="00C64BA4">
        <w:rPr>
          <w:rStyle w:val="eop"/>
          <w:rFonts w:asciiTheme="minorHAnsi" w:hAnsiTheme="minorHAnsi" w:cs="Segoe UI"/>
          <w:sz w:val="22"/>
          <w:szCs w:val="22"/>
        </w:rPr>
        <w:t xml:space="preserve"> housing is the creation of Accessory Dwelling Units (ADUs).  Allowed by right, ADUs can be designed </w:t>
      </w:r>
      <w:proofErr w:type="gramStart"/>
      <w:r w:rsidRPr="00C64BA4">
        <w:rPr>
          <w:rStyle w:val="eop"/>
          <w:rFonts w:asciiTheme="minorHAnsi" w:hAnsiTheme="minorHAnsi" w:cs="Segoe UI"/>
          <w:sz w:val="22"/>
          <w:szCs w:val="22"/>
        </w:rPr>
        <w:t>a number of</w:t>
      </w:r>
      <w:proofErr w:type="gramEnd"/>
      <w:r w:rsidRPr="00C64BA4">
        <w:rPr>
          <w:rStyle w:val="eop"/>
          <w:rFonts w:asciiTheme="minorHAnsi" w:hAnsiTheme="minorHAnsi" w:cs="Segoe UI"/>
          <w:sz w:val="22"/>
          <w:szCs w:val="22"/>
        </w:rPr>
        <w:t xml:space="preserve"> ways: they can be created out of space in an existing house; as an addition onto a house; as repurposing of a garage or other outbuilding; or they could be a standalone structure.  They have the </w:t>
      </w:r>
      <w:r w:rsidR="00755D0A">
        <w:rPr>
          <w:rFonts w:asciiTheme="minorHAnsi" w:hAnsiTheme="minorHAnsi" w:cs="Segoe UI"/>
          <w:noProof/>
          <w:sz w:val="22"/>
          <w:szCs w:val="22"/>
        </w:rPr>
        <w:lastRenderedPageBreak/>
        <w:drawing>
          <wp:anchor distT="91440" distB="91440" distL="114300" distR="114300" simplePos="0" relativeHeight="251712512" behindDoc="1" locked="0" layoutInCell="1" allowOverlap="1" wp14:anchorId="7FC09759" wp14:editId="5029A474">
            <wp:simplePos x="0" y="0"/>
            <wp:positionH relativeFrom="margin">
              <wp:posOffset>3110865</wp:posOffset>
            </wp:positionH>
            <wp:positionV relativeFrom="paragraph">
              <wp:posOffset>0</wp:posOffset>
            </wp:positionV>
            <wp:extent cx="2989580" cy="1994535"/>
            <wp:effectExtent l="0" t="0" r="1270" b="5715"/>
            <wp:wrapTight wrapText="bothSides">
              <wp:wrapPolygon edited="0">
                <wp:start x="0" y="0"/>
                <wp:lineTo x="0" y="21456"/>
                <wp:lineTo x="21472" y="21456"/>
                <wp:lineTo x="21472" y="0"/>
                <wp:lineTo x="0" y="0"/>
              </wp:wrapPolygon>
            </wp:wrapTight>
            <wp:docPr id="42" name="Picture 42" descr="Smiling couple standing by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miling couple standing by hous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89580" cy="1994535"/>
                    </a:xfrm>
                    <a:prstGeom prst="rect">
                      <a:avLst/>
                    </a:prstGeom>
                  </pic:spPr>
                </pic:pic>
              </a:graphicData>
            </a:graphic>
            <wp14:sizeRelH relativeFrom="margin">
              <wp14:pctWidth>0</wp14:pctWidth>
            </wp14:sizeRelH>
            <wp14:sizeRelV relativeFrom="margin">
              <wp14:pctHeight>0</wp14:pctHeight>
            </wp14:sizeRelV>
          </wp:anchor>
        </w:drawing>
      </w:r>
      <w:r w:rsidRPr="00C64BA4">
        <w:rPr>
          <w:rStyle w:val="eop"/>
          <w:rFonts w:asciiTheme="minorHAnsi" w:hAnsiTheme="minorHAnsi" w:cs="Segoe UI"/>
          <w:sz w:val="22"/>
          <w:szCs w:val="22"/>
        </w:rPr>
        <w:t xml:space="preserve">advantage of providing additional housing without constructing a new single-family home on a separate lot.  ADUs can solve the problem of keeping an elderly resident in their community and living next to an adult child or needed caretaker.  By being on an existing residential property, they provide “in-fill” development, using existing infrastructure, such as roads, water, and sewer. </w:t>
      </w:r>
    </w:p>
    <w:p w14:paraId="5B700FF1" w14:textId="00D4B38D" w:rsidR="001D6EF2" w:rsidRDefault="00A63780" w:rsidP="00A63780">
      <w:pPr>
        <w:pStyle w:val="paragraph"/>
        <w:numPr>
          <w:ilvl w:val="1"/>
          <w:numId w:val="14"/>
        </w:numPr>
        <w:spacing w:before="0" w:beforeAutospacing="0" w:after="120" w:afterAutospacing="0" w:line="300" w:lineRule="auto"/>
        <w:jc w:val="both"/>
        <w:textAlignment w:val="baseline"/>
        <w:rPr>
          <w:rStyle w:val="eop"/>
          <w:rFonts w:asciiTheme="minorHAnsi" w:hAnsiTheme="minorHAnsi" w:cs="Segoe UI"/>
          <w:sz w:val="22"/>
          <w:szCs w:val="22"/>
        </w:rPr>
      </w:pPr>
      <w:r w:rsidRPr="002D75AB">
        <w:rPr>
          <w:rStyle w:val="eop"/>
          <w:rFonts w:asciiTheme="minorHAnsi" w:hAnsiTheme="minorHAnsi" w:cs="Segoe UI"/>
          <w:sz w:val="22"/>
          <w:szCs w:val="22"/>
        </w:rPr>
        <w:t>Increasing Density Even in Rural Areas</w:t>
      </w:r>
      <w:r>
        <w:rPr>
          <w:rStyle w:val="eop"/>
          <w:rFonts w:asciiTheme="minorHAnsi" w:hAnsiTheme="minorHAnsi" w:cs="Segoe UI"/>
          <w:sz w:val="22"/>
          <w:szCs w:val="22"/>
        </w:rPr>
        <w:t xml:space="preserve">:    </w:t>
      </w:r>
      <w:r w:rsidRPr="002D75AB">
        <w:rPr>
          <w:rStyle w:val="eop"/>
          <w:rFonts w:asciiTheme="minorHAnsi" w:hAnsiTheme="minorHAnsi" w:cs="Segoe UI"/>
          <w:sz w:val="22"/>
          <w:szCs w:val="22"/>
        </w:rPr>
        <w:t xml:space="preserve">As one moves from urban center into more rural areas, density </w:t>
      </w:r>
      <w:r w:rsidR="00966D05">
        <w:rPr>
          <w:rStyle w:val="eop"/>
          <w:rFonts w:asciiTheme="minorHAnsi" w:hAnsiTheme="minorHAnsi" w:cs="Segoe UI"/>
          <w:sz w:val="22"/>
          <w:szCs w:val="22"/>
        </w:rPr>
        <w:t>varies</w:t>
      </w:r>
      <w:r w:rsidRPr="002D75AB">
        <w:rPr>
          <w:rStyle w:val="eop"/>
          <w:rFonts w:asciiTheme="minorHAnsi" w:hAnsiTheme="minorHAnsi" w:cs="Segoe UI"/>
          <w:sz w:val="22"/>
          <w:szCs w:val="22"/>
        </w:rPr>
        <w:t xml:space="preserve"> dramatically.  </w:t>
      </w:r>
      <w:r w:rsidR="00966D05">
        <w:rPr>
          <w:rStyle w:val="eop"/>
          <w:rFonts w:asciiTheme="minorHAnsi" w:hAnsiTheme="minorHAnsi" w:cs="Segoe UI"/>
          <w:sz w:val="22"/>
          <w:szCs w:val="22"/>
        </w:rPr>
        <w:t xml:space="preserve">Even within a community, </w:t>
      </w:r>
      <w:r w:rsidRPr="002D75AB">
        <w:rPr>
          <w:rStyle w:val="eop"/>
          <w:rFonts w:asciiTheme="minorHAnsi" w:hAnsiTheme="minorHAnsi" w:cs="Segoe UI"/>
          <w:sz w:val="22"/>
          <w:szCs w:val="22"/>
        </w:rPr>
        <w:t>historical town centers have smaller lots while the outskirts of towns have larger lots. Density is often based on regulations in which one size fits all, such as two- or three-acre lot minimums.  On the other hand, density could be determined scientifically by the quality of soils and availability of groundwater. The science, balanced with community vision and housing need, would result in additional housing and perhaps more diversity in housing types.  For example, soils suitable to support duplexes on the same lot size as single-family homes, would double</w:t>
      </w:r>
      <w:r w:rsidR="00966D05">
        <w:rPr>
          <w:rStyle w:val="eop"/>
          <w:rFonts w:asciiTheme="minorHAnsi" w:hAnsiTheme="minorHAnsi" w:cs="Segoe UI"/>
          <w:sz w:val="22"/>
          <w:szCs w:val="22"/>
        </w:rPr>
        <w:t xml:space="preserve"> the density</w:t>
      </w:r>
      <w:r w:rsidRPr="002D75AB">
        <w:rPr>
          <w:rStyle w:val="eop"/>
          <w:rFonts w:asciiTheme="minorHAnsi" w:hAnsiTheme="minorHAnsi" w:cs="Segoe UI"/>
          <w:sz w:val="22"/>
          <w:szCs w:val="22"/>
        </w:rPr>
        <w:t xml:space="preserve"> without much additional cost in building or infrastructure.  There are many good examples of duplexes and small-scale multi-family units that fit into a variety of settings.  If regulations </w:t>
      </w:r>
      <w:r w:rsidR="00966D05">
        <w:rPr>
          <w:rStyle w:val="eop"/>
          <w:rFonts w:asciiTheme="minorHAnsi" w:hAnsiTheme="minorHAnsi" w:cs="Segoe UI"/>
          <w:sz w:val="22"/>
          <w:szCs w:val="22"/>
        </w:rPr>
        <w:t>relied on science and soil-based lot sizing</w:t>
      </w:r>
      <w:r w:rsidRPr="002D75AB">
        <w:rPr>
          <w:rStyle w:val="eop"/>
          <w:rFonts w:asciiTheme="minorHAnsi" w:hAnsiTheme="minorHAnsi" w:cs="Segoe UI"/>
          <w:sz w:val="22"/>
          <w:szCs w:val="22"/>
        </w:rPr>
        <w:t xml:space="preserve">, the burden would be on the developer to ensure the density could be supported by the existing soils and ground water in the desired location. </w:t>
      </w:r>
    </w:p>
    <w:p w14:paraId="03C301F4" w14:textId="00EA1CA8" w:rsidR="001D6EF2" w:rsidRDefault="001D6EF2" w:rsidP="001D6EF2">
      <w:pPr>
        <w:pStyle w:val="paragraph"/>
        <w:spacing w:after="120" w:line="300" w:lineRule="auto"/>
        <w:ind w:left="1440"/>
        <w:jc w:val="both"/>
        <w:textAlignment w:val="baseline"/>
        <w:rPr>
          <w:rFonts w:asciiTheme="minorHAnsi" w:hAnsiTheme="minorHAnsi" w:cs="Segoe UI"/>
          <w:sz w:val="22"/>
          <w:szCs w:val="22"/>
        </w:rPr>
      </w:pPr>
      <w:r>
        <w:rPr>
          <w:rStyle w:val="eop"/>
          <w:rFonts w:asciiTheme="minorHAnsi" w:hAnsiTheme="minorHAnsi" w:cs="Segoe UI"/>
          <w:sz w:val="22"/>
          <w:szCs w:val="22"/>
        </w:rPr>
        <w:t xml:space="preserve">Resource: </w:t>
      </w:r>
      <w:hyperlink r:id="rId34" w:history="1">
        <w:r w:rsidRPr="00A85B78">
          <w:rPr>
            <w:rStyle w:val="Hyperlink"/>
            <w:rFonts w:asciiTheme="minorHAnsi" w:hAnsiTheme="minorHAnsi" w:cs="Segoe UI"/>
            <w:sz w:val="22"/>
            <w:szCs w:val="22"/>
          </w:rPr>
          <w:t>https://sssnne.files.wordpress.com/2013/03/lotsize.pdf</w:t>
        </w:r>
      </w:hyperlink>
    </w:p>
    <w:p w14:paraId="1C6B67F0" w14:textId="77777777" w:rsidR="00966D05" w:rsidRDefault="00966D05" w:rsidP="00966D05">
      <w:pPr>
        <w:pStyle w:val="paragraph"/>
        <w:numPr>
          <w:ilvl w:val="0"/>
          <w:numId w:val="38"/>
        </w:numPr>
        <w:spacing w:after="120" w:line="300" w:lineRule="auto"/>
        <w:jc w:val="both"/>
        <w:textAlignment w:val="baseline"/>
        <w:rPr>
          <w:rFonts w:asciiTheme="minorHAnsi" w:hAnsiTheme="minorHAnsi" w:cs="Segoe UI"/>
          <w:sz w:val="22"/>
          <w:szCs w:val="22"/>
        </w:rPr>
      </w:pPr>
      <w:r>
        <w:rPr>
          <w:rFonts w:asciiTheme="minorHAnsi" w:hAnsiTheme="minorHAnsi" w:cs="Segoe UI"/>
          <w:sz w:val="22"/>
          <w:szCs w:val="22"/>
        </w:rPr>
        <w:t xml:space="preserve">Communicate the Type of Growth Desired: Developers would likely save time and money if communities worked with them and communicated the type of housing desired.  </w:t>
      </w:r>
    </w:p>
    <w:p w14:paraId="4FD75142" w14:textId="729DC245" w:rsidR="00D91266" w:rsidRDefault="00966D05" w:rsidP="00966D05">
      <w:pPr>
        <w:pStyle w:val="paragraph"/>
        <w:numPr>
          <w:ilvl w:val="2"/>
          <w:numId w:val="43"/>
        </w:numPr>
        <w:spacing w:after="120" w:line="300" w:lineRule="auto"/>
        <w:jc w:val="both"/>
        <w:textAlignment w:val="baseline"/>
        <w:rPr>
          <w:rStyle w:val="eop"/>
          <w:rFonts w:asciiTheme="minorHAnsi" w:hAnsiTheme="minorHAnsi" w:cs="Segoe UI"/>
          <w:sz w:val="22"/>
          <w:szCs w:val="22"/>
        </w:rPr>
      </w:pPr>
      <w:r w:rsidRPr="00D91266">
        <w:rPr>
          <w:rStyle w:val="eop"/>
          <w:rFonts w:asciiTheme="minorHAnsi" w:hAnsiTheme="minorHAnsi" w:cs="Segoe UI"/>
          <w:sz w:val="22"/>
          <w:szCs w:val="22"/>
        </w:rPr>
        <w:t xml:space="preserve">First, </w:t>
      </w:r>
      <w:r w:rsidR="00D91266">
        <w:rPr>
          <w:rStyle w:val="eop"/>
          <w:rFonts w:asciiTheme="minorHAnsi" w:hAnsiTheme="minorHAnsi" w:cs="Segoe UI"/>
          <w:sz w:val="22"/>
          <w:szCs w:val="22"/>
        </w:rPr>
        <w:t>envision what could be built</w:t>
      </w:r>
      <w:r w:rsidR="00CD33D7">
        <w:rPr>
          <w:rStyle w:val="eop"/>
          <w:rFonts w:asciiTheme="minorHAnsi" w:hAnsiTheme="minorHAnsi" w:cs="Segoe UI"/>
          <w:sz w:val="22"/>
          <w:szCs w:val="22"/>
        </w:rPr>
        <w:t>.</w:t>
      </w:r>
      <w:r w:rsidR="00D91266">
        <w:rPr>
          <w:rStyle w:val="eop"/>
          <w:rFonts w:asciiTheme="minorHAnsi" w:hAnsiTheme="minorHAnsi" w:cs="Segoe UI"/>
          <w:sz w:val="22"/>
          <w:szCs w:val="22"/>
        </w:rPr>
        <w:t xml:space="preserve"> </w:t>
      </w:r>
      <w:r w:rsidR="00CD33D7">
        <w:rPr>
          <w:rStyle w:val="eop"/>
          <w:rFonts w:asciiTheme="minorHAnsi" w:hAnsiTheme="minorHAnsi" w:cs="Segoe UI"/>
          <w:sz w:val="22"/>
          <w:szCs w:val="22"/>
        </w:rPr>
        <w:t xml:space="preserve"> I</w:t>
      </w:r>
      <w:r w:rsidR="00D91266">
        <w:rPr>
          <w:rStyle w:val="eop"/>
          <w:rFonts w:asciiTheme="minorHAnsi" w:hAnsiTheme="minorHAnsi" w:cs="Segoe UI"/>
          <w:sz w:val="22"/>
          <w:szCs w:val="22"/>
        </w:rPr>
        <w:t xml:space="preserve">t’s often good to see what other communities are building and how the new housing </w:t>
      </w:r>
      <w:r w:rsidR="00CD33D7">
        <w:rPr>
          <w:rStyle w:val="eop"/>
          <w:rFonts w:asciiTheme="minorHAnsi" w:hAnsiTheme="minorHAnsi" w:cs="Segoe UI"/>
          <w:sz w:val="22"/>
          <w:szCs w:val="22"/>
        </w:rPr>
        <w:t>fits</w:t>
      </w:r>
      <w:r w:rsidR="00D91266">
        <w:rPr>
          <w:rStyle w:val="eop"/>
          <w:rFonts w:asciiTheme="minorHAnsi" w:hAnsiTheme="minorHAnsi" w:cs="Segoe UI"/>
          <w:sz w:val="22"/>
          <w:szCs w:val="22"/>
        </w:rPr>
        <w:t xml:space="preserve"> into the community.</w:t>
      </w:r>
      <w:r w:rsidRPr="00D91266">
        <w:rPr>
          <w:rStyle w:val="eop"/>
          <w:rFonts w:asciiTheme="minorHAnsi" w:hAnsiTheme="minorHAnsi" w:cs="Segoe UI"/>
          <w:sz w:val="22"/>
          <w:szCs w:val="22"/>
        </w:rPr>
        <w:t xml:space="preserve">  </w:t>
      </w:r>
    </w:p>
    <w:p w14:paraId="305A0803" w14:textId="5E8C3360" w:rsidR="00966D05" w:rsidRDefault="00966D05" w:rsidP="00966D05">
      <w:pPr>
        <w:pStyle w:val="paragraph"/>
        <w:numPr>
          <w:ilvl w:val="2"/>
          <w:numId w:val="43"/>
        </w:numPr>
        <w:spacing w:after="120" w:line="300" w:lineRule="auto"/>
        <w:jc w:val="both"/>
        <w:textAlignment w:val="baseline"/>
        <w:rPr>
          <w:rStyle w:val="eop"/>
          <w:rFonts w:asciiTheme="minorHAnsi" w:hAnsiTheme="minorHAnsi" w:cs="Segoe UI"/>
          <w:sz w:val="22"/>
          <w:szCs w:val="22"/>
        </w:rPr>
      </w:pPr>
      <w:r w:rsidRPr="00D91266">
        <w:rPr>
          <w:rStyle w:val="eop"/>
          <w:rFonts w:asciiTheme="minorHAnsi" w:hAnsiTheme="minorHAnsi" w:cs="Segoe UI"/>
          <w:sz w:val="22"/>
          <w:szCs w:val="22"/>
        </w:rPr>
        <w:t xml:space="preserve">Second, </w:t>
      </w:r>
      <w:r w:rsidR="00D91266" w:rsidRPr="00D91266">
        <w:rPr>
          <w:rStyle w:val="eop"/>
          <w:rFonts w:asciiTheme="minorHAnsi" w:hAnsiTheme="minorHAnsi" w:cs="Segoe UI"/>
          <w:sz w:val="22"/>
          <w:szCs w:val="22"/>
        </w:rPr>
        <w:t>the community, through the Master Plan Visioning process or other outreach events, needs input from agency representatives, residents</w:t>
      </w:r>
      <w:r w:rsidR="00CD33D7">
        <w:rPr>
          <w:rStyle w:val="eop"/>
          <w:rFonts w:asciiTheme="minorHAnsi" w:hAnsiTheme="minorHAnsi" w:cs="Segoe UI"/>
          <w:sz w:val="22"/>
          <w:szCs w:val="22"/>
        </w:rPr>
        <w:t xml:space="preserve"> of all ages</w:t>
      </w:r>
      <w:r w:rsidR="00D91266" w:rsidRPr="00D91266">
        <w:rPr>
          <w:rStyle w:val="eop"/>
          <w:rFonts w:asciiTheme="minorHAnsi" w:hAnsiTheme="minorHAnsi" w:cs="Segoe UI"/>
          <w:sz w:val="22"/>
          <w:szCs w:val="22"/>
        </w:rPr>
        <w:t>, and business owners</w:t>
      </w:r>
      <w:r w:rsidR="00CD33D7">
        <w:rPr>
          <w:rStyle w:val="eop"/>
          <w:rFonts w:asciiTheme="minorHAnsi" w:hAnsiTheme="minorHAnsi" w:cs="Segoe UI"/>
          <w:sz w:val="22"/>
          <w:szCs w:val="22"/>
        </w:rPr>
        <w:t xml:space="preserve">.  This feedback will </w:t>
      </w:r>
      <w:r w:rsidR="00D91266" w:rsidRPr="00D91266">
        <w:rPr>
          <w:rStyle w:val="eop"/>
          <w:rFonts w:asciiTheme="minorHAnsi" w:hAnsiTheme="minorHAnsi" w:cs="Segoe UI"/>
          <w:sz w:val="22"/>
          <w:szCs w:val="22"/>
        </w:rPr>
        <w:t xml:space="preserve">provide </w:t>
      </w:r>
      <w:r w:rsidR="00CD33D7">
        <w:rPr>
          <w:rStyle w:val="eop"/>
          <w:rFonts w:asciiTheme="minorHAnsi" w:hAnsiTheme="minorHAnsi" w:cs="Segoe UI"/>
          <w:sz w:val="22"/>
          <w:szCs w:val="22"/>
        </w:rPr>
        <w:t xml:space="preserve">important guidance on </w:t>
      </w:r>
      <w:r w:rsidR="00D91266" w:rsidRPr="00D91266">
        <w:rPr>
          <w:rStyle w:val="eop"/>
          <w:rFonts w:asciiTheme="minorHAnsi" w:hAnsiTheme="minorHAnsi" w:cs="Segoe UI"/>
          <w:sz w:val="22"/>
          <w:szCs w:val="22"/>
        </w:rPr>
        <w:t>housing needs and housing styles.</w:t>
      </w:r>
    </w:p>
    <w:p w14:paraId="7AA7128F" w14:textId="6398CBDD" w:rsidR="00CD33D7" w:rsidRPr="00F10B26" w:rsidRDefault="00F10B26" w:rsidP="00F56A2E">
      <w:pPr>
        <w:pStyle w:val="paragraph"/>
        <w:numPr>
          <w:ilvl w:val="2"/>
          <w:numId w:val="43"/>
        </w:numPr>
        <w:spacing w:after="120" w:line="300" w:lineRule="auto"/>
        <w:jc w:val="both"/>
        <w:textAlignment w:val="baseline"/>
        <w:rPr>
          <w:rStyle w:val="eop"/>
          <w:rFonts w:asciiTheme="minorHAnsi" w:hAnsiTheme="minorHAnsi" w:cs="Segoe UI"/>
          <w:sz w:val="22"/>
          <w:szCs w:val="22"/>
        </w:rPr>
      </w:pPr>
      <w:r w:rsidRPr="00F10B26">
        <w:rPr>
          <w:rStyle w:val="eop"/>
          <w:rFonts w:asciiTheme="minorHAnsi" w:hAnsiTheme="minorHAnsi" w:cs="Segoe UI"/>
          <w:sz w:val="22"/>
          <w:szCs w:val="22"/>
        </w:rPr>
        <w:t xml:space="preserve">Third, community planning offices along with volunteer land use boards may want to create a visual guide to help developers understand what type of aesthetics, amenities, and housing types are in line with community goals.  The Town of Londonderry’s Heritage/Historic District Commission created the </w:t>
      </w:r>
      <w:r w:rsidRPr="00F10B26">
        <w:rPr>
          <w:rStyle w:val="eop"/>
          <w:rFonts w:asciiTheme="minorHAnsi" w:hAnsiTheme="minorHAnsi" w:cs="Segoe UI"/>
          <w:i/>
          <w:iCs/>
          <w:sz w:val="22"/>
          <w:szCs w:val="22"/>
        </w:rPr>
        <w:t>Londonderry Look Book</w:t>
      </w:r>
      <w:r w:rsidRPr="00F10B26">
        <w:rPr>
          <w:rStyle w:val="eop"/>
          <w:rFonts w:asciiTheme="minorHAnsi" w:hAnsiTheme="minorHAnsi" w:cs="Segoe UI"/>
          <w:sz w:val="22"/>
          <w:szCs w:val="22"/>
        </w:rPr>
        <w:t xml:space="preserve"> for this purpose</w:t>
      </w:r>
      <w:r w:rsidR="00D91266" w:rsidRPr="00F10B26">
        <w:rPr>
          <w:rStyle w:val="eop"/>
          <w:rFonts w:asciiTheme="minorHAnsi" w:hAnsiTheme="minorHAnsi" w:cs="Segoe UI"/>
          <w:sz w:val="22"/>
          <w:szCs w:val="22"/>
        </w:rPr>
        <w:t xml:space="preserve">. </w:t>
      </w:r>
    </w:p>
    <w:p w14:paraId="0A3D7FE6" w14:textId="36F77BD8" w:rsidR="00D91266" w:rsidRDefault="00CD33D7" w:rsidP="00CD33D7">
      <w:pPr>
        <w:pStyle w:val="paragraph"/>
        <w:spacing w:after="120" w:line="300" w:lineRule="auto"/>
        <w:ind w:left="1440"/>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 xml:space="preserve">Resource: </w:t>
      </w:r>
      <w:hyperlink r:id="rId35" w:history="1">
        <w:r w:rsidRPr="00A85B78">
          <w:rPr>
            <w:rStyle w:val="Hyperlink"/>
            <w:rFonts w:asciiTheme="minorHAnsi" w:hAnsiTheme="minorHAnsi" w:cs="Segoe UI"/>
            <w:sz w:val="22"/>
            <w:szCs w:val="22"/>
          </w:rPr>
          <w:t>https://www.londonderrynh.gov/sites/g/files/vyhlif4616/f/uploads/lookbook_0.pdf</w:t>
        </w:r>
      </w:hyperlink>
    </w:p>
    <w:p w14:paraId="7BCA5758" w14:textId="55BC761A" w:rsidR="00D91266" w:rsidRPr="00F10B26" w:rsidRDefault="00D91266" w:rsidP="004B5FF2">
      <w:pPr>
        <w:pStyle w:val="paragraph"/>
        <w:numPr>
          <w:ilvl w:val="0"/>
          <w:numId w:val="46"/>
        </w:numPr>
        <w:spacing w:after="120" w:line="300" w:lineRule="auto"/>
        <w:jc w:val="both"/>
        <w:textAlignment w:val="baseline"/>
        <w:rPr>
          <w:rFonts w:asciiTheme="minorHAnsi" w:hAnsiTheme="minorHAnsi"/>
          <w:sz w:val="22"/>
          <w:szCs w:val="22"/>
        </w:rPr>
      </w:pPr>
      <w:r w:rsidRPr="00F10B26">
        <w:rPr>
          <w:rFonts w:asciiTheme="minorHAnsi" w:hAnsiTheme="minorHAnsi" w:cs="Segoe UI"/>
          <w:sz w:val="22"/>
          <w:szCs w:val="22"/>
        </w:rPr>
        <w:t xml:space="preserve">Utilize Guidance </w:t>
      </w:r>
      <w:proofErr w:type="gramStart"/>
      <w:r w:rsidRPr="00F10B26">
        <w:rPr>
          <w:rFonts w:asciiTheme="minorHAnsi" w:hAnsiTheme="minorHAnsi" w:cs="Segoe UI"/>
          <w:sz w:val="22"/>
          <w:szCs w:val="22"/>
        </w:rPr>
        <w:t>From</w:t>
      </w:r>
      <w:proofErr w:type="gramEnd"/>
      <w:r w:rsidRPr="00F10B26">
        <w:rPr>
          <w:rFonts w:asciiTheme="minorHAnsi" w:hAnsiTheme="minorHAnsi" w:cs="Segoe UI"/>
          <w:sz w:val="22"/>
          <w:szCs w:val="22"/>
        </w:rPr>
        <w:t xml:space="preserve"> the RHNA Toolkit</w:t>
      </w:r>
      <w:r w:rsidR="00CD33D7" w:rsidRPr="00F10B26">
        <w:rPr>
          <w:rFonts w:asciiTheme="minorHAnsi" w:hAnsiTheme="minorHAnsi" w:cs="Segoe UI"/>
          <w:sz w:val="22"/>
          <w:szCs w:val="22"/>
        </w:rPr>
        <w:t xml:space="preserve">: The Toolkit is a fantastic resource for any community planning or zoning office staff, land use boards, or other stakeholders.  </w:t>
      </w:r>
      <w:r w:rsidR="00F10B26" w:rsidRPr="00F10B26">
        <w:rPr>
          <w:rFonts w:asciiTheme="minorHAnsi" w:hAnsiTheme="minorHAnsi" w:cs="Segoe UI"/>
          <w:sz w:val="22"/>
          <w:szCs w:val="22"/>
          <w:highlight w:val="yellow"/>
        </w:rPr>
        <w:t>See page</w:t>
      </w:r>
      <w:r w:rsidR="00D6524D">
        <w:rPr>
          <w:rFonts w:asciiTheme="minorHAnsi" w:hAnsiTheme="minorHAnsi" w:cs="Segoe UI"/>
          <w:sz w:val="22"/>
          <w:szCs w:val="22"/>
        </w:rPr>
        <w:t xml:space="preserve">s 10 </w:t>
      </w:r>
      <w:proofErr w:type="gramStart"/>
      <w:r w:rsidR="00D6524D">
        <w:rPr>
          <w:rFonts w:asciiTheme="minorHAnsi" w:hAnsiTheme="minorHAnsi" w:cs="Segoe UI"/>
          <w:sz w:val="22"/>
          <w:szCs w:val="22"/>
        </w:rPr>
        <w:t xml:space="preserve">and </w:t>
      </w:r>
      <w:r w:rsidR="00E53C97">
        <w:rPr>
          <w:rFonts w:asciiTheme="minorHAnsi" w:hAnsiTheme="minorHAnsi" w:cs="Segoe UI"/>
          <w:sz w:val="22"/>
          <w:szCs w:val="22"/>
        </w:rPr>
        <w:t xml:space="preserve"> </w:t>
      </w:r>
      <w:r w:rsidR="00E53C97" w:rsidRPr="00E53C97">
        <w:rPr>
          <w:rFonts w:asciiTheme="minorHAnsi" w:hAnsiTheme="minorHAnsi" w:cs="Segoe UI"/>
          <w:sz w:val="22"/>
          <w:szCs w:val="22"/>
          <w:highlight w:val="yellow"/>
        </w:rPr>
        <w:t>118</w:t>
      </w:r>
      <w:proofErr w:type="gramEnd"/>
      <w:r w:rsidR="00F10B26">
        <w:rPr>
          <w:rFonts w:asciiTheme="minorHAnsi" w:hAnsiTheme="minorHAnsi" w:cs="Segoe UI"/>
          <w:sz w:val="22"/>
          <w:szCs w:val="22"/>
        </w:rPr>
        <w:t xml:space="preserve"> for more information.</w:t>
      </w:r>
    </w:p>
    <w:p w14:paraId="7627B1A9" w14:textId="77777777" w:rsidR="003257D9" w:rsidRPr="00C64BA4" w:rsidRDefault="003257D9" w:rsidP="00E75682">
      <w:pPr>
        <w:pStyle w:val="Heading2"/>
        <w:rPr>
          <w:rStyle w:val="eop"/>
          <w:rFonts w:cs="Segoe UI"/>
          <w:sz w:val="22"/>
          <w:szCs w:val="22"/>
        </w:rPr>
      </w:pPr>
      <w:bookmarkStart w:id="21" w:name="_Toc128137939"/>
      <w:r w:rsidRPr="00C64BA4">
        <w:rPr>
          <w:rStyle w:val="eop"/>
          <w:rFonts w:cs="Segoe UI"/>
          <w:sz w:val="22"/>
          <w:szCs w:val="22"/>
        </w:rPr>
        <w:lastRenderedPageBreak/>
        <w:t>State and Federal Response to Housing Inequities</w:t>
      </w:r>
      <w:bookmarkEnd w:id="21"/>
    </w:p>
    <w:p w14:paraId="0BC3C7B5" w14:textId="6E07DEC2" w:rsidR="001B1AD8" w:rsidRDefault="003257D9" w:rsidP="00206C45">
      <w:pPr>
        <w:pStyle w:val="paragraph"/>
        <w:spacing w:before="0" w:beforeAutospacing="0" w:after="12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The state of New Hampshire, along with various federal agencies, have enacted numerous laws and policies to address a range of housing issues, including and importantly, inequities that exist in the marketplace for certain populations to secure decent, safe, and affordable housing.  These initiatives range from New Hampshire’s Accessory Dwelling Unit and Workforce Housing laws to federal monetary policy that affects mortgage rates, low-income tax credits, and construction/funding of public housing units.</w:t>
      </w:r>
      <w:r w:rsidR="00AB78D4">
        <w:rPr>
          <w:rStyle w:val="eop"/>
          <w:rFonts w:asciiTheme="minorHAnsi" w:hAnsiTheme="minorHAnsi" w:cs="Segoe UI"/>
          <w:sz w:val="22"/>
          <w:szCs w:val="22"/>
        </w:rPr>
        <w:t xml:space="preserve"> </w:t>
      </w:r>
    </w:p>
    <w:p w14:paraId="20EACA46" w14:textId="59EEE091" w:rsidR="001B1AD8" w:rsidRPr="00C64BA4" w:rsidRDefault="001B1AD8" w:rsidP="001B1AD8">
      <w:pPr>
        <w:pStyle w:val="paragraph"/>
        <w:numPr>
          <w:ilvl w:val="1"/>
          <w:numId w:val="14"/>
        </w:numPr>
        <w:spacing w:before="0" w:beforeAutospacing="0" w:after="120" w:afterAutospacing="0" w:line="300" w:lineRule="auto"/>
        <w:ind w:left="360"/>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 xml:space="preserve">Statewide issues need </w:t>
      </w:r>
      <w:r>
        <w:rPr>
          <w:rStyle w:val="eop"/>
          <w:rFonts w:asciiTheme="minorHAnsi" w:hAnsiTheme="minorHAnsi" w:cs="Segoe UI"/>
          <w:sz w:val="22"/>
          <w:szCs w:val="22"/>
        </w:rPr>
        <w:t>Statewide S</w:t>
      </w:r>
      <w:r w:rsidRPr="00C64BA4">
        <w:rPr>
          <w:rStyle w:val="eop"/>
          <w:rFonts w:asciiTheme="minorHAnsi" w:hAnsiTheme="minorHAnsi" w:cs="Segoe UI"/>
          <w:sz w:val="22"/>
          <w:szCs w:val="22"/>
        </w:rPr>
        <w:t xml:space="preserve">upport  </w:t>
      </w:r>
    </w:p>
    <w:p w14:paraId="6A5E92FA" w14:textId="24E6EC3E" w:rsidR="001B1AD8" w:rsidRPr="001B1AD8" w:rsidRDefault="001B1AD8" w:rsidP="001B1AD8">
      <w:pPr>
        <w:spacing w:line="300" w:lineRule="auto"/>
        <w:ind w:left="360"/>
        <w:rPr>
          <w:rStyle w:val="eop"/>
          <w:rFonts w:eastAsia="Times New Roman" w:cs="Segoe UI"/>
        </w:rPr>
      </w:pPr>
      <w:r w:rsidRPr="001B1AD8">
        <w:rPr>
          <w:rStyle w:val="eop"/>
          <w:rFonts w:eastAsia="Times New Roman" w:cs="Segoe UI"/>
        </w:rPr>
        <w:t xml:space="preserve">The research and data collection for this report has illustrated the housing shortage is a statewide problem, suggesting that a solution would benefit from a coordinated statewide effort.  Much has already been done and is presently underway to assist communities in evaluating their housing regulations and reviewing their approach to development. For example, Governor Sununu’s $100 million </w:t>
      </w:r>
      <w:proofErr w:type="spellStart"/>
      <w:r w:rsidRPr="001B1AD8">
        <w:rPr>
          <w:rStyle w:val="eop"/>
          <w:rFonts w:eastAsia="Times New Roman" w:cs="Segoe UI"/>
        </w:rPr>
        <w:t>InvestNH</w:t>
      </w:r>
      <w:proofErr w:type="spellEnd"/>
      <w:r w:rsidRPr="001B1AD8">
        <w:rPr>
          <w:rStyle w:val="eop"/>
          <w:rFonts w:eastAsia="Times New Roman" w:cs="Segoe UI"/>
        </w:rPr>
        <w:t xml:space="preserve"> initiative includes Housing Opportunity Planning (HOP) grants that can be used in updating housing elements of a community’s Master Plan, assess land use regulations, or even turn regulatory roadblocks into opportunities.  This state-supported effort is certainly the beginning of addressing housing processing and regulatory issues. </w:t>
      </w:r>
    </w:p>
    <w:p w14:paraId="48D46F5D" w14:textId="60A04DDB" w:rsidR="003257D9" w:rsidRPr="00C64BA4" w:rsidRDefault="003257D9" w:rsidP="00E75682">
      <w:pPr>
        <w:pStyle w:val="Heading2"/>
        <w:rPr>
          <w:rStyle w:val="eop"/>
          <w:rFonts w:cs="Segoe UI"/>
          <w:sz w:val="22"/>
          <w:szCs w:val="22"/>
        </w:rPr>
      </w:pPr>
      <w:bookmarkStart w:id="22" w:name="_Toc128137940"/>
      <w:r w:rsidRPr="00744EBA">
        <w:rPr>
          <w:rStyle w:val="eop"/>
          <w:rFonts w:cs="Segoe UI"/>
          <w:sz w:val="22"/>
          <w:szCs w:val="22"/>
        </w:rPr>
        <w:t>Future Housing Need</w:t>
      </w:r>
      <w:bookmarkEnd w:id="22"/>
    </w:p>
    <w:p w14:paraId="27924F16" w14:textId="252BCECA" w:rsidR="00FF470A" w:rsidRDefault="00FF470A" w:rsidP="00206C45">
      <w:pPr>
        <w:pStyle w:val="paragraph"/>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 xml:space="preserve">When this RHNA outline was first being debated, there were those that insisted the report should be based on data, that quantitative analysis was the key.  Others argued that the data didn’t express the stories related to housing need.  That people, families and their circumstances needed a platform to share their situations related to housing need.  Throughout this report, SNHPC staff worked to provide a balance of quantitative and qualitative information so that the numbers and the stories would help those using this report to understand the current housing situation and the future housing needs. </w:t>
      </w:r>
    </w:p>
    <w:p w14:paraId="13844626" w14:textId="7C3208E7" w:rsidR="001933DB" w:rsidRDefault="003F4C73" w:rsidP="00206C45">
      <w:pPr>
        <w:pStyle w:val="paragraph"/>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 xml:space="preserve">If we focus on the numbers of housing units being built in the region, it appears at first </w:t>
      </w:r>
      <w:r w:rsidR="00FF470A">
        <w:rPr>
          <w:rStyle w:val="eop"/>
          <w:rFonts w:asciiTheme="minorHAnsi" w:hAnsiTheme="minorHAnsi" w:cs="Segoe UI"/>
          <w:sz w:val="22"/>
          <w:szCs w:val="22"/>
        </w:rPr>
        <w:t xml:space="preserve">glance </w:t>
      </w:r>
      <w:r>
        <w:rPr>
          <w:rStyle w:val="eop"/>
          <w:rFonts w:asciiTheme="minorHAnsi" w:hAnsiTheme="minorHAnsi" w:cs="Segoe UI"/>
          <w:sz w:val="22"/>
          <w:szCs w:val="22"/>
        </w:rPr>
        <w:t xml:space="preserve">that the </w:t>
      </w:r>
      <w:r w:rsidR="005629DC">
        <w:rPr>
          <w:rStyle w:val="eop"/>
          <w:rFonts w:asciiTheme="minorHAnsi" w:hAnsiTheme="minorHAnsi" w:cs="Segoe UI"/>
          <w:sz w:val="22"/>
          <w:szCs w:val="22"/>
        </w:rPr>
        <w:t>historical growth rate from 1990 to 2010 of 1.1% is</w:t>
      </w:r>
      <w:r>
        <w:rPr>
          <w:rStyle w:val="eop"/>
          <w:rFonts w:asciiTheme="minorHAnsi" w:hAnsiTheme="minorHAnsi" w:cs="Segoe UI"/>
          <w:sz w:val="22"/>
          <w:szCs w:val="22"/>
        </w:rPr>
        <w:t xml:space="preserve"> somewhat in line with the demand</w:t>
      </w:r>
      <w:r w:rsidR="005629DC">
        <w:rPr>
          <w:rStyle w:val="eop"/>
          <w:rFonts w:asciiTheme="minorHAnsi" w:hAnsiTheme="minorHAnsi" w:cs="Segoe UI"/>
          <w:sz w:val="22"/>
          <w:szCs w:val="22"/>
        </w:rPr>
        <w:t xml:space="preserve"> of 1.1%</w:t>
      </w:r>
      <w:r>
        <w:rPr>
          <w:rStyle w:val="eop"/>
          <w:rFonts w:asciiTheme="minorHAnsi" w:hAnsiTheme="minorHAnsi" w:cs="Segoe UI"/>
          <w:sz w:val="22"/>
          <w:szCs w:val="22"/>
        </w:rPr>
        <w:t xml:space="preserve">.  </w:t>
      </w:r>
      <w:r w:rsidR="00FF470A">
        <w:rPr>
          <w:rStyle w:val="eop"/>
          <w:rFonts w:asciiTheme="minorHAnsi" w:hAnsiTheme="minorHAnsi" w:cs="Segoe UI"/>
          <w:sz w:val="22"/>
          <w:szCs w:val="22"/>
        </w:rPr>
        <w:t xml:space="preserve">However, at a closer look, </w:t>
      </w:r>
      <w:r w:rsidR="005629DC">
        <w:rPr>
          <w:rStyle w:val="eop"/>
          <w:rFonts w:asciiTheme="minorHAnsi" w:hAnsiTheme="minorHAnsi" w:cs="Segoe UI"/>
          <w:sz w:val="22"/>
          <w:szCs w:val="22"/>
        </w:rPr>
        <w:t>more recent numbers (from 2010 to 2020) indicate that the growth rate declined to 0.7 % and that</w:t>
      </w:r>
      <w:r w:rsidR="00FF470A">
        <w:rPr>
          <w:rStyle w:val="eop"/>
          <w:rFonts w:asciiTheme="minorHAnsi" w:hAnsiTheme="minorHAnsi" w:cs="Segoe UI"/>
          <w:sz w:val="22"/>
          <w:szCs w:val="22"/>
        </w:rPr>
        <w:t xml:space="preserve"> certain communities </w:t>
      </w:r>
      <w:r w:rsidR="005629DC">
        <w:rPr>
          <w:rStyle w:val="eop"/>
          <w:rFonts w:asciiTheme="minorHAnsi" w:hAnsiTheme="minorHAnsi" w:cs="Segoe UI"/>
          <w:sz w:val="22"/>
          <w:szCs w:val="22"/>
        </w:rPr>
        <w:t>have experienced</w:t>
      </w:r>
      <w:r w:rsidR="00FF470A">
        <w:rPr>
          <w:rStyle w:val="eop"/>
          <w:rFonts w:asciiTheme="minorHAnsi" w:hAnsiTheme="minorHAnsi" w:cs="Segoe UI"/>
          <w:sz w:val="22"/>
          <w:szCs w:val="22"/>
        </w:rPr>
        <w:t xml:space="preserve"> a substantial drop in the production of housing units. </w:t>
      </w:r>
      <w:r w:rsidR="005629DC">
        <w:rPr>
          <w:rStyle w:val="eop"/>
          <w:rFonts w:asciiTheme="minorHAnsi" w:hAnsiTheme="minorHAnsi" w:cs="Segoe UI"/>
          <w:sz w:val="22"/>
          <w:szCs w:val="22"/>
        </w:rPr>
        <w:t xml:space="preserve">(See Table 33 in the Fair Share </w:t>
      </w:r>
      <w:r w:rsidR="001933DB">
        <w:rPr>
          <w:rStyle w:val="eop"/>
          <w:rFonts w:asciiTheme="minorHAnsi" w:hAnsiTheme="minorHAnsi" w:cs="Segoe UI"/>
          <w:sz w:val="22"/>
          <w:szCs w:val="22"/>
        </w:rPr>
        <w:t xml:space="preserve">Section) </w:t>
      </w:r>
    </w:p>
    <w:p w14:paraId="46485735" w14:textId="5F909D39" w:rsidR="003257D9" w:rsidRPr="00C64BA4" w:rsidRDefault="001933DB" w:rsidP="00206C45">
      <w:pPr>
        <w:pStyle w:val="paragraph"/>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 xml:space="preserve">This report is robust with data on the changing demographics of the region, its aging, its diverse families, and the variety of income levels. </w:t>
      </w:r>
      <w:r w:rsidR="00744EBA">
        <w:rPr>
          <w:rStyle w:val="eop"/>
          <w:rFonts w:asciiTheme="minorHAnsi" w:hAnsiTheme="minorHAnsi" w:cs="Segoe UI"/>
          <w:sz w:val="22"/>
          <w:szCs w:val="22"/>
        </w:rPr>
        <w:t xml:space="preserve">Considering the quantitative information, </w:t>
      </w:r>
      <w:r>
        <w:rPr>
          <w:rStyle w:val="eop"/>
          <w:rFonts w:asciiTheme="minorHAnsi" w:hAnsiTheme="minorHAnsi" w:cs="Segoe UI"/>
          <w:sz w:val="22"/>
          <w:szCs w:val="22"/>
        </w:rPr>
        <w:t>coupled with</w:t>
      </w:r>
      <w:r w:rsidR="00FF470A">
        <w:rPr>
          <w:rStyle w:val="eop"/>
          <w:rFonts w:asciiTheme="minorHAnsi" w:hAnsiTheme="minorHAnsi" w:cs="Segoe UI"/>
          <w:sz w:val="22"/>
          <w:szCs w:val="22"/>
        </w:rPr>
        <w:t xml:space="preserve"> feedback </w:t>
      </w:r>
      <w:r>
        <w:rPr>
          <w:rStyle w:val="eop"/>
          <w:rFonts w:asciiTheme="minorHAnsi" w:hAnsiTheme="minorHAnsi" w:cs="Segoe UI"/>
          <w:sz w:val="22"/>
          <w:szCs w:val="22"/>
        </w:rPr>
        <w:t>for desired</w:t>
      </w:r>
      <w:r w:rsidR="00FF470A">
        <w:rPr>
          <w:rStyle w:val="eop"/>
          <w:rFonts w:asciiTheme="minorHAnsi" w:hAnsiTheme="minorHAnsi" w:cs="Segoe UI"/>
          <w:sz w:val="22"/>
          <w:szCs w:val="22"/>
        </w:rPr>
        <w:t xml:space="preserve"> </w:t>
      </w:r>
      <w:r>
        <w:rPr>
          <w:rStyle w:val="eop"/>
          <w:rFonts w:asciiTheme="minorHAnsi" w:hAnsiTheme="minorHAnsi" w:cs="Segoe UI"/>
          <w:sz w:val="22"/>
          <w:szCs w:val="22"/>
        </w:rPr>
        <w:t>smaller, low maintenance</w:t>
      </w:r>
      <w:r w:rsidR="00744EBA">
        <w:rPr>
          <w:rStyle w:val="eop"/>
          <w:rFonts w:asciiTheme="minorHAnsi" w:hAnsiTheme="minorHAnsi" w:cs="Segoe UI"/>
          <w:sz w:val="22"/>
          <w:szCs w:val="22"/>
        </w:rPr>
        <w:t>, and affordable</w:t>
      </w:r>
      <w:r w:rsidR="00FF470A">
        <w:rPr>
          <w:rStyle w:val="eop"/>
          <w:rFonts w:asciiTheme="minorHAnsi" w:hAnsiTheme="minorHAnsi" w:cs="Segoe UI"/>
          <w:sz w:val="22"/>
          <w:szCs w:val="22"/>
        </w:rPr>
        <w:t xml:space="preserve"> housing, it is certain that the region </w:t>
      </w:r>
      <w:r w:rsidR="0056581B">
        <w:rPr>
          <w:rStyle w:val="eop"/>
          <w:rFonts w:asciiTheme="minorHAnsi" w:hAnsiTheme="minorHAnsi" w:cs="Segoe UI"/>
          <w:sz w:val="22"/>
          <w:szCs w:val="22"/>
        </w:rPr>
        <w:t>needs to increase production of housing</w:t>
      </w:r>
      <w:r>
        <w:rPr>
          <w:rStyle w:val="eop"/>
          <w:rFonts w:asciiTheme="minorHAnsi" w:hAnsiTheme="minorHAnsi" w:cs="Segoe UI"/>
          <w:sz w:val="22"/>
          <w:szCs w:val="22"/>
        </w:rPr>
        <w:t>,</w:t>
      </w:r>
      <w:r w:rsidR="005629DC">
        <w:rPr>
          <w:rStyle w:val="eop"/>
          <w:rFonts w:asciiTheme="minorHAnsi" w:hAnsiTheme="minorHAnsi" w:cs="Segoe UI"/>
          <w:sz w:val="22"/>
          <w:szCs w:val="22"/>
        </w:rPr>
        <w:t xml:space="preserve"> </w:t>
      </w:r>
      <w:r w:rsidR="0056581B">
        <w:rPr>
          <w:rStyle w:val="eop"/>
          <w:rFonts w:asciiTheme="minorHAnsi" w:hAnsiTheme="minorHAnsi" w:cs="Segoe UI"/>
          <w:sz w:val="22"/>
          <w:szCs w:val="22"/>
        </w:rPr>
        <w:t>provide more diversity in housing</w:t>
      </w:r>
      <w:r>
        <w:rPr>
          <w:rStyle w:val="eop"/>
          <w:rFonts w:asciiTheme="minorHAnsi" w:hAnsiTheme="minorHAnsi" w:cs="Segoe UI"/>
          <w:sz w:val="22"/>
          <w:szCs w:val="22"/>
        </w:rPr>
        <w:t>, and create innovative solutions in providing affordable units.</w:t>
      </w:r>
      <w:r w:rsidR="003F4C73">
        <w:rPr>
          <w:rStyle w:val="eop"/>
          <w:rFonts w:asciiTheme="minorHAnsi" w:hAnsiTheme="minorHAnsi" w:cs="Segoe UI"/>
          <w:sz w:val="22"/>
          <w:szCs w:val="22"/>
        </w:rPr>
        <w:t xml:space="preserve"> </w:t>
      </w:r>
      <w:r w:rsidR="0056581B">
        <w:rPr>
          <w:rStyle w:val="eop"/>
          <w:rFonts w:asciiTheme="minorHAnsi" w:hAnsiTheme="minorHAnsi" w:cs="Segoe UI"/>
          <w:sz w:val="22"/>
          <w:szCs w:val="22"/>
        </w:rPr>
        <w:t>For a more detailed look into</w:t>
      </w:r>
      <w:r w:rsidR="003257D9" w:rsidRPr="00C64BA4">
        <w:rPr>
          <w:rStyle w:val="eop"/>
          <w:rFonts w:asciiTheme="minorHAnsi" w:hAnsiTheme="minorHAnsi" w:cs="Segoe UI"/>
          <w:sz w:val="22"/>
          <w:szCs w:val="22"/>
        </w:rPr>
        <w:t xml:space="preserve"> future housing needs of the Southern New Hampshire planning region </w:t>
      </w:r>
      <w:r w:rsidR="0056581B">
        <w:rPr>
          <w:rStyle w:val="eop"/>
          <w:rFonts w:asciiTheme="minorHAnsi" w:hAnsiTheme="minorHAnsi" w:cs="Segoe UI"/>
          <w:sz w:val="22"/>
          <w:szCs w:val="22"/>
        </w:rPr>
        <w:t>see</w:t>
      </w:r>
      <w:r w:rsidR="003257D9" w:rsidRPr="00C64BA4">
        <w:rPr>
          <w:rStyle w:val="eop"/>
          <w:rFonts w:asciiTheme="minorHAnsi" w:hAnsiTheme="minorHAnsi" w:cs="Segoe UI"/>
          <w:sz w:val="22"/>
          <w:szCs w:val="22"/>
        </w:rPr>
        <w:t xml:space="preserve"> Section</w:t>
      </w:r>
      <w:r w:rsidR="00755D0A">
        <w:rPr>
          <w:rStyle w:val="eop"/>
          <w:rFonts w:asciiTheme="minorHAnsi" w:hAnsiTheme="minorHAnsi" w:cs="Segoe UI"/>
          <w:sz w:val="22"/>
          <w:szCs w:val="22"/>
        </w:rPr>
        <w:t xml:space="preserve"> V page </w:t>
      </w:r>
      <w:r w:rsidR="00755D0A" w:rsidRPr="00755D0A">
        <w:rPr>
          <w:rStyle w:val="eop"/>
          <w:rFonts w:asciiTheme="minorHAnsi" w:hAnsiTheme="minorHAnsi" w:cs="Segoe UI"/>
          <w:sz w:val="22"/>
          <w:szCs w:val="22"/>
          <w:highlight w:val="yellow"/>
        </w:rPr>
        <w:t>77</w:t>
      </w:r>
      <w:r w:rsidR="003257D9" w:rsidRPr="00755D0A">
        <w:rPr>
          <w:rStyle w:val="eop"/>
          <w:rFonts w:asciiTheme="minorHAnsi" w:hAnsiTheme="minorHAnsi" w:cs="Segoe UI"/>
          <w:sz w:val="22"/>
          <w:szCs w:val="22"/>
          <w:highlight w:val="yellow"/>
        </w:rPr>
        <w:t>.</w:t>
      </w:r>
      <w:r w:rsidR="003257D9" w:rsidRPr="00C64BA4">
        <w:rPr>
          <w:rStyle w:val="eop"/>
          <w:rFonts w:asciiTheme="minorHAnsi" w:hAnsiTheme="minorHAnsi" w:cs="Segoe UI"/>
          <w:sz w:val="22"/>
          <w:szCs w:val="22"/>
        </w:rPr>
        <w:t xml:space="preserve">  </w:t>
      </w:r>
    </w:p>
    <w:p w14:paraId="604662F2" w14:textId="0AE53495" w:rsidR="003257D9" w:rsidRPr="00C64BA4" w:rsidRDefault="003257D9" w:rsidP="00E75682">
      <w:pPr>
        <w:pStyle w:val="Heading2"/>
        <w:rPr>
          <w:rStyle w:val="eop"/>
          <w:rFonts w:cs="Segoe UI"/>
          <w:sz w:val="22"/>
          <w:szCs w:val="22"/>
        </w:rPr>
      </w:pPr>
      <w:bookmarkStart w:id="23" w:name="_Toc128137941"/>
      <w:r w:rsidRPr="00281150">
        <w:rPr>
          <w:rStyle w:val="eop"/>
          <w:rFonts w:cs="Segoe UI"/>
          <w:sz w:val="22"/>
          <w:szCs w:val="22"/>
        </w:rPr>
        <w:t>Resources/Toolkit for Municipalities</w:t>
      </w:r>
      <w:r w:rsidRPr="00C64BA4">
        <w:rPr>
          <w:rStyle w:val="eop"/>
          <w:rFonts w:cs="Segoe UI"/>
          <w:sz w:val="22"/>
          <w:szCs w:val="22"/>
        </w:rPr>
        <w:t xml:space="preserve"> (still under development)</w:t>
      </w:r>
      <w:bookmarkEnd w:id="23"/>
    </w:p>
    <w:p w14:paraId="0AFE439E" w14:textId="161EF845" w:rsidR="00281150" w:rsidRDefault="00DF0F07" w:rsidP="00281150">
      <w:bookmarkStart w:id="24" w:name="_Hlk127442635"/>
      <w:r>
        <w:rPr>
          <w:noProof/>
        </w:rPr>
        <w:drawing>
          <wp:anchor distT="182880" distB="91440" distL="182880" distR="182880" simplePos="0" relativeHeight="251714560" behindDoc="1" locked="0" layoutInCell="1" allowOverlap="1" wp14:anchorId="1E662458" wp14:editId="5D32AE1D">
            <wp:simplePos x="0" y="0"/>
            <wp:positionH relativeFrom="margin">
              <wp:posOffset>46355</wp:posOffset>
            </wp:positionH>
            <wp:positionV relativeFrom="page">
              <wp:posOffset>8307260</wp:posOffset>
            </wp:positionV>
            <wp:extent cx="1783715" cy="900430"/>
            <wp:effectExtent l="0" t="0" r="6985" b="0"/>
            <wp:wrapTight wrapText="bothSides">
              <wp:wrapPolygon edited="0">
                <wp:start x="0" y="0"/>
                <wp:lineTo x="0" y="21021"/>
                <wp:lineTo x="21454" y="21021"/>
                <wp:lineTo x="21454" y="0"/>
                <wp:lineTo x="0" y="0"/>
              </wp:wrapPolygon>
            </wp:wrapTight>
            <wp:docPr id="44" name="Picture 4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clipar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1783715" cy="900430"/>
                    </a:xfrm>
                    <a:prstGeom prst="rect">
                      <a:avLst/>
                    </a:prstGeom>
                  </pic:spPr>
                </pic:pic>
              </a:graphicData>
            </a:graphic>
            <wp14:sizeRelH relativeFrom="margin">
              <wp14:pctWidth>0</wp14:pctWidth>
            </wp14:sizeRelH>
            <wp14:sizeRelV relativeFrom="margin">
              <wp14:pctHeight>0</wp14:pctHeight>
            </wp14:sizeRelV>
          </wp:anchor>
        </w:drawing>
      </w:r>
      <w:r w:rsidR="00281150">
        <w:t xml:space="preserve">If you are a volunteer on a local land use board, a community planner, or an advocate of housing, this toolkit was developed with you in mind.   We understand there are so many challenges to housing and if you had time to find the perfect resource, you might better guide your community.   The New Hampshire Housing Toolbox is the result of multiple planners coming together and determining the most important tools needs for New Hampshire planners.  There are tools related to </w:t>
      </w:r>
      <w:r w:rsidR="00281150">
        <w:lastRenderedPageBreak/>
        <w:t>housing options, costs, affordable and sustainable housing, multigenerational housing, infrastructure related to housing and redevelopment.</w:t>
      </w:r>
    </w:p>
    <w:p w14:paraId="5774B04E" w14:textId="77777777" w:rsidR="00281150" w:rsidRDefault="00281150" w:rsidP="00281150">
      <w:r>
        <w:t xml:space="preserve">This project was part of the New Hampshire Regional Planning Commissions’ Regional Housing Needs Assessment (https://www.nharpc.org/rhna/). It was coordinated by the New Hampshire Office of Planning and Development and executed with assistance from </w:t>
      </w:r>
      <w:proofErr w:type="spellStart"/>
      <w:r>
        <w:t>Outwith</w:t>
      </w:r>
      <w:proofErr w:type="spellEnd"/>
      <w:r>
        <w:t xml:space="preserve"> Studio. The project was funded through the American Rescue Plan State and Local Fiscal Recovery Fund Grant. </w:t>
      </w:r>
    </w:p>
    <w:p w14:paraId="329C8B1C" w14:textId="3C8C4F2E" w:rsidR="00281150" w:rsidRDefault="00281150" w:rsidP="00281150">
      <w:r>
        <w:t>The toolbox interactive website should be released in the spring of 2023 at www. nhhousingtoolbox.org, but a pdf is available at present and referenced below.</w:t>
      </w:r>
    </w:p>
    <w:bookmarkEnd w:id="24"/>
    <w:p w14:paraId="78CA4D7D" w14:textId="688EB5AA" w:rsidR="003A5853" w:rsidRDefault="003A5853" w:rsidP="00206C45">
      <w:pPr>
        <w:pStyle w:val="paragraph"/>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Elements of the Toolkit include:</w:t>
      </w:r>
    </w:p>
    <w:p w14:paraId="5112130D" w14:textId="77777777"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sectPr w:rsidR="005159B9" w:rsidSect="00755D0A">
          <w:headerReference w:type="default" r:id="rId37"/>
          <w:footerReference w:type="default" r:id="rId38"/>
          <w:type w:val="continuous"/>
          <w:pgSz w:w="12240" w:h="15840" w:code="1"/>
          <w:pgMar w:top="900" w:right="1440" w:bottom="1080" w:left="1440" w:header="432" w:footer="288" w:gutter="0"/>
          <w:pgNumType w:start="1"/>
          <w:cols w:space="720"/>
          <w:docGrid w:linePitch="360"/>
        </w:sectPr>
      </w:pPr>
    </w:p>
    <w:p w14:paraId="45DC2D53" w14:textId="35A63004" w:rsidR="003A5853"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Accessory Dwelling Units</w:t>
      </w:r>
    </w:p>
    <w:p w14:paraId="284041C3" w14:textId="77777777"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Age-Friendly Neighborhoods</w:t>
      </w:r>
    </w:p>
    <w:p w14:paraId="233C888B" w14:textId="2CA4F131"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Cluster Housing</w:t>
      </w:r>
    </w:p>
    <w:p w14:paraId="1D5D6368" w14:textId="77777777"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Community Revitalization Tax Relief (79E)</w:t>
      </w:r>
    </w:p>
    <w:p w14:paraId="5DEDBE97" w14:textId="77777777"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Form-Based Codes</w:t>
      </w:r>
    </w:p>
    <w:p w14:paraId="30953E22" w14:textId="77777777"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Housing Opportunity Zones</w:t>
      </w:r>
    </w:p>
    <w:p w14:paraId="3A6A6829" w14:textId="35D6E7FC"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Inclusionary Zoning</w:t>
      </w:r>
    </w:p>
    <w:p w14:paraId="1813A556" w14:textId="23CE5029"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Infill Development</w:t>
      </w:r>
    </w:p>
    <w:p w14:paraId="3CE5F542" w14:textId="3272E85F" w:rsidR="00E76D1E" w:rsidRDefault="00E76D1E"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Manufactured Housing</w:t>
      </w:r>
    </w:p>
    <w:p w14:paraId="2DFAA2DD" w14:textId="617557BB"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Mixed-Use Development</w:t>
      </w:r>
    </w:p>
    <w:p w14:paraId="41E9052B" w14:textId="33B0B41A"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Planned Unit Developments (PUDS)</w:t>
      </w:r>
    </w:p>
    <w:p w14:paraId="3518D7F8" w14:textId="77777777"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Right-Sized Regulations</w:t>
      </w:r>
    </w:p>
    <w:p w14:paraId="179A5EF0" w14:textId="77777777" w:rsidR="005159B9" w:rsidRPr="00C64BA4"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Short-Term Rental Regulations</w:t>
      </w:r>
    </w:p>
    <w:p w14:paraId="04304E96" w14:textId="52A3DB5C"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(Alternative) Small Housing Types</w:t>
      </w:r>
    </w:p>
    <w:p w14:paraId="44FD17E5" w14:textId="2C56881B"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Transfer of Development Tights (TDR)</w:t>
      </w:r>
    </w:p>
    <w:p w14:paraId="694E4367" w14:textId="77777777"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Village Plan Alternative</w:t>
      </w:r>
    </w:p>
    <w:p w14:paraId="4B176AA3" w14:textId="54915237"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(Alternative) Wastewater Systems</w:t>
      </w:r>
    </w:p>
    <w:p w14:paraId="16B27EB5" w14:textId="77777777" w:rsidR="005159B9" w:rsidRDefault="005159B9" w:rsidP="005159B9">
      <w:pPr>
        <w:pStyle w:val="paragraph"/>
        <w:numPr>
          <w:ilvl w:val="0"/>
          <w:numId w:val="14"/>
        </w:numPr>
        <w:spacing w:before="0" w:beforeAutospacing="0" w:after="120" w:afterAutospacing="0" w:line="300" w:lineRule="auto"/>
        <w:jc w:val="both"/>
        <w:textAlignment w:val="baseline"/>
        <w:rPr>
          <w:rStyle w:val="eop"/>
          <w:rFonts w:asciiTheme="minorHAnsi" w:hAnsiTheme="minorHAnsi" w:cs="Segoe UI"/>
          <w:sz w:val="22"/>
          <w:szCs w:val="22"/>
        </w:rPr>
      </w:pPr>
      <w:r>
        <w:rPr>
          <w:rStyle w:val="eop"/>
          <w:rFonts w:asciiTheme="minorHAnsi" w:hAnsiTheme="minorHAnsi" w:cs="Segoe UI"/>
          <w:sz w:val="22"/>
          <w:szCs w:val="22"/>
        </w:rPr>
        <w:t>Workforce Housing Ordinance</w:t>
      </w:r>
    </w:p>
    <w:p w14:paraId="3D71C0AD" w14:textId="77777777" w:rsidR="005159B9" w:rsidRDefault="005159B9" w:rsidP="00206C45">
      <w:pPr>
        <w:spacing w:line="300" w:lineRule="auto"/>
        <w:rPr>
          <w:caps/>
          <w:color w:val="003CB4" w:themeColor="accent2" w:themeShade="80"/>
          <w:spacing w:val="20"/>
          <w:sz w:val="28"/>
          <w:szCs w:val="28"/>
        </w:rPr>
        <w:sectPr w:rsidR="005159B9" w:rsidSect="005159B9">
          <w:type w:val="continuous"/>
          <w:pgSz w:w="12240" w:h="15840" w:code="1"/>
          <w:pgMar w:top="900" w:right="1440" w:bottom="1080" w:left="1440" w:header="432" w:footer="288" w:gutter="0"/>
          <w:cols w:num="2" w:space="720"/>
          <w:docGrid w:linePitch="360"/>
        </w:sectPr>
      </w:pPr>
    </w:p>
    <w:p w14:paraId="59662A55" w14:textId="7D73D8C1" w:rsidR="00281150" w:rsidRDefault="00F10B26" w:rsidP="00206C45">
      <w:pPr>
        <w:spacing w:line="300" w:lineRule="auto"/>
        <w:rPr>
          <w:rStyle w:val="eop"/>
          <w:rFonts w:cs="Segoe UI"/>
        </w:rPr>
      </w:pPr>
      <w:r w:rsidRPr="00281150">
        <w:rPr>
          <w:rStyle w:val="eop"/>
          <w:rFonts w:cs="Segoe UI"/>
        </w:rPr>
        <w:t>Resource:</w:t>
      </w:r>
      <w:r>
        <w:rPr>
          <w:rStyle w:val="eop"/>
          <w:rFonts w:cs="Segoe UI"/>
        </w:rPr>
        <w:t xml:space="preserve"> </w:t>
      </w:r>
      <w:hyperlink r:id="rId39" w:history="1">
        <w:r w:rsidR="00281150" w:rsidRPr="005C031C">
          <w:rPr>
            <w:rStyle w:val="Hyperlink"/>
            <w:rFonts w:cs="Segoe UI"/>
          </w:rPr>
          <w:t>https://nhhousingtoolbox.org/resource-archive/nh-housing-toolbox-draft-20230210.pdf</w:t>
        </w:r>
      </w:hyperlink>
    </w:p>
    <w:p w14:paraId="19C7F2B2" w14:textId="5606AEA1" w:rsidR="0099728D" w:rsidRPr="00C64BA4" w:rsidRDefault="0099728D" w:rsidP="00206C45">
      <w:pPr>
        <w:spacing w:line="300" w:lineRule="auto"/>
        <w:rPr>
          <w:caps/>
          <w:color w:val="003CB4" w:themeColor="accent2" w:themeShade="80"/>
          <w:spacing w:val="20"/>
          <w:sz w:val="28"/>
          <w:szCs w:val="28"/>
        </w:rPr>
      </w:pPr>
      <w:r w:rsidRPr="00C64BA4">
        <w:rPr>
          <w:caps/>
          <w:color w:val="003CB4" w:themeColor="accent2" w:themeShade="80"/>
          <w:spacing w:val="20"/>
          <w:sz w:val="28"/>
          <w:szCs w:val="28"/>
        </w:rPr>
        <w:br w:type="page"/>
      </w:r>
    </w:p>
    <w:p w14:paraId="47034796" w14:textId="35AD0D1A" w:rsidR="006B3624" w:rsidRPr="00C64BA4" w:rsidRDefault="2EAB50A6" w:rsidP="00206C45">
      <w:pPr>
        <w:pStyle w:val="Heading1"/>
        <w:spacing w:line="300" w:lineRule="auto"/>
      </w:pPr>
      <w:bookmarkStart w:id="25" w:name="_Toc790711996"/>
      <w:bookmarkStart w:id="26" w:name="_Toc1955417942"/>
      <w:bookmarkStart w:id="27" w:name="_Toc128137942"/>
      <w:r w:rsidRPr="00C64BA4">
        <w:lastRenderedPageBreak/>
        <w:t>Section II</w:t>
      </w:r>
      <w:r w:rsidR="54E465A0" w:rsidRPr="00C64BA4">
        <w:t>I</w:t>
      </w:r>
      <w:r w:rsidRPr="00C64BA4">
        <w:t xml:space="preserve"> - I</w:t>
      </w:r>
      <w:r w:rsidR="3E7B4AD8" w:rsidRPr="00C64BA4">
        <w:t>n</w:t>
      </w:r>
      <w:r w:rsidRPr="00C64BA4">
        <w:t>troduction</w:t>
      </w:r>
      <w:bookmarkEnd w:id="25"/>
      <w:bookmarkEnd w:id="26"/>
      <w:bookmarkEnd w:id="27"/>
    </w:p>
    <w:p w14:paraId="19B39BC7" w14:textId="42104194" w:rsidR="00800B37" w:rsidRPr="00C64BA4" w:rsidRDefault="1FCC36DF" w:rsidP="00206C45">
      <w:pPr>
        <w:pStyle w:val="Body"/>
        <w:spacing w:line="300" w:lineRule="auto"/>
        <w:rPr>
          <w:lang w:val="en"/>
        </w:rPr>
      </w:pPr>
      <w:r w:rsidRPr="00C64BA4">
        <w:rPr>
          <w:lang w:val="en"/>
        </w:rPr>
        <w:t>Southern New Hampshire Planning Commission</w:t>
      </w:r>
      <w:r w:rsidR="3DDE833E" w:rsidRPr="00C64BA4">
        <w:rPr>
          <w:lang w:val="en"/>
        </w:rPr>
        <w:t xml:space="preserve"> (SNHPC)</w:t>
      </w:r>
      <w:r w:rsidRPr="00C64BA4">
        <w:rPr>
          <w:lang w:val="en"/>
        </w:rPr>
        <w:t xml:space="preserve">, along with New Hampshire’s eight other regional planning commissions, the New Hampshire Housing Finance Authority, and the New Hampshire Office of Planning and Development coordinated their activities beginning in late 2021 throughout 2022, to produce a state-wide housing needs assessment as well as individual housing needs assessments for each region.  The goal of the coordinated effort was to create efficiencies where commonalities were identified, to ensure those utilizing the information could make valid </w:t>
      </w:r>
      <w:proofErr w:type="gramStart"/>
      <w:r w:rsidRPr="00C64BA4">
        <w:rPr>
          <w:lang w:val="en"/>
        </w:rPr>
        <w:t>comparisons, and</w:t>
      </w:r>
      <w:proofErr w:type="gramEnd"/>
      <w:r w:rsidRPr="00C64BA4">
        <w:rPr>
          <w:lang w:val="en"/>
        </w:rPr>
        <w:t xml:space="preserve"> learn from each other over the span of the development of this work.  Naturally, SNHPC staff also identified the unique housing circumstances found within the region, which is </w:t>
      </w:r>
      <w:r w:rsidR="249FFB74" w:rsidRPr="00C64BA4">
        <w:rPr>
          <w:lang w:val="en"/>
        </w:rPr>
        <w:t>identified</w:t>
      </w:r>
      <w:r w:rsidRPr="00C64BA4">
        <w:rPr>
          <w:lang w:val="en"/>
        </w:rPr>
        <w:t xml:space="preserve"> throughout this report.</w:t>
      </w:r>
    </w:p>
    <w:p w14:paraId="277D8286" w14:textId="3438D73A" w:rsidR="74695C12" w:rsidRPr="00C64BA4" w:rsidRDefault="1FCC36DF" w:rsidP="00206C45">
      <w:pPr>
        <w:pStyle w:val="Body"/>
        <w:spacing w:line="300" w:lineRule="auto"/>
        <w:rPr>
          <w:lang w:val="en"/>
        </w:rPr>
      </w:pPr>
      <w:r w:rsidRPr="00C64BA4">
        <w:rPr>
          <w:lang w:val="en"/>
        </w:rPr>
        <w:t xml:space="preserve">We invite you to explore the various sections of this report and to join us in helping each community understand the needs and desires for housing </w:t>
      </w:r>
      <w:r w:rsidR="03F26E0D" w:rsidRPr="00C64BA4">
        <w:rPr>
          <w:lang w:val="en"/>
        </w:rPr>
        <w:t xml:space="preserve">in </w:t>
      </w:r>
      <w:r w:rsidRPr="00C64BA4">
        <w:rPr>
          <w:lang w:val="en"/>
        </w:rPr>
        <w:t xml:space="preserve">the region and the state. </w:t>
      </w:r>
    </w:p>
    <w:p w14:paraId="682DF1CE" w14:textId="3A29E780" w:rsidR="00FC2E88" w:rsidRPr="00C64BA4" w:rsidRDefault="6E2D11CB" w:rsidP="00E75682">
      <w:pPr>
        <w:pStyle w:val="Heading2"/>
      </w:pPr>
      <w:bookmarkStart w:id="28" w:name="_Toc1436779646"/>
      <w:bookmarkStart w:id="29" w:name="_Toc2094716262"/>
      <w:bookmarkStart w:id="30" w:name="_Toc128137943"/>
      <w:r w:rsidRPr="00C64BA4">
        <w:t>What is in the Regional Housing Needs Assessment</w:t>
      </w:r>
      <w:bookmarkEnd w:id="28"/>
      <w:bookmarkEnd w:id="29"/>
      <w:r w:rsidR="00856120">
        <w:t>?</w:t>
      </w:r>
      <w:bookmarkEnd w:id="30"/>
    </w:p>
    <w:p w14:paraId="45A25675" w14:textId="3CC560C6" w:rsidR="00FC2E88" w:rsidRPr="00C64BA4" w:rsidRDefault="1FCC36DF" w:rsidP="00206C45">
      <w:pPr>
        <w:pStyle w:val="Body"/>
        <w:spacing w:line="300" w:lineRule="auto"/>
      </w:pPr>
      <w:r w:rsidRPr="00C64BA4">
        <w:rPr>
          <w:lang w:val="en"/>
        </w:rPr>
        <w:t>SNHPC’s housing needs assessment provides data on current and future housing needs. The information provided is intended to inform the public of the region’s housing conditions and the data enclosed is to be used by municipalities in planning a balanced housing stock</w:t>
      </w:r>
      <w:r w:rsidRPr="00C64BA4">
        <w:t xml:space="preserve">. This assessment includes analysis of historical trends and existing conditions and makes projections of future conditions and inventories housing needs. </w:t>
      </w:r>
      <w:r w:rsidR="00856120">
        <w:t>In addition, t</w:t>
      </w:r>
      <w:r w:rsidRPr="00C64BA4">
        <w:t xml:space="preserve">he assessment </w:t>
      </w:r>
      <w:r w:rsidR="00856120">
        <w:t>contains</w:t>
      </w:r>
      <w:r w:rsidRPr="00C64BA4">
        <w:t xml:space="preserve"> the identification of tools and techniques </w:t>
      </w:r>
      <w:r w:rsidR="00856120">
        <w:t xml:space="preserve">that </w:t>
      </w:r>
      <w:r w:rsidRPr="00C64BA4">
        <w:t xml:space="preserve">communities can use to further balance housing based on proven successful housing solutions identified within the Northeast and across the nation. The assessment activities included extensive outreach to residents in every community within the region. This outreach was conducted through surveys, focus groups, a public project website, and direct communications through email, targeted social media, and public press releases. The outreach process is documented within this report and can be found in </w:t>
      </w:r>
      <w:hyperlink w:anchor="_Appendix_B_–">
        <w:r w:rsidRPr="00C64BA4">
          <w:rPr>
            <w:rStyle w:val="Hyperlink"/>
          </w:rPr>
          <w:t>Appendix B</w:t>
        </w:r>
      </w:hyperlink>
      <w:r w:rsidRPr="00C64BA4">
        <w:t>.</w:t>
      </w:r>
    </w:p>
    <w:p w14:paraId="2A5DA237" w14:textId="434F2C0B" w:rsidR="00FC2E88" w:rsidRPr="00C64BA4" w:rsidRDefault="1FCC36DF" w:rsidP="00E75682">
      <w:pPr>
        <w:pStyle w:val="Heading2"/>
      </w:pPr>
      <w:bookmarkStart w:id="31" w:name="_Toc128137944"/>
      <w:bookmarkStart w:id="32" w:name="_Toc1956641014"/>
      <w:bookmarkStart w:id="33" w:name="_Toc1356526567"/>
      <w:r w:rsidRPr="00C64BA4">
        <w:t>Purpose of the Housing Needs Assessment</w:t>
      </w:r>
      <w:bookmarkEnd w:id="31"/>
      <w:r w:rsidRPr="00C64BA4">
        <w:t> </w:t>
      </w:r>
      <w:bookmarkEnd w:id="32"/>
      <w:bookmarkEnd w:id="33"/>
    </w:p>
    <w:p w14:paraId="4F300E7F" w14:textId="4CF51FDF" w:rsidR="00C046EC" w:rsidRPr="00C64BA4" w:rsidRDefault="192F52F6" w:rsidP="00206C45">
      <w:pPr>
        <w:pStyle w:val="Body"/>
        <w:spacing w:line="300" w:lineRule="auto"/>
      </w:pPr>
      <w:r w:rsidRPr="00C64BA4">
        <w:t>The purpose of the Housing Needs Assessment is to identify baseline conditions of the region’s housing stock and analyze future housing conditions. The assessment includes documentation of fair housing needs, equity conditions, as well as overall housing opportunity and needs in the Southern New Hampshire Planning Commission region. This housing needs assessment identifies and outlines key goals and recommendations for addressing housing needs in the region. These goals and recommendations are informed by the public outreach process conducted during the assessment period. The regional housing needs assessment is also a resource for background information and key data on current housing conditions.</w:t>
      </w:r>
    </w:p>
    <w:p w14:paraId="6524ED79" w14:textId="22F3AEE5" w:rsidR="00FC2E88" w:rsidRPr="00F93FB4" w:rsidRDefault="00FC2E88" w:rsidP="00F93FB4">
      <w:pPr>
        <w:pStyle w:val="Heading3"/>
        <w:spacing w:line="300" w:lineRule="auto"/>
        <w:rPr>
          <w:rStyle w:val="eop"/>
          <w:rFonts w:cs="Segoe UI"/>
          <w:sz w:val="22"/>
          <w:szCs w:val="22"/>
        </w:rPr>
      </w:pPr>
      <w:bookmarkStart w:id="34" w:name="_Toc128137945"/>
      <w:r w:rsidRPr="00F93FB4">
        <w:rPr>
          <w:rStyle w:val="eop"/>
          <w:rFonts w:cs="Segoe UI"/>
          <w:sz w:val="22"/>
          <w:szCs w:val="22"/>
        </w:rPr>
        <w:t xml:space="preserve">Fulfill </w:t>
      </w:r>
      <w:r w:rsidR="005C61DD" w:rsidRPr="00F93FB4">
        <w:rPr>
          <w:rStyle w:val="eop"/>
          <w:rFonts w:cs="Segoe UI"/>
          <w:sz w:val="22"/>
          <w:szCs w:val="22"/>
        </w:rPr>
        <w:t>S</w:t>
      </w:r>
      <w:r w:rsidRPr="00F93FB4">
        <w:rPr>
          <w:rStyle w:val="eop"/>
          <w:rFonts w:cs="Segoe UI"/>
          <w:sz w:val="22"/>
          <w:szCs w:val="22"/>
        </w:rPr>
        <w:t xml:space="preserve">tatutory </w:t>
      </w:r>
      <w:r w:rsidR="005C61DD" w:rsidRPr="00F93FB4">
        <w:rPr>
          <w:rStyle w:val="eop"/>
          <w:rFonts w:cs="Segoe UI"/>
          <w:sz w:val="22"/>
          <w:szCs w:val="22"/>
        </w:rPr>
        <w:t>R</w:t>
      </w:r>
      <w:r w:rsidRPr="00F93FB4">
        <w:rPr>
          <w:rStyle w:val="eop"/>
          <w:rFonts w:cs="Segoe UI"/>
          <w:sz w:val="22"/>
          <w:szCs w:val="22"/>
        </w:rPr>
        <w:t>equirement</w:t>
      </w:r>
      <w:r w:rsidR="00621693" w:rsidRPr="00F93FB4">
        <w:rPr>
          <w:rStyle w:val="eop"/>
          <w:rFonts w:cs="Segoe UI"/>
          <w:sz w:val="22"/>
          <w:szCs w:val="22"/>
        </w:rPr>
        <w:t>s</w:t>
      </w:r>
      <w:bookmarkEnd w:id="34"/>
      <w:r w:rsidRPr="00F93FB4">
        <w:rPr>
          <w:rStyle w:val="eop"/>
          <w:rFonts w:cs="Segoe UI"/>
          <w:sz w:val="22"/>
          <w:szCs w:val="22"/>
        </w:rPr>
        <w:t> </w:t>
      </w:r>
    </w:p>
    <w:p w14:paraId="33931D74" w14:textId="637F25A7" w:rsidR="0536731D" w:rsidRPr="00C64BA4" w:rsidRDefault="0536731D" w:rsidP="00206C45">
      <w:pPr>
        <w:pStyle w:val="Body"/>
        <w:spacing w:line="300" w:lineRule="auto"/>
        <w:rPr>
          <w:rFonts w:eastAsia="HGPGothicE" w:cs="Arial"/>
        </w:rPr>
      </w:pPr>
      <w:r w:rsidRPr="00C64BA4">
        <w:t>This Regional Housing Needs Assessment report completed by the Southern New Hampshire Planning Commission (SNHPC)</w:t>
      </w:r>
      <w:r w:rsidR="00521020" w:rsidRPr="00C64BA4">
        <w:t xml:space="preserve"> is done so</w:t>
      </w:r>
      <w:r w:rsidRPr="00C64BA4">
        <w:t xml:space="preserve"> in accordance with RSA 36:47, II which states that: </w:t>
      </w:r>
    </w:p>
    <w:p w14:paraId="712929EC" w14:textId="6ABAA9D8" w:rsidR="0536731D" w:rsidRPr="00C64BA4" w:rsidRDefault="0536731D" w:rsidP="00206C45">
      <w:pPr>
        <w:spacing w:line="300" w:lineRule="auto"/>
        <w:ind w:left="720" w:right="450"/>
        <w:jc w:val="both"/>
        <w:rPr>
          <w:rFonts w:eastAsia="Tw Cen MT" w:cs="Tw Cen MT"/>
          <w:i/>
          <w:iCs/>
        </w:rPr>
      </w:pPr>
      <w:r w:rsidRPr="00C64BA4">
        <w:rPr>
          <w:rFonts w:eastAsia="Tw Cen MT" w:cs="Tw Cen MT"/>
          <w:i/>
          <w:iCs/>
        </w:rPr>
        <w:t xml:space="preserve">“…each regional planning commission shall compile a regional housing needs assessment, which shall include an assessment of the regional need for housing for persons and families of all levels of income. The regional housing needs assessment shall be updated every 5 years and made available to all municipalities in the planning region.” </w:t>
      </w:r>
    </w:p>
    <w:p w14:paraId="75054267" w14:textId="04B091BA" w:rsidR="0536731D" w:rsidRPr="00C64BA4" w:rsidRDefault="1FCC36DF" w:rsidP="00206C45">
      <w:pPr>
        <w:pStyle w:val="Body"/>
        <w:spacing w:line="300" w:lineRule="auto"/>
        <w:rPr>
          <w:rFonts w:eastAsia="HGPGothicE" w:cs="Arial"/>
        </w:rPr>
      </w:pPr>
      <w:r w:rsidRPr="00C64BA4">
        <w:lastRenderedPageBreak/>
        <w:t xml:space="preserve">This report has been written as an update to the Housing Chapter of the 2015 SNHPC Regional Comprehensive Plan and is also meant to aid member communities in complying with RSA 674:2, III (l), which states that a town’s master plan may include: </w:t>
      </w:r>
    </w:p>
    <w:p w14:paraId="753D35F5" w14:textId="7B8C24F9" w:rsidR="0536731D" w:rsidRPr="00C64BA4" w:rsidRDefault="1FCC36DF" w:rsidP="00206C45">
      <w:pPr>
        <w:spacing w:line="300" w:lineRule="auto"/>
        <w:ind w:left="720" w:right="450"/>
        <w:jc w:val="both"/>
        <w:rPr>
          <w:rFonts w:eastAsia="HGPGothicE" w:cs="Arial"/>
          <w:i/>
          <w:iCs/>
        </w:rPr>
      </w:pPr>
      <w:r w:rsidRPr="00C64BA4">
        <w:rPr>
          <w:rFonts w:eastAsia="Tw Cen MT" w:cs="Tw Cen MT"/>
          <w:i/>
          <w:iCs/>
        </w:rPr>
        <w:t>“A housing section which assesses local housing conditions and projects future housing needs of residents of all levels of income and ages in the municipality and the region as identified in the regional housing needs assessment performed by the regional planning commission pursuant to RSA 36:47, II, and which integrates the availability of human services with other planning undertaken by the community.”</w:t>
      </w:r>
    </w:p>
    <w:p w14:paraId="294BEFD7" w14:textId="27FA921B" w:rsidR="008B4DF2" w:rsidRPr="00C64BA4" w:rsidRDefault="1FCC36DF" w:rsidP="00206C45">
      <w:pPr>
        <w:spacing w:line="300" w:lineRule="auto"/>
        <w:jc w:val="both"/>
        <w:rPr>
          <w:rFonts w:eastAsia="Tw Cen MT" w:cs="Tw Cen MT"/>
        </w:rPr>
      </w:pPr>
      <w:r w:rsidRPr="00C64BA4">
        <w:rPr>
          <w:rFonts w:eastAsia="Tw Cen MT" w:cs="Tw Cen MT"/>
        </w:rPr>
        <w:t>This report provides current regional and local data on housing needs by income level, as well as future housing needs, necessary for communities to determine their compliance with RSA 674: 58-61, the Workforce Housing Statute.</w:t>
      </w:r>
    </w:p>
    <w:p w14:paraId="74B57149" w14:textId="255AD06C" w:rsidR="008B4DF2" w:rsidRPr="00F93FB4" w:rsidRDefault="2F15EAB7" w:rsidP="00F93FB4">
      <w:pPr>
        <w:pStyle w:val="Heading3"/>
        <w:spacing w:line="300" w:lineRule="auto"/>
        <w:rPr>
          <w:rStyle w:val="eop"/>
          <w:rFonts w:cs="Segoe UI"/>
          <w:sz w:val="22"/>
          <w:szCs w:val="22"/>
        </w:rPr>
      </w:pPr>
      <w:bookmarkStart w:id="35" w:name="_Toc335848666"/>
      <w:bookmarkStart w:id="36" w:name="_Toc1824494423"/>
      <w:bookmarkStart w:id="37" w:name="_Toc128137946"/>
      <w:bookmarkEnd w:id="35"/>
      <w:bookmarkEnd w:id="36"/>
      <w:r w:rsidRPr="00F93FB4">
        <w:rPr>
          <w:rStyle w:val="eop"/>
          <w:rFonts w:cs="Segoe UI"/>
          <w:sz w:val="22"/>
          <w:szCs w:val="22"/>
        </w:rPr>
        <w:t>F</w:t>
      </w:r>
      <w:r w:rsidR="005C61DD" w:rsidRPr="00F93FB4">
        <w:rPr>
          <w:rStyle w:val="eop"/>
          <w:rFonts w:cs="Segoe UI"/>
          <w:sz w:val="22"/>
          <w:szCs w:val="22"/>
        </w:rPr>
        <w:t>ulfilling the Goals of the Council on Housing Stability’s Strategic Plan</w:t>
      </w:r>
      <w:bookmarkEnd w:id="37"/>
    </w:p>
    <w:p w14:paraId="627EB3CD" w14:textId="783F55F0" w:rsidR="00612FA6" w:rsidRPr="00C64BA4" w:rsidRDefault="00612FA6" w:rsidP="00206C45">
      <w:pPr>
        <w:pStyle w:val="Body"/>
        <w:spacing w:line="300" w:lineRule="auto"/>
      </w:pPr>
      <w:bookmarkStart w:id="38" w:name="_Toc1871982796"/>
      <w:bookmarkStart w:id="39" w:name="_Toc857543722"/>
      <w:r w:rsidRPr="00C64BA4">
        <w:t xml:space="preserve">Through the Governor’s </w:t>
      </w:r>
      <w:bookmarkStart w:id="40" w:name="_Hlk123650097"/>
      <w:r w:rsidR="005D6A95">
        <w:fldChar w:fldCharType="begin"/>
      </w:r>
      <w:r w:rsidR="005D6A95">
        <w:instrText>HYPERLINK "https://sos.nh.gov/media/qvje3deb/sununu-2020-22.pdf"</w:instrText>
      </w:r>
      <w:r w:rsidR="005D6A95">
        <w:fldChar w:fldCharType="separate"/>
      </w:r>
      <w:r w:rsidRPr="00C64BA4">
        <w:rPr>
          <w:rStyle w:val="Hyperlink"/>
        </w:rPr>
        <w:t>Executive Order 2020-22</w:t>
      </w:r>
      <w:r w:rsidR="005D6A95">
        <w:rPr>
          <w:rStyle w:val="Hyperlink"/>
        </w:rPr>
        <w:fldChar w:fldCharType="end"/>
      </w:r>
      <w:bookmarkEnd w:id="40"/>
      <w:r w:rsidR="00383ECA">
        <w:rPr>
          <w:rStyle w:val="FootnoteReference"/>
        </w:rPr>
        <w:footnoteReference w:id="3"/>
      </w:r>
      <w:r w:rsidRPr="00C64BA4">
        <w:t xml:space="preserve">, the NH Council on Housing Stability was charged with the task of creating “a plan to create housing stability for all citizens of the State of New Hampshire”. The </w:t>
      </w:r>
      <w:hyperlink r:id="rId40" w:history="1">
        <w:r w:rsidRPr="00C64BA4">
          <w:rPr>
            <w:rStyle w:val="Hyperlink"/>
          </w:rPr>
          <w:t>2021 strategic plan</w:t>
        </w:r>
      </w:hyperlink>
      <w:r w:rsidR="00383ECA">
        <w:rPr>
          <w:rStyle w:val="FootnoteReference"/>
        </w:rPr>
        <w:footnoteReference w:id="4"/>
      </w:r>
      <w:r w:rsidRPr="00C64BA4">
        <w:t xml:space="preserve"> began with the following six vision statements:</w:t>
      </w:r>
    </w:p>
    <w:p w14:paraId="31C4AE71" w14:textId="77777777" w:rsidR="00612FA6" w:rsidRPr="00C64BA4" w:rsidRDefault="00612FA6" w:rsidP="00206C45">
      <w:pPr>
        <w:pStyle w:val="Body"/>
        <w:numPr>
          <w:ilvl w:val="0"/>
          <w:numId w:val="16"/>
        </w:numPr>
        <w:spacing w:line="300" w:lineRule="auto"/>
        <w:rPr>
          <w:i/>
          <w:iCs/>
        </w:rPr>
      </w:pPr>
      <w:r w:rsidRPr="00C64BA4">
        <w:rPr>
          <w:i/>
          <w:iCs/>
        </w:rPr>
        <w:t xml:space="preserve">Housing ends homelessness and creates stability for children, adults, families, business, and </w:t>
      </w:r>
      <w:proofErr w:type="gramStart"/>
      <w:r w:rsidRPr="00C64BA4">
        <w:rPr>
          <w:i/>
          <w:iCs/>
        </w:rPr>
        <w:t>communities;</w:t>
      </w:r>
      <w:proofErr w:type="gramEnd"/>
    </w:p>
    <w:p w14:paraId="6164FF43" w14:textId="77777777" w:rsidR="00612FA6" w:rsidRPr="00C64BA4" w:rsidRDefault="00612FA6" w:rsidP="00206C45">
      <w:pPr>
        <w:pStyle w:val="Body"/>
        <w:numPr>
          <w:ilvl w:val="0"/>
          <w:numId w:val="16"/>
        </w:numPr>
        <w:spacing w:line="300" w:lineRule="auto"/>
        <w:rPr>
          <w:i/>
          <w:iCs/>
        </w:rPr>
      </w:pPr>
      <w:r w:rsidRPr="00C64BA4">
        <w:rPr>
          <w:i/>
          <w:iCs/>
        </w:rPr>
        <w:t xml:space="preserve">Greater access to affordable housing will assist New Hampshire businesses and strengthen the state’s </w:t>
      </w:r>
      <w:proofErr w:type="gramStart"/>
      <w:r w:rsidRPr="00C64BA4">
        <w:rPr>
          <w:i/>
          <w:iCs/>
        </w:rPr>
        <w:t>economy;</w:t>
      </w:r>
      <w:proofErr w:type="gramEnd"/>
    </w:p>
    <w:p w14:paraId="7AA1A1DA" w14:textId="77777777" w:rsidR="00612FA6" w:rsidRPr="00C64BA4" w:rsidRDefault="00612FA6" w:rsidP="00206C45">
      <w:pPr>
        <w:pStyle w:val="Body"/>
        <w:numPr>
          <w:ilvl w:val="0"/>
          <w:numId w:val="16"/>
        </w:numPr>
        <w:spacing w:line="300" w:lineRule="auto"/>
        <w:rPr>
          <w:i/>
          <w:iCs/>
        </w:rPr>
      </w:pPr>
      <w:r w:rsidRPr="00C64BA4">
        <w:rPr>
          <w:i/>
          <w:iCs/>
        </w:rPr>
        <w:t xml:space="preserve">Individuals and families experiencing homelessness and housing instability often have other conditions impacting their </w:t>
      </w:r>
      <w:proofErr w:type="gramStart"/>
      <w:r w:rsidRPr="00C64BA4">
        <w:rPr>
          <w:i/>
          <w:iCs/>
        </w:rPr>
        <w:t>circumstances;</w:t>
      </w:r>
      <w:proofErr w:type="gramEnd"/>
    </w:p>
    <w:p w14:paraId="25CB1358" w14:textId="77777777" w:rsidR="00612FA6" w:rsidRPr="00C64BA4" w:rsidRDefault="00612FA6" w:rsidP="00206C45">
      <w:pPr>
        <w:pStyle w:val="Body"/>
        <w:numPr>
          <w:ilvl w:val="0"/>
          <w:numId w:val="16"/>
        </w:numPr>
        <w:spacing w:line="300" w:lineRule="auto"/>
        <w:rPr>
          <w:i/>
          <w:iCs/>
        </w:rPr>
      </w:pPr>
      <w:r w:rsidRPr="00C64BA4">
        <w:rPr>
          <w:i/>
          <w:iCs/>
        </w:rPr>
        <w:t xml:space="preserve">Housing stability is one of the Social Determinants of Health and is essential for all children, adults, and families to thrive in </w:t>
      </w:r>
      <w:proofErr w:type="gramStart"/>
      <w:r w:rsidRPr="00C64BA4">
        <w:rPr>
          <w:i/>
          <w:iCs/>
        </w:rPr>
        <w:t>New Hampshire;</w:t>
      </w:r>
      <w:proofErr w:type="gramEnd"/>
    </w:p>
    <w:p w14:paraId="7AB1E737" w14:textId="77777777" w:rsidR="00612FA6" w:rsidRPr="00C64BA4" w:rsidRDefault="00612FA6" w:rsidP="00206C45">
      <w:pPr>
        <w:pStyle w:val="Body"/>
        <w:numPr>
          <w:ilvl w:val="0"/>
          <w:numId w:val="16"/>
        </w:numPr>
        <w:spacing w:line="300" w:lineRule="auto"/>
        <w:rPr>
          <w:i/>
          <w:iCs/>
        </w:rPr>
      </w:pPr>
      <w:r w:rsidRPr="00C64BA4">
        <w:rPr>
          <w:i/>
          <w:iCs/>
        </w:rPr>
        <w:t xml:space="preserve">Investing in housing is a better solution for individuals, families, and communities creating improved health, social, educational, and economic </w:t>
      </w:r>
      <w:proofErr w:type="gramStart"/>
      <w:r w:rsidRPr="00C64BA4">
        <w:rPr>
          <w:i/>
          <w:iCs/>
        </w:rPr>
        <w:t>outcomes;</w:t>
      </w:r>
      <w:proofErr w:type="gramEnd"/>
    </w:p>
    <w:p w14:paraId="1600176D" w14:textId="77777777" w:rsidR="00612FA6" w:rsidRPr="00C64BA4" w:rsidRDefault="00612FA6" w:rsidP="00206C45">
      <w:pPr>
        <w:pStyle w:val="Body"/>
        <w:numPr>
          <w:ilvl w:val="0"/>
          <w:numId w:val="16"/>
        </w:numPr>
        <w:spacing w:line="300" w:lineRule="auto"/>
        <w:rPr>
          <w:i/>
          <w:iCs/>
        </w:rPr>
      </w:pPr>
      <w:r w:rsidRPr="00C64BA4">
        <w:rPr>
          <w:i/>
          <w:iCs/>
        </w:rPr>
        <w:t>Needed services and support should be delivered in each community, based on the unique assets, resources, strengths, challenges, and needs unique to each area of the state.</w:t>
      </w:r>
    </w:p>
    <w:p w14:paraId="1C8F808C" w14:textId="77777777" w:rsidR="00612FA6" w:rsidRPr="00C64BA4" w:rsidRDefault="00612FA6" w:rsidP="00921975">
      <w:pPr>
        <w:pStyle w:val="Body"/>
        <w:keepNext/>
        <w:keepLines/>
        <w:spacing w:line="300" w:lineRule="auto"/>
      </w:pPr>
      <w:r w:rsidRPr="00C64BA4">
        <w:lastRenderedPageBreak/>
        <w:t>Building on this vision, the Council developed six objectives:</w:t>
      </w:r>
    </w:p>
    <w:p w14:paraId="48434D6E" w14:textId="77777777" w:rsidR="00612FA6" w:rsidRPr="00C64BA4" w:rsidRDefault="00612FA6" w:rsidP="00921975">
      <w:pPr>
        <w:pStyle w:val="Body"/>
        <w:keepNext/>
        <w:keepLines/>
        <w:numPr>
          <w:ilvl w:val="0"/>
          <w:numId w:val="17"/>
        </w:numPr>
        <w:spacing w:line="300" w:lineRule="auto"/>
        <w:rPr>
          <w:i/>
          <w:iCs/>
        </w:rPr>
      </w:pPr>
      <w:r w:rsidRPr="00C64BA4">
        <w:rPr>
          <w:i/>
          <w:iCs/>
        </w:rPr>
        <w:t xml:space="preserve">Promote increased housing stability at the state and local levels by improving crisis response, services infrastructure and policies that support individuals and families to maintain housing in their </w:t>
      </w:r>
      <w:proofErr w:type="gramStart"/>
      <w:r w:rsidRPr="00C64BA4">
        <w:rPr>
          <w:i/>
          <w:iCs/>
        </w:rPr>
        <w:t>community;</w:t>
      </w:r>
      <w:proofErr w:type="gramEnd"/>
    </w:p>
    <w:p w14:paraId="58FE553E" w14:textId="77777777" w:rsidR="00612FA6" w:rsidRPr="00C64BA4" w:rsidRDefault="00612FA6" w:rsidP="00206C45">
      <w:pPr>
        <w:pStyle w:val="Body"/>
        <w:numPr>
          <w:ilvl w:val="0"/>
          <w:numId w:val="17"/>
        </w:numPr>
        <w:spacing w:line="300" w:lineRule="auto"/>
        <w:rPr>
          <w:i/>
          <w:iCs/>
        </w:rPr>
      </w:pPr>
      <w:r w:rsidRPr="00C64BA4">
        <w:rPr>
          <w:i/>
          <w:iCs/>
        </w:rPr>
        <w:t xml:space="preserve">Remove regulatory barriers to affordable housing in order to expand New Hampshire’s housing market for all persons with special emphasis on affordable, accessible options and using innovative </w:t>
      </w:r>
      <w:proofErr w:type="gramStart"/>
      <w:r w:rsidRPr="00C64BA4">
        <w:rPr>
          <w:i/>
          <w:iCs/>
        </w:rPr>
        <w:t>approaches;</w:t>
      </w:r>
      <w:proofErr w:type="gramEnd"/>
    </w:p>
    <w:p w14:paraId="30191506" w14:textId="77777777" w:rsidR="00612FA6" w:rsidRPr="00C64BA4" w:rsidRDefault="00612FA6" w:rsidP="00206C45">
      <w:pPr>
        <w:pStyle w:val="Body"/>
        <w:numPr>
          <w:ilvl w:val="0"/>
          <w:numId w:val="17"/>
        </w:numPr>
        <w:spacing w:line="300" w:lineRule="auto"/>
        <w:rPr>
          <w:i/>
          <w:iCs/>
        </w:rPr>
      </w:pPr>
      <w:r w:rsidRPr="00C64BA4">
        <w:rPr>
          <w:i/>
          <w:iCs/>
        </w:rPr>
        <w:t xml:space="preserve">Increase production of </w:t>
      </w:r>
      <w:proofErr w:type="gramStart"/>
      <w:r w:rsidRPr="00C64BA4">
        <w:rPr>
          <w:i/>
          <w:iCs/>
        </w:rPr>
        <w:t>publicly-financed</w:t>
      </w:r>
      <w:proofErr w:type="gramEnd"/>
      <w:r w:rsidRPr="00C64BA4">
        <w:rPr>
          <w:i/>
          <w:iCs/>
        </w:rPr>
        <w:t xml:space="preserve"> affordable housing with supportive services;</w:t>
      </w:r>
    </w:p>
    <w:p w14:paraId="4D48576D" w14:textId="77777777" w:rsidR="00612FA6" w:rsidRPr="00C64BA4" w:rsidRDefault="00612FA6" w:rsidP="00206C45">
      <w:pPr>
        <w:pStyle w:val="Body"/>
        <w:numPr>
          <w:ilvl w:val="0"/>
          <w:numId w:val="17"/>
        </w:numPr>
        <w:spacing w:line="300" w:lineRule="auto"/>
        <w:rPr>
          <w:i/>
          <w:iCs/>
        </w:rPr>
      </w:pPr>
      <w:r w:rsidRPr="00C64BA4">
        <w:rPr>
          <w:i/>
          <w:iCs/>
        </w:rPr>
        <w:t xml:space="preserve">Deploy targeted financial incentives or tax off-sets designed to promote private-market housing production and use of existing structures for rental housing that is affordable to the lowest-incomes and households in need of on-going community </w:t>
      </w:r>
      <w:proofErr w:type="gramStart"/>
      <w:r w:rsidRPr="00C64BA4">
        <w:rPr>
          <w:i/>
          <w:iCs/>
        </w:rPr>
        <w:t>support;</w:t>
      </w:r>
      <w:proofErr w:type="gramEnd"/>
    </w:p>
    <w:p w14:paraId="6B4EDF0A" w14:textId="77777777" w:rsidR="00612FA6" w:rsidRPr="00C64BA4" w:rsidRDefault="00612FA6" w:rsidP="00206C45">
      <w:pPr>
        <w:pStyle w:val="Body"/>
        <w:numPr>
          <w:ilvl w:val="0"/>
          <w:numId w:val="17"/>
        </w:numPr>
        <w:spacing w:line="300" w:lineRule="auto"/>
        <w:rPr>
          <w:i/>
          <w:iCs/>
        </w:rPr>
      </w:pPr>
      <w:r w:rsidRPr="00C64BA4">
        <w:rPr>
          <w:i/>
          <w:iCs/>
        </w:rPr>
        <w:t xml:space="preserve">Achieve a productive legislative strategy for the 2022 session that supports efforts to increase housing </w:t>
      </w:r>
      <w:proofErr w:type="gramStart"/>
      <w:r w:rsidRPr="00C64BA4">
        <w:rPr>
          <w:i/>
          <w:iCs/>
        </w:rPr>
        <w:t>production;</w:t>
      </w:r>
      <w:proofErr w:type="gramEnd"/>
    </w:p>
    <w:p w14:paraId="0A06239A" w14:textId="7DFFD6C2" w:rsidR="0099728D" w:rsidRPr="00C64BA4" w:rsidRDefault="00612FA6" w:rsidP="00206C45">
      <w:pPr>
        <w:pStyle w:val="Body"/>
        <w:numPr>
          <w:ilvl w:val="0"/>
          <w:numId w:val="17"/>
        </w:numPr>
        <w:spacing w:line="300" w:lineRule="auto"/>
        <w:rPr>
          <w:i/>
          <w:iCs/>
        </w:rPr>
      </w:pPr>
      <w:r w:rsidRPr="00C64BA4">
        <w:rPr>
          <w:i/>
          <w:iCs/>
        </w:rPr>
        <w:t>Integrate and coordinate a housing stability governance structure connecting state government with local communities through needs assessments, strategic initiatives, and data-driven decision-making.</w:t>
      </w:r>
    </w:p>
    <w:p w14:paraId="7159EED1" w14:textId="10222C32" w:rsidR="00612FA6" w:rsidRPr="00C64BA4" w:rsidRDefault="00612FA6" w:rsidP="00206C45">
      <w:pPr>
        <w:pStyle w:val="Body"/>
        <w:spacing w:line="300" w:lineRule="auto"/>
      </w:pPr>
      <w:proofErr w:type="gramStart"/>
      <w:r w:rsidRPr="00C64BA4">
        <w:t>All of</w:t>
      </w:r>
      <w:proofErr w:type="gramEnd"/>
      <w:r w:rsidRPr="00C64BA4">
        <w:t xml:space="preserve"> these efforts were to achieve the Council overarching goals:</w:t>
      </w:r>
    </w:p>
    <w:p w14:paraId="4A916953" w14:textId="1EE895A2" w:rsidR="0099728D" w:rsidRPr="00C64BA4" w:rsidRDefault="00612FA6" w:rsidP="00206C45">
      <w:pPr>
        <w:pStyle w:val="Body"/>
        <w:numPr>
          <w:ilvl w:val="0"/>
          <w:numId w:val="23"/>
        </w:numPr>
        <w:spacing w:after="120" w:line="300" w:lineRule="auto"/>
        <w:jc w:val="left"/>
        <w:rPr>
          <w:i/>
          <w:iCs/>
        </w:rPr>
      </w:pPr>
      <w:r w:rsidRPr="00C64BA4">
        <w:rPr>
          <w:i/>
          <w:iCs/>
        </w:rPr>
        <w:t xml:space="preserve">Homelessness is rare, brief and </w:t>
      </w:r>
      <w:proofErr w:type="gramStart"/>
      <w:r w:rsidRPr="00C64BA4">
        <w:rPr>
          <w:i/>
          <w:iCs/>
        </w:rPr>
        <w:t>one-time</w:t>
      </w:r>
      <w:proofErr w:type="gramEnd"/>
    </w:p>
    <w:p w14:paraId="4F594152" w14:textId="7E4A7C75" w:rsidR="0099728D" w:rsidRPr="00C64BA4" w:rsidRDefault="0099728D" w:rsidP="00206C45">
      <w:pPr>
        <w:pStyle w:val="Body"/>
        <w:numPr>
          <w:ilvl w:val="0"/>
          <w:numId w:val="23"/>
        </w:numPr>
        <w:spacing w:after="120" w:line="300" w:lineRule="auto"/>
        <w:jc w:val="left"/>
        <w:rPr>
          <w:i/>
          <w:iCs/>
        </w:rPr>
      </w:pPr>
      <w:r w:rsidRPr="00C64BA4">
        <w:rPr>
          <w:i/>
          <w:iCs/>
        </w:rPr>
        <w:t xml:space="preserve">Increased housing availability is critical for NH’s </w:t>
      </w:r>
      <w:proofErr w:type="gramStart"/>
      <w:r w:rsidRPr="00C64BA4">
        <w:rPr>
          <w:i/>
          <w:iCs/>
        </w:rPr>
        <w:t>future</w:t>
      </w:r>
      <w:proofErr w:type="gramEnd"/>
    </w:p>
    <w:p w14:paraId="02286881" w14:textId="417F652D" w:rsidR="00612FA6" w:rsidRPr="00C64BA4" w:rsidRDefault="00612FA6" w:rsidP="00206C45">
      <w:pPr>
        <w:pStyle w:val="Body"/>
        <w:numPr>
          <w:ilvl w:val="0"/>
          <w:numId w:val="23"/>
        </w:numPr>
        <w:spacing w:after="120" w:line="300" w:lineRule="auto"/>
        <w:jc w:val="left"/>
        <w:rPr>
          <w:rStyle w:val="Heading5Char"/>
          <w:caps w:val="0"/>
        </w:rPr>
      </w:pPr>
      <w:r w:rsidRPr="00C64BA4">
        <w:rPr>
          <w:i/>
          <w:iCs/>
        </w:rPr>
        <w:t>Increase housing units by 13,500 by 2024.</w:t>
      </w:r>
      <w:r w:rsidR="0099728D" w:rsidRPr="00C64BA4">
        <w:rPr>
          <w:i/>
          <w:iCs/>
        </w:rPr>
        <w:t xml:space="preserve"> </w:t>
      </w:r>
      <w:r w:rsidRPr="00C64BA4">
        <w:t>Adding 13,500 housing units would increase the NH’s total housing stock by about 2%.</w:t>
      </w:r>
      <w:bookmarkStart w:id="41" w:name="_Toc700848455"/>
      <w:bookmarkStart w:id="42" w:name="_Toc153335442"/>
      <w:bookmarkEnd w:id="41"/>
      <w:bookmarkEnd w:id="42"/>
    </w:p>
    <w:p w14:paraId="07E073AB" w14:textId="4830EC1E" w:rsidR="00994C9C" w:rsidRPr="00C64BA4" w:rsidRDefault="192F52F6" w:rsidP="00206C45">
      <w:pPr>
        <w:pStyle w:val="Heading2"/>
        <w:spacing w:line="300" w:lineRule="auto"/>
        <w:rPr>
          <w:highlight w:val="magenta"/>
          <w:lang w:val="en"/>
        </w:rPr>
      </w:pPr>
      <w:bookmarkStart w:id="43" w:name="_Toc128137947"/>
      <w:r w:rsidRPr="00C64BA4">
        <w:rPr>
          <w:lang w:val="en"/>
        </w:rPr>
        <w:t>The Housing Landscape</w:t>
      </w:r>
      <w:bookmarkEnd w:id="38"/>
      <w:bookmarkEnd w:id="39"/>
      <w:bookmarkEnd w:id="43"/>
    </w:p>
    <w:p w14:paraId="48C22277" w14:textId="77777777" w:rsidR="00994C9C" w:rsidRPr="00C64BA4" w:rsidRDefault="00994C9C" w:rsidP="00206C45">
      <w:pPr>
        <w:pStyle w:val="Heading3"/>
        <w:spacing w:line="300" w:lineRule="auto"/>
      </w:pPr>
      <w:bookmarkStart w:id="44" w:name="_Toc128137948"/>
      <w:r w:rsidRPr="00C64BA4">
        <w:t>The Great Recession</w:t>
      </w:r>
      <w:bookmarkEnd w:id="44"/>
    </w:p>
    <w:p w14:paraId="366F68AF" w14:textId="1701F50D" w:rsidR="00994C9C" w:rsidRPr="00C64BA4" w:rsidRDefault="192F52F6" w:rsidP="00206C45">
      <w:pPr>
        <w:pStyle w:val="Body"/>
        <w:spacing w:line="300" w:lineRule="auto"/>
      </w:pPr>
      <w:r w:rsidRPr="00C64BA4">
        <w:t xml:space="preserve">The economic decline of 2008, known as the </w:t>
      </w:r>
      <w:r w:rsidR="001B563A">
        <w:t>G</w:t>
      </w:r>
      <w:r w:rsidRPr="00C64BA4">
        <w:t xml:space="preserve">reat </w:t>
      </w:r>
      <w:r w:rsidR="001B563A">
        <w:t>R</w:t>
      </w:r>
      <w:r w:rsidRPr="00C64BA4">
        <w:t xml:space="preserve">ecession, was directly tied to the nation’s housing market. Lenders were selling risky mortgage products. Those risky loans were then sold or redistributed into the open stock market. The over-investment in housing leading up to the Great Recession allowed home prices to rise to unsustainable levels. This was followed by the major losses in household wealth. According to the </w:t>
      </w:r>
      <w:hyperlink r:id="rId41">
        <w:r w:rsidRPr="00C64BA4">
          <w:rPr>
            <w:rStyle w:val="Hyperlink"/>
          </w:rPr>
          <w:t>Federal Reserve</w:t>
        </w:r>
      </w:hyperlink>
      <w:r w:rsidR="006D167E">
        <w:rPr>
          <w:rStyle w:val="FootnoteReference"/>
        </w:rPr>
        <w:footnoteReference w:id="5"/>
      </w:r>
      <w:r w:rsidRPr="00C64BA4">
        <w:t xml:space="preserve">, U.S. households lost </w:t>
      </w:r>
      <w:r w:rsidR="114C273C" w:rsidRPr="00C64BA4">
        <w:t>approximately</w:t>
      </w:r>
      <w:r w:rsidRPr="00C64BA4">
        <w:t xml:space="preserve"> 20% of their wealth between the end of 2007 and the middle of 2009, when the Great Recession was officially declared at an end. </w:t>
      </w:r>
      <w:proofErr w:type="gramStart"/>
      <w:r w:rsidRPr="00C64BA4">
        <w:t>Generally speaking, Americans</w:t>
      </w:r>
      <w:proofErr w:type="gramEnd"/>
      <w:r w:rsidRPr="00C64BA4">
        <w:t xml:space="preserve"> had not experienced a similar market loss in their lifetimes.  The </w:t>
      </w:r>
      <w:r w:rsidR="001B563A">
        <w:t>G</w:t>
      </w:r>
      <w:r w:rsidRPr="00C64BA4">
        <w:t xml:space="preserve">reat </w:t>
      </w:r>
      <w:r w:rsidR="001B563A">
        <w:t>R</w:t>
      </w:r>
      <w:r w:rsidRPr="00C64BA4">
        <w:t xml:space="preserve">ecession also took its toll on people </w:t>
      </w:r>
      <w:r w:rsidRPr="00C64BA4">
        <w:lastRenderedPageBreak/>
        <w:t xml:space="preserve">outside of homeownership. Neighborhoods where foreclosures were frequent experienced reduced property values and declining purchasing power. Individuals who lost homes and had no viable alternative were at risk of becoming homeless. HUD’s </w:t>
      </w:r>
      <w:r w:rsidRPr="003D5CFB">
        <w:t>Annual Homeless Assessment Report</w:t>
      </w:r>
      <w:r w:rsidR="006D167E">
        <w:rPr>
          <w:rStyle w:val="FootnoteReference"/>
        </w:rPr>
        <w:footnoteReference w:id="6"/>
      </w:r>
      <w:r w:rsidRPr="00C64BA4">
        <w:t xml:space="preserve"> estimated that the number of homeless families in the United States rose by 30 percent to a total of 170,000 during the recession.</w:t>
      </w:r>
    </w:p>
    <w:p w14:paraId="40CF91C5" w14:textId="3760FD20" w:rsidR="00197066" w:rsidRPr="00C64BA4" w:rsidRDefault="192F52F6" w:rsidP="00206C45">
      <w:pPr>
        <w:pStyle w:val="Body"/>
        <w:spacing w:line="300" w:lineRule="auto"/>
      </w:pPr>
      <w:r w:rsidRPr="00C64BA4">
        <w:t xml:space="preserve">In New Hampshire, the </w:t>
      </w:r>
      <w:r w:rsidR="001B563A">
        <w:t>G</w:t>
      </w:r>
      <w:r w:rsidRPr="00C64BA4">
        <w:t xml:space="preserve">reat </w:t>
      </w:r>
      <w:r w:rsidR="001B563A">
        <w:t>R</w:t>
      </w:r>
      <w:r w:rsidRPr="00C64BA4">
        <w:t>ecession has had long</w:t>
      </w:r>
      <w:r w:rsidR="002C4EF1">
        <w:t>-</w:t>
      </w:r>
      <w:r w:rsidRPr="00C64BA4">
        <w:t xml:space="preserve">term negative impacts on the production of housing. </w:t>
      </w:r>
      <w:proofErr w:type="gramStart"/>
      <w:r w:rsidRPr="00C64BA4">
        <w:t>In particular, single-family</w:t>
      </w:r>
      <w:proofErr w:type="gramEnd"/>
      <w:r w:rsidRPr="00C64BA4">
        <w:t xml:space="preserve"> housing production started to collapse in 2007. Between 2000 and 2007 the state averaged roughly 5,400 single-family home building permits per year. The annual average fell to just 1,500 from 2008 to 2012. For a decade, the housing market didn’t fully recover, </w:t>
      </w:r>
      <w:r w:rsidR="00FA64B8" w:rsidRPr="00C64BA4">
        <w:t>averaging</w:t>
      </w:r>
      <w:r w:rsidRPr="00C64BA4">
        <w:t xml:space="preserve"> around 2,000 permits annually between 2011 and 2020.  As of 2021, production has increased, but the long-term impacts of the recession on housing production led to a significant decline in housing supply alongside continuously increasing housing prices since the Great Recession. For the period since the</w:t>
      </w:r>
      <w:r w:rsidR="2C5C4995" w:rsidRPr="00C64BA4">
        <w:t xml:space="preserve"> 2008</w:t>
      </w:r>
      <w:r w:rsidRPr="00C64BA4">
        <w:t xml:space="preserve"> Recession, housing costs have consistently outpaced increases in household’s real income, causing strains on household incomes and general housing affordability. The Great Recession set the stage for a widening gap in wealth within America, one which was observable within Southern New Hampshire region as well.</w:t>
      </w:r>
    </w:p>
    <w:p w14:paraId="5AB103AC" w14:textId="21D5612A" w:rsidR="00994C9C" w:rsidRPr="00C64BA4" w:rsidRDefault="00994C9C" w:rsidP="00206C45">
      <w:pPr>
        <w:pStyle w:val="Heading3"/>
        <w:spacing w:line="300" w:lineRule="auto"/>
      </w:pPr>
      <w:bookmarkStart w:id="45" w:name="_Toc128137949"/>
      <w:r w:rsidRPr="00C64BA4">
        <w:t>Growing Inequality</w:t>
      </w:r>
      <w:bookmarkEnd w:id="45"/>
    </w:p>
    <w:p w14:paraId="14635532" w14:textId="707CA0BE" w:rsidR="0099728D" w:rsidRPr="00C64BA4" w:rsidRDefault="004418C4" w:rsidP="00206C45">
      <w:pPr>
        <w:pStyle w:val="Body"/>
        <w:spacing w:line="300" w:lineRule="auto"/>
      </w:pPr>
      <w:r>
        <w:rPr>
          <w:noProof/>
        </w:rPr>
        <mc:AlternateContent>
          <mc:Choice Requires="wps">
            <w:drawing>
              <wp:anchor distT="0" distB="0" distL="114300" distR="114300" simplePos="0" relativeHeight="251683840" behindDoc="0" locked="0" layoutInCell="1" allowOverlap="1" wp14:anchorId="687DC201" wp14:editId="3938E400">
                <wp:simplePos x="0" y="0"/>
                <wp:positionH relativeFrom="column">
                  <wp:posOffset>2628265</wp:posOffset>
                </wp:positionH>
                <wp:positionV relativeFrom="paragraph">
                  <wp:posOffset>2268855</wp:posOffset>
                </wp:positionV>
                <wp:extent cx="3324225" cy="635"/>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3324225" cy="635"/>
                        </a:xfrm>
                        <a:prstGeom prst="rect">
                          <a:avLst/>
                        </a:prstGeom>
                        <a:solidFill>
                          <a:prstClr val="white"/>
                        </a:solidFill>
                        <a:ln>
                          <a:noFill/>
                        </a:ln>
                      </wps:spPr>
                      <wps:txbx>
                        <w:txbxContent>
                          <w:p w14:paraId="02A2D554" w14:textId="3B2E78D0" w:rsidR="004418C4" w:rsidRPr="003D0E51" w:rsidRDefault="004418C4" w:rsidP="004418C4">
                            <w:pPr>
                              <w:pStyle w:val="Caption"/>
                              <w:rPr>
                                <w:noProof/>
                              </w:rPr>
                            </w:pPr>
                            <w:bookmarkStart w:id="46" w:name="_Toc128137860"/>
                            <w:r>
                              <w:t xml:space="preserve">Figure </w:t>
                            </w:r>
                            <w:r w:rsidR="0062538A">
                              <w:fldChar w:fldCharType="begin"/>
                            </w:r>
                            <w:r w:rsidR="0062538A">
                              <w:instrText xml:space="preserve"> SEQ Figure \* ARABIC </w:instrText>
                            </w:r>
                            <w:r w:rsidR="0062538A">
                              <w:fldChar w:fldCharType="separate"/>
                            </w:r>
                            <w:r w:rsidR="00E75682">
                              <w:rPr>
                                <w:noProof/>
                              </w:rPr>
                              <w:t>1</w:t>
                            </w:r>
                            <w:r w:rsidR="0062538A">
                              <w:rPr>
                                <w:noProof/>
                              </w:rPr>
                              <w:fldChar w:fldCharType="end"/>
                            </w:r>
                            <w:r>
                              <w:t xml:space="preserve">: </w:t>
                            </w:r>
                            <w:r w:rsidRPr="00871BAA">
                              <w:t>Canal Street Homeless Encamplement</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87DC201" id="_x0000_t202" coordsize="21600,21600" o:spt="202" path="m,l,21600r21600,l21600,xe">
                <v:stroke joinstyle="miter"/>
                <v:path gradientshapeok="t" o:connecttype="rect"/>
              </v:shapetype>
              <v:shape id="Text Box 14" o:spid="_x0000_s1026" type="#_x0000_t202" style="position:absolute;left:0;text-align:left;margin-left:206.95pt;margin-top:178.65pt;width:261.75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" stroked="f">
                <v:textbox style="mso-fit-shape-to-text:t" inset="0,0,0,0">
                  <w:txbxContent>
                    <w:p w14:paraId="02A2D554" w14:textId="3B2E78D0" w:rsidR="004418C4" w:rsidRPr="003D0E51" w:rsidRDefault="004418C4" w:rsidP="004418C4">
                      <w:pPr>
                        <w:pStyle w:val="Caption"/>
                        <w:rPr>
                          <w:noProof/>
                        </w:rPr>
                      </w:pPr>
                      <w:bookmarkStart w:id="47" w:name="_Toc128137860"/>
                      <w:r>
                        <w:t xml:space="preserve">Figure </w:t>
                      </w:r>
                      <w:r w:rsidR="0062538A">
                        <w:fldChar w:fldCharType="begin"/>
                      </w:r>
                      <w:r w:rsidR="0062538A">
                        <w:instrText xml:space="preserve"> SEQ Figure \* ARABIC </w:instrText>
                      </w:r>
                      <w:r w:rsidR="0062538A">
                        <w:fldChar w:fldCharType="separate"/>
                      </w:r>
                      <w:r w:rsidR="00E75682">
                        <w:rPr>
                          <w:noProof/>
                        </w:rPr>
                        <w:t>1</w:t>
                      </w:r>
                      <w:r w:rsidR="0062538A">
                        <w:rPr>
                          <w:noProof/>
                        </w:rPr>
                        <w:fldChar w:fldCharType="end"/>
                      </w:r>
                      <w:r>
                        <w:t xml:space="preserve">: </w:t>
                      </w:r>
                      <w:r w:rsidRPr="00871BAA">
                        <w:t>Canal Street Homeless Encamplement</w:t>
                      </w:r>
                      <w:bookmarkEnd w:id="47"/>
                    </w:p>
                  </w:txbxContent>
                </v:textbox>
                <w10:wrap type="square"/>
              </v:shape>
            </w:pict>
          </mc:Fallback>
        </mc:AlternateContent>
      </w:r>
      <w:r w:rsidR="00CB401C" w:rsidRPr="00C64BA4">
        <w:rPr>
          <w:noProof/>
        </w:rPr>
        <w:drawing>
          <wp:anchor distT="0" distB="0" distL="114300" distR="114300" simplePos="0" relativeHeight="251654144" behindDoc="0" locked="0" layoutInCell="1" allowOverlap="1" wp14:anchorId="7511FC43" wp14:editId="32B200B7">
            <wp:simplePos x="0" y="0"/>
            <wp:positionH relativeFrom="column">
              <wp:posOffset>2628265</wp:posOffset>
            </wp:positionH>
            <wp:positionV relativeFrom="paragraph">
              <wp:posOffset>20955</wp:posOffset>
            </wp:positionV>
            <wp:extent cx="3324225" cy="2190750"/>
            <wp:effectExtent l="19050" t="19050" r="28575" b="19050"/>
            <wp:wrapSquare wrapText="bothSides"/>
            <wp:docPr id="3" name="Picture 3" descr="A picture containing tent, outdoor, grass,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nt, outdoor, grass, outdoor object&#10;&#10;Description automatically generated"/>
                    <pic:cNvPicPr/>
                  </pic:nvPicPr>
                  <pic:blipFill rotWithShape="1">
                    <a:blip r:embed="rId42" cstate="print">
                      <a:extLst>
                        <a:ext uri="{28A0092B-C50C-407E-A947-70E740481C1C}">
                          <a14:useLocalDpi xmlns:a14="http://schemas.microsoft.com/office/drawing/2010/main" val="0"/>
                        </a:ext>
                      </a:extLst>
                    </a:blip>
                    <a:srcRect l="5245" t="18880" r="15160" b="11190"/>
                    <a:stretch/>
                  </pic:blipFill>
                  <pic:spPr bwMode="auto">
                    <a:xfrm>
                      <a:off x="0" y="0"/>
                      <a:ext cx="3324225" cy="21907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401C" w:rsidRPr="00C64BA4">
        <w:rPr>
          <w:noProof/>
        </w:rPr>
        <mc:AlternateContent>
          <mc:Choice Requires="wps">
            <w:drawing>
              <wp:anchor distT="0" distB="0" distL="114300" distR="114300" simplePos="0" relativeHeight="251656192" behindDoc="0" locked="0" layoutInCell="1" allowOverlap="1" wp14:anchorId="3E40D8CF" wp14:editId="0701D802">
                <wp:simplePos x="0" y="0"/>
                <wp:positionH relativeFrom="column">
                  <wp:posOffset>2571750</wp:posOffset>
                </wp:positionH>
                <wp:positionV relativeFrom="paragraph">
                  <wp:posOffset>2373630</wp:posOffset>
                </wp:positionV>
                <wp:extent cx="3552825" cy="323850"/>
                <wp:effectExtent l="0" t="0" r="9525" b="0"/>
                <wp:wrapSquare wrapText="bothSides"/>
                <wp:docPr id="11" name="Text Box 11"/>
                <wp:cNvGraphicFramePr/>
                <a:graphic xmlns:a="http://schemas.openxmlformats.org/drawingml/2006/main">
                  <a:graphicData uri="http://schemas.microsoft.com/office/word/2010/wordprocessingShape">
                    <wps:wsp>
                      <wps:cNvSpPr txBox="1"/>
                      <wps:spPr>
                        <a:xfrm>
                          <a:off x="0" y="0"/>
                          <a:ext cx="3552825" cy="323850"/>
                        </a:xfrm>
                        <a:prstGeom prst="rect">
                          <a:avLst/>
                        </a:prstGeom>
                        <a:solidFill>
                          <a:schemeClr val="lt1"/>
                        </a:solidFill>
                        <a:ln w="6350">
                          <a:noFill/>
                        </a:ln>
                      </wps:spPr>
                      <wps:txbx>
                        <w:txbxContent>
                          <w:p w14:paraId="3947CB9B" w14:textId="3A40C481" w:rsidR="00806919" w:rsidRPr="00065439" w:rsidRDefault="00065439" w:rsidP="00065439">
                            <w:pPr>
                              <w:pStyle w:val="Caption"/>
                              <w:ind w:left="-90"/>
                              <w:rPr>
                                <w:sz w:val="16"/>
                                <w:szCs w:val="16"/>
                              </w:rPr>
                            </w:pPr>
                            <w:r>
                              <w:rPr>
                                <w:sz w:val="16"/>
                                <w:szCs w:val="16"/>
                              </w:rPr>
                              <w:t xml:space="preserve">City </w:t>
                            </w:r>
                            <w:r w:rsidR="00310725" w:rsidRPr="00065439">
                              <w:rPr>
                                <w:sz w:val="16"/>
                                <w:szCs w:val="16"/>
                              </w:rPr>
                              <w:t>Fire Chief and Emergency Director make the rounds at</w:t>
                            </w:r>
                            <w:r>
                              <w:rPr>
                                <w:sz w:val="16"/>
                                <w:szCs w:val="16"/>
                              </w:rPr>
                              <w:t xml:space="preserve"> a</w:t>
                            </w:r>
                            <w:r w:rsidR="00E87463">
                              <w:rPr>
                                <w:sz w:val="16"/>
                                <w:szCs w:val="16"/>
                              </w:rPr>
                              <w:t xml:space="preserve"> homeless</w:t>
                            </w:r>
                            <w:r w:rsidR="00310725" w:rsidRPr="00065439">
                              <w:rPr>
                                <w:sz w:val="16"/>
                                <w:szCs w:val="16"/>
                              </w:rPr>
                              <w:t xml:space="preserve"> encampment under </w:t>
                            </w:r>
                            <w:r w:rsidR="00CB401C">
                              <w:rPr>
                                <w:sz w:val="16"/>
                                <w:szCs w:val="16"/>
                              </w:rPr>
                              <w:t>a</w:t>
                            </w:r>
                            <w:r>
                              <w:rPr>
                                <w:sz w:val="16"/>
                                <w:szCs w:val="16"/>
                              </w:rPr>
                              <w:t xml:space="preserve"> bridge</w:t>
                            </w:r>
                            <w:r w:rsidR="00310725" w:rsidRPr="00065439">
                              <w:rPr>
                                <w:sz w:val="16"/>
                                <w:szCs w:val="16"/>
                              </w:rPr>
                              <w:t xml:space="preserve">. </w:t>
                            </w:r>
                            <w:hyperlink r:id="rId43" w:history="1">
                              <w:r w:rsidR="00310725" w:rsidRPr="00065439">
                                <w:rPr>
                                  <w:rStyle w:val="Hyperlink"/>
                                  <w:sz w:val="16"/>
                                  <w:szCs w:val="16"/>
                                </w:rPr>
                                <w:t>Photo/Carol Robidoux</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0D8CF" id="Text Box 11" o:spid="_x0000_s1027" type="#_x0000_t202" style="position:absolute;left:0;text-align:left;margin-left:202.5pt;margin-top:186.9pt;width:279.75pt;height:2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" fillcolor="white [3201]" stroked="f" strokeweight=".5pt">
                <v:textbox>
                  <w:txbxContent>
                    <w:p w14:paraId="3947CB9B" w14:textId="3A40C481" w:rsidR="00806919" w:rsidRPr="00065439" w:rsidRDefault="00065439" w:rsidP="00065439">
                      <w:pPr>
                        <w:pStyle w:val="Caption"/>
                        <w:ind w:left="-90"/>
                        <w:rPr>
                          <w:sz w:val="16"/>
                          <w:szCs w:val="16"/>
                        </w:rPr>
                      </w:pPr>
                      <w:r>
                        <w:rPr>
                          <w:sz w:val="16"/>
                          <w:szCs w:val="16"/>
                        </w:rPr>
                        <w:t xml:space="preserve">City </w:t>
                      </w:r>
                      <w:r w:rsidR="00310725" w:rsidRPr="00065439">
                        <w:rPr>
                          <w:sz w:val="16"/>
                          <w:szCs w:val="16"/>
                        </w:rPr>
                        <w:t>Fire Chief and Emergency Director make the rounds at</w:t>
                      </w:r>
                      <w:r>
                        <w:rPr>
                          <w:sz w:val="16"/>
                          <w:szCs w:val="16"/>
                        </w:rPr>
                        <w:t xml:space="preserve"> a</w:t>
                      </w:r>
                      <w:r w:rsidR="00E87463">
                        <w:rPr>
                          <w:sz w:val="16"/>
                          <w:szCs w:val="16"/>
                        </w:rPr>
                        <w:t xml:space="preserve"> homeless</w:t>
                      </w:r>
                      <w:r w:rsidR="00310725" w:rsidRPr="00065439">
                        <w:rPr>
                          <w:sz w:val="16"/>
                          <w:szCs w:val="16"/>
                        </w:rPr>
                        <w:t xml:space="preserve"> encampment under </w:t>
                      </w:r>
                      <w:r w:rsidR="00CB401C">
                        <w:rPr>
                          <w:sz w:val="16"/>
                          <w:szCs w:val="16"/>
                        </w:rPr>
                        <w:t>a</w:t>
                      </w:r>
                      <w:r>
                        <w:rPr>
                          <w:sz w:val="16"/>
                          <w:szCs w:val="16"/>
                        </w:rPr>
                        <w:t xml:space="preserve"> bridge</w:t>
                      </w:r>
                      <w:r w:rsidR="00310725" w:rsidRPr="00065439">
                        <w:rPr>
                          <w:sz w:val="16"/>
                          <w:szCs w:val="16"/>
                        </w:rPr>
                        <w:t xml:space="preserve">. </w:t>
                      </w:r>
                      <w:hyperlink r:id="rId44" w:history="1">
                        <w:r w:rsidR="00310725" w:rsidRPr="00065439">
                          <w:rPr>
                            <w:rStyle w:val="Hyperlink"/>
                            <w:sz w:val="16"/>
                            <w:szCs w:val="16"/>
                          </w:rPr>
                          <w:t>Photo/Carol Robidoux</w:t>
                        </w:r>
                      </w:hyperlink>
                    </w:p>
                  </w:txbxContent>
                </v:textbox>
                <w10:wrap type="square"/>
              </v:shape>
            </w:pict>
          </mc:Fallback>
        </mc:AlternateContent>
      </w:r>
      <w:r w:rsidR="00F74695" w:rsidRPr="00C64BA4">
        <w:t>While hous</w:t>
      </w:r>
      <w:r w:rsidR="00604F28" w:rsidRPr="00C64BA4">
        <w:t xml:space="preserve">ehold wealth </w:t>
      </w:r>
      <w:r w:rsidR="00283725" w:rsidRPr="00C64BA4">
        <w:t xml:space="preserve">declined </w:t>
      </w:r>
      <w:proofErr w:type="gramStart"/>
      <w:r w:rsidR="00CC4879" w:rsidRPr="00C64BA4">
        <w:t>as a result of</w:t>
      </w:r>
      <w:proofErr w:type="gramEnd"/>
      <w:r w:rsidR="00CC4879" w:rsidRPr="00C64BA4">
        <w:t xml:space="preserve"> the Great Recession, the </w:t>
      </w:r>
      <w:r w:rsidR="002C2B59" w:rsidRPr="00C64BA4">
        <w:t xml:space="preserve">period after </w:t>
      </w:r>
      <w:r w:rsidR="00870336" w:rsidRPr="00C64BA4">
        <w:t xml:space="preserve">did see </w:t>
      </w:r>
      <w:r w:rsidR="0075712C" w:rsidRPr="00C64BA4">
        <w:t xml:space="preserve">a </w:t>
      </w:r>
      <w:r w:rsidR="00DB6B2B" w:rsidRPr="00C64BA4">
        <w:t xml:space="preserve">tremendous amount of concentrated wealth develop. </w:t>
      </w:r>
      <w:r w:rsidR="00950D6B" w:rsidRPr="00C64BA4">
        <w:t xml:space="preserve">According to </w:t>
      </w:r>
      <w:bookmarkStart w:id="48" w:name="_Hlk123650750"/>
      <w:r w:rsidR="00950D6B" w:rsidRPr="003D5CFB">
        <w:t>Fed</w:t>
      </w:r>
      <w:r w:rsidR="00F609B4" w:rsidRPr="003D5CFB">
        <w:t xml:space="preserve">eral Reserve </w:t>
      </w:r>
      <w:r w:rsidR="00803DD4" w:rsidRPr="003D5CFB">
        <w:t>N</w:t>
      </w:r>
      <w:r w:rsidR="00F609B4" w:rsidRPr="003D5CFB">
        <w:t>ote</w:t>
      </w:r>
      <w:r w:rsidR="00803DD4" w:rsidRPr="003D5CFB">
        <w:t>s</w:t>
      </w:r>
      <w:r w:rsidR="00F609B4" w:rsidRPr="003D5CFB">
        <w:t>,</w:t>
      </w:r>
      <w:bookmarkEnd w:id="48"/>
      <w:r w:rsidR="006D167E">
        <w:rPr>
          <w:rStyle w:val="FootnoteReference"/>
        </w:rPr>
        <w:footnoteReference w:id="7"/>
      </w:r>
      <w:r w:rsidR="00F609B4" w:rsidRPr="00C64BA4">
        <w:t xml:space="preserve"> </w:t>
      </w:r>
      <w:r w:rsidR="00803DD4" w:rsidRPr="00C64BA4">
        <w:t>wealth became highly concentrated by 2016,</w:t>
      </w:r>
      <w:r w:rsidR="003A7786" w:rsidRPr="00C64BA4">
        <w:t xml:space="preserve"> with</w:t>
      </w:r>
      <w:r w:rsidR="00803DD4" w:rsidRPr="00C64BA4">
        <w:t xml:space="preserve"> 80 percent of aggregate wealth </w:t>
      </w:r>
      <w:r w:rsidR="003A7786" w:rsidRPr="00C64BA4">
        <w:t>being</w:t>
      </w:r>
      <w:r w:rsidR="00803DD4" w:rsidRPr="00C64BA4">
        <w:t xml:space="preserve"> held by 10 percent of households</w:t>
      </w:r>
      <w:r w:rsidR="003A7786" w:rsidRPr="00C64BA4">
        <w:t xml:space="preserve">. </w:t>
      </w:r>
      <w:r w:rsidR="00FE3B8D" w:rsidRPr="00C64BA4">
        <w:t xml:space="preserve">The pattern of </w:t>
      </w:r>
      <w:r w:rsidR="00290F7C" w:rsidRPr="00C64BA4">
        <w:t>inequal distribution of income ha</w:t>
      </w:r>
      <w:r w:rsidR="001C6730" w:rsidRPr="00C64BA4">
        <w:t>d</w:t>
      </w:r>
      <w:r w:rsidR="00290F7C" w:rsidRPr="00C64BA4">
        <w:t xml:space="preserve"> been developing for some time before the Great Recession. </w:t>
      </w:r>
      <w:r w:rsidR="009E7937" w:rsidRPr="003D5CFB">
        <w:t>Pew Research</w:t>
      </w:r>
      <w:r w:rsidR="006D167E">
        <w:rPr>
          <w:rStyle w:val="FootnoteReference"/>
        </w:rPr>
        <w:footnoteReference w:id="8"/>
      </w:r>
      <w:r w:rsidR="009E7937" w:rsidRPr="00C64BA4">
        <w:t xml:space="preserve"> </w:t>
      </w:r>
      <w:r w:rsidR="00E57749" w:rsidRPr="00C64BA4">
        <w:t>i</w:t>
      </w:r>
      <w:r w:rsidR="006D08E1" w:rsidRPr="00C64BA4">
        <w:t>dentified a period of 15 years, between 2000 and 2015 in which</w:t>
      </w:r>
      <w:r w:rsidR="00585996" w:rsidRPr="00C64BA4">
        <w:t xml:space="preserve"> the median household income made no gains</w:t>
      </w:r>
      <w:r w:rsidR="00142E00" w:rsidRPr="00C64BA4">
        <w:t>.</w:t>
      </w:r>
      <w:r w:rsidR="00002237" w:rsidRPr="00C64BA4">
        <w:t xml:space="preserve"> </w:t>
      </w:r>
      <w:r w:rsidR="00BB3CB7" w:rsidRPr="00C64BA4">
        <w:t xml:space="preserve">During this period, </w:t>
      </w:r>
      <w:r w:rsidR="0014745D" w:rsidRPr="00C64BA4">
        <w:t xml:space="preserve">income </w:t>
      </w:r>
      <w:r w:rsidR="009F7778" w:rsidRPr="00C64BA4">
        <w:t xml:space="preserve">and increases in wealth favored </w:t>
      </w:r>
      <w:r w:rsidR="000034F7" w:rsidRPr="00C64BA4">
        <w:t>private pro</w:t>
      </w:r>
      <w:r w:rsidR="009F7778" w:rsidRPr="00C64BA4">
        <w:t xml:space="preserve">perty and asset holdings, </w:t>
      </w:r>
      <w:r w:rsidR="00F25AF6" w:rsidRPr="00C64BA4">
        <w:t xml:space="preserve">while labor incomes made </w:t>
      </w:r>
      <w:r w:rsidR="00966C02" w:rsidRPr="00C64BA4">
        <w:t xml:space="preserve">little to no gains. This created </w:t>
      </w:r>
      <w:r w:rsidR="005D75F0" w:rsidRPr="00C64BA4">
        <w:t xml:space="preserve">benefits and incentives for </w:t>
      </w:r>
      <w:r w:rsidR="00CD5B36" w:rsidRPr="00C64BA4">
        <w:t>homeownership.</w:t>
      </w:r>
      <w:r w:rsidR="00911B61" w:rsidRPr="00C64BA4">
        <w:t xml:space="preserve"> </w:t>
      </w:r>
      <w:r w:rsidR="004E15B2" w:rsidRPr="00C64BA4">
        <w:t>L</w:t>
      </w:r>
      <w:r w:rsidR="00911B61" w:rsidRPr="00C64BA4">
        <w:t>ong-</w:t>
      </w:r>
      <w:r w:rsidR="00F4302F" w:rsidRPr="00C64BA4">
        <w:t xml:space="preserve">term </w:t>
      </w:r>
      <w:r w:rsidR="00696DF0" w:rsidRPr="00C64BA4">
        <w:t xml:space="preserve">demographic trends </w:t>
      </w:r>
      <w:r w:rsidR="004E15B2" w:rsidRPr="00C64BA4">
        <w:t>may see</w:t>
      </w:r>
      <w:r w:rsidR="006F0F20" w:rsidRPr="00C64BA4">
        <w:t xml:space="preserve"> a</w:t>
      </w:r>
      <w:r w:rsidR="00EE0D48" w:rsidRPr="00C64BA4">
        <w:t xml:space="preserve"> decline in population</w:t>
      </w:r>
      <w:r w:rsidR="003C348B" w:rsidRPr="00C64BA4">
        <w:t xml:space="preserve">, </w:t>
      </w:r>
      <w:r w:rsidR="004E15B2" w:rsidRPr="00C64BA4">
        <w:t>whi</w:t>
      </w:r>
      <w:r w:rsidR="003B16E4" w:rsidRPr="00C64BA4">
        <w:t>ch</w:t>
      </w:r>
      <w:r w:rsidR="00EE0D48" w:rsidRPr="00C64BA4">
        <w:t xml:space="preserve"> would </w:t>
      </w:r>
      <w:r w:rsidR="00A64490" w:rsidRPr="00C64BA4">
        <w:t>significantly</w:t>
      </w:r>
      <w:r w:rsidR="009B7945" w:rsidRPr="00C64BA4">
        <w:t xml:space="preserve"> </w:t>
      </w:r>
      <w:r w:rsidR="0044009E" w:rsidRPr="00C64BA4">
        <w:t>change incentive</w:t>
      </w:r>
      <w:r w:rsidR="00A64490" w:rsidRPr="00C64BA4">
        <w:t>s</w:t>
      </w:r>
      <w:r w:rsidR="009B7945" w:rsidRPr="00C64BA4">
        <w:t>.</w:t>
      </w:r>
      <w:r w:rsidR="003C348B" w:rsidRPr="00C64BA4">
        <w:t xml:space="preserve"> </w:t>
      </w:r>
      <w:r w:rsidR="003B16E4" w:rsidRPr="00C64BA4">
        <w:t>M</w:t>
      </w:r>
      <w:r w:rsidR="00E7244C" w:rsidRPr="00C64BA4">
        <w:t xml:space="preserve">aterial assets and property would </w:t>
      </w:r>
      <w:r w:rsidR="004E15B2" w:rsidRPr="00C64BA4">
        <w:t>experienc</w:t>
      </w:r>
      <w:r w:rsidR="009B7945" w:rsidRPr="00C64BA4">
        <w:t xml:space="preserve">e </w:t>
      </w:r>
      <w:r w:rsidR="00FB6E0F" w:rsidRPr="00C64BA4">
        <w:t xml:space="preserve">a drop in demand while labor would become a </w:t>
      </w:r>
      <w:r w:rsidR="003918C3" w:rsidRPr="00C64BA4">
        <w:t>constraint for markets.</w:t>
      </w:r>
    </w:p>
    <w:p w14:paraId="63986DBD" w14:textId="4C37B2EE" w:rsidR="00FC2E88" w:rsidRPr="00C64BA4" w:rsidRDefault="7E3CFE04" w:rsidP="00206C45">
      <w:pPr>
        <w:pStyle w:val="Heading2"/>
        <w:spacing w:line="300" w:lineRule="auto"/>
      </w:pPr>
      <w:bookmarkStart w:id="49" w:name="_Toc1943258189"/>
      <w:bookmarkStart w:id="50" w:name="_Toc999333522"/>
      <w:bookmarkStart w:id="51" w:name="_Toc128137950"/>
      <w:r w:rsidRPr="00C64BA4">
        <w:lastRenderedPageBreak/>
        <w:t>D</w:t>
      </w:r>
      <w:r w:rsidR="6E6A628A" w:rsidRPr="00C64BA4">
        <w:t xml:space="preserve">escription of the </w:t>
      </w:r>
      <w:r w:rsidRPr="00C64BA4">
        <w:t>R</w:t>
      </w:r>
      <w:r w:rsidR="6E6A628A" w:rsidRPr="00C64BA4">
        <w:t>egio</w:t>
      </w:r>
      <w:r w:rsidRPr="00C64BA4">
        <w:t>n</w:t>
      </w:r>
      <w:r w:rsidR="2B28C086" w:rsidRPr="00C64BA4">
        <w:t xml:space="preserve"> and Geographic</w:t>
      </w:r>
      <w:r w:rsidRPr="00C64BA4">
        <w:t xml:space="preserve"> Context</w:t>
      </w:r>
      <w:bookmarkEnd w:id="49"/>
      <w:bookmarkEnd w:id="50"/>
      <w:bookmarkEnd w:id="51"/>
    </w:p>
    <w:p w14:paraId="3A0DD11F" w14:textId="48B53891" w:rsidR="00FA64B8" w:rsidRPr="00C64BA4" w:rsidRDefault="00B06AE4" w:rsidP="00206C45">
      <w:pPr>
        <w:pStyle w:val="Body"/>
        <w:spacing w:line="300" w:lineRule="auto"/>
      </w:pPr>
      <w:r w:rsidRPr="00C64BA4">
        <w:rPr>
          <w:noProof/>
        </w:rPr>
        <w:drawing>
          <wp:anchor distT="0" distB="0" distL="114300" distR="114300" simplePos="0" relativeHeight="251705344" behindDoc="1" locked="0" layoutInCell="1" allowOverlap="1" wp14:anchorId="7020B3DB" wp14:editId="2BDA02A8">
            <wp:simplePos x="0" y="0"/>
            <wp:positionH relativeFrom="margin">
              <wp:posOffset>333375</wp:posOffset>
            </wp:positionH>
            <wp:positionV relativeFrom="paragraph">
              <wp:posOffset>1503680</wp:posOffset>
            </wp:positionV>
            <wp:extent cx="4733925" cy="4733925"/>
            <wp:effectExtent l="19050" t="19050" r="28575" b="28575"/>
            <wp:wrapTopAndBottom/>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08747" name="Picture 1597408747" descr="Map&#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33925" cy="4733925"/>
                    </a:xfrm>
                    <a:prstGeom prst="rect">
                      <a:avLst/>
                    </a:prstGeom>
                    <a:ln w="9525">
                      <a:solidFill>
                        <a:sysClr val="windowText" lastClr="000000"/>
                      </a:solidFill>
                    </a:ln>
                  </pic:spPr>
                </pic:pic>
              </a:graphicData>
            </a:graphic>
            <wp14:sizeRelH relativeFrom="margin">
              <wp14:pctWidth>0</wp14:pctWidth>
            </wp14:sizeRelH>
            <wp14:sizeRelV relativeFrom="margin">
              <wp14:pctHeight>0</wp14:pctHeight>
            </wp14:sizeRelV>
          </wp:anchor>
        </w:drawing>
      </w:r>
      <w:r w:rsidR="15D53468" w:rsidRPr="00C64BA4">
        <w:t xml:space="preserve">The Southern NH Planning Commission is one of nine regional planning commissions in New Hampshire. The Commission was formed under the New Hampshire Statutes in 1968 as a political subdivision of the State of New Hampshire. For more information on the structure of SNHPC and the planning products they produce, please review the SNHPC </w:t>
      </w:r>
      <w:r w:rsidR="15D53468" w:rsidRPr="00057740">
        <w:t>website</w:t>
      </w:r>
      <w:r w:rsidR="006D167E">
        <w:rPr>
          <w:rStyle w:val="FootnoteReference"/>
        </w:rPr>
        <w:footnoteReference w:id="9"/>
      </w:r>
      <w:r w:rsidR="15D53468" w:rsidRPr="00C64BA4">
        <w:t xml:space="preserve">. The SNHPC region is comprised of the municipalities of Auburn, Bedford, Candia, Chester, Deerfield, Derry, </w:t>
      </w:r>
      <w:proofErr w:type="spellStart"/>
      <w:r w:rsidR="15D53468" w:rsidRPr="00C64BA4">
        <w:t>Francestown</w:t>
      </w:r>
      <w:proofErr w:type="spellEnd"/>
      <w:r w:rsidR="15D53468" w:rsidRPr="00C64BA4">
        <w:t xml:space="preserve">, Goffstown, Hooksett, Londonderry, Manchester, New Boston, </w:t>
      </w:r>
      <w:proofErr w:type="spellStart"/>
      <w:r w:rsidR="15D53468" w:rsidRPr="00C64BA4">
        <w:t>Weare</w:t>
      </w:r>
      <w:proofErr w:type="spellEnd"/>
      <w:r w:rsidR="15D53468" w:rsidRPr="00C64BA4">
        <w:t>, and Windham as shown in</w:t>
      </w:r>
      <w:r w:rsidR="00C64BA4">
        <w:t xml:space="preserve"> </w:t>
      </w:r>
      <w:r w:rsidR="00FA13E6">
        <w:fldChar w:fldCharType="begin"/>
      </w:r>
      <w:r w:rsidR="00FA13E6">
        <w:instrText xml:space="preserve"> REF _Ref123649918 \h </w:instrText>
      </w:r>
      <w:r w:rsidR="00FA13E6">
        <w:fldChar w:fldCharType="separate"/>
      </w:r>
      <w:r w:rsidR="00206C45">
        <w:t xml:space="preserve">Figure </w:t>
      </w:r>
      <w:r w:rsidR="00206C45">
        <w:rPr>
          <w:noProof/>
        </w:rPr>
        <w:t>2</w:t>
      </w:r>
      <w:r w:rsidR="00FA13E6">
        <w:fldChar w:fldCharType="end"/>
      </w:r>
      <w:r w:rsidR="00C64BA4">
        <w:t xml:space="preserve">. </w:t>
      </w:r>
      <w:r w:rsidR="15D53468" w:rsidRPr="00C64BA4">
        <w:t>The land area of the SNHPC planning region is approximately 520 square miles with a relatively flat growth pattern over the past decade.</w:t>
      </w:r>
      <w:r w:rsidR="155CE2D1" w:rsidRPr="00C64BA4">
        <w:t xml:space="preserve"> </w:t>
      </w:r>
    </w:p>
    <w:p w14:paraId="75F5A3EC" w14:textId="2C33579F" w:rsidR="00FA13E6" w:rsidRDefault="00FA13E6" w:rsidP="00206C45">
      <w:pPr>
        <w:pStyle w:val="Body"/>
        <w:keepNext/>
        <w:spacing w:line="300" w:lineRule="auto"/>
      </w:pPr>
    </w:p>
    <w:p w14:paraId="6A600670" w14:textId="77777777" w:rsidR="00B54442" w:rsidRDefault="00FA13E6" w:rsidP="00EB0054">
      <w:pPr>
        <w:pStyle w:val="Body"/>
        <w:spacing w:line="300" w:lineRule="auto"/>
        <w:jc w:val="left"/>
        <w:rPr>
          <w:sz w:val="20"/>
          <w:szCs w:val="20"/>
        </w:rPr>
      </w:pPr>
      <w:bookmarkStart w:id="52" w:name="_Ref123649918"/>
      <w:bookmarkStart w:id="53" w:name="_Toc128137861"/>
      <w:r>
        <w:t xml:space="preserve">Figure </w:t>
      </w:r>
      <w:r w:rsidR="0062538A">
        <w:fldChar w:fldCharType="begin"/>
      </w:r>
      <w:r w:rsidR="0062538A">
        <w:instrText xml:space="preserve"> SEQ Figure \* ARABIC </w:instrText>
      </w:r>
      <w:r w:rsidR="0062538A">
        <w:fldChar w:fldCharType="separate"/>
      </w:r>
      <w:r w:rsidR="00E75682">
        <w:rPr>
          <w:noProof/>
        </w:rPr>
        <w:t>2</w:t>
      </w:r>
      <w:r w:rsidR="0062538A">
        <w:rPr>
          <w:noProof/>
        </w:rPr>
        <w:fldChar w:fldCharType="end"/>
      </w:r>
      <w:bookmarkEnd w:id="52"/>
      <w:r>
        <w:t xml:space="preserve">: </w:t>
      </w:r>
      <w:r w:rsidRPr="000F6313">
        <w:t>SNHPC Member Municipalities</w:t>
      </w:r>
      <w:bookmarkEnd w:id="53"/>
      <w:r w:rsidR="00FC0635">
        <w:br/>
      </w:r>
    </w:p>
    <w:p w14:paraId="2E11A6DC" w14:textId="4E854976" w:rsidR="00EB0054" w:rsidRPr="00EB0054" w:rsidRDefault="00EB0054" w:rsidP="00EB0054">
      <w:pPr>
        <w:pStyle w:val="Body"/>
        <w:spacing w:line="300" w:lineRule="auto"/>
        <w:jc w:val="left"/>
        <w:rPr>
          <w:sz w:val="20"/>
          <w:szCs w:val="20"/>
        </w:rPr>
      </w:pPr>
      <w:r w:rsidRPr="00EB0054">
        <w:rPr>
          <w:sz w:val="20"/>
          <w:szCs w:val="20"/>
        </w:rPr>
        <w:t>Sources: MA Department of Transportation; NH Department of Transportation; US Census Bureau; US Geological Survey.</w:t>
      </w:r>
    </w:p>
    <w:p w14:paraId="0BDD2AC6" w14:textId="763B12A5" w:rsidR="00DE58F6" w:rsidRPr="00FA13E6" w:rsidRDefault="00DE58F6" w:rsidP="00FC0635">
      <w:pPr>
        <w:pStyle w:val="Caption"/>
        <w:spacing w:line="300" w:lineRule="auto"/>
      </w:pPr>
    </w:p>
    <w:p w14:paraId="2D01B034" w14:textId="5A6E78F2" w:rsidR="00DE58F6" w:rsidRPr="00C64BA4" w:rsidRDefault="155CE2D1" w:rsidP="00206C45">
      <w:pPr>
        <w:pStyle w:val="Body"/>
        <w:spacing w:line="300" w:lineRule="auto"/>
      </w:pPr>
      <w:r w:rsidRPr="00C64BA4">
        <w:t xml:space="preserve">Residential and commercial development is the largest land use, and historically the region has evolved from an agricultural and industrial base to what many consider today as a service and </w:t>
      </w:r>
      <w:r w:rsidR="00DE58F6" w:rsidRPr="00C64BA4">
        <w:t>high-tech</w:t>
      </w:r>
      <w:r w:rsidRPr="00C64BA4">
        <w:t xml:space="preserve"> manufacturing economy.</w:t>
      </w:r>
      <w:r w:rsidR="043AB565" w:rsidRPr="00C64BA4">
        <w:t xml:space="preserve"> </w:t>
      </w:r>
    </w:p>
    <w:p w14:paraId="11E4DE84" w14:textId="6DE5376E" w:rsidR="00DE58F6" w:rsidRPr="00C64BA4" w:rsidRDefault="51AFF274" w:rsidP="00206C45">
      <w:pPr>
        <w:pStyle w:val="Body"/>
        <w:spacing w:line="300" w:lineRule="auto"/>
      </w:pPr>
      <w:r w:rsidRPr="00C64BA4">
        <w:t xml:space="preserve">The towns of </w:t>
      </w:r>
      <w:proofErr w:type="spellStart"/>
      <w:r w:rsidRPr="00C64BA4">
        <w:t>Weare</w:t>
      </w:r>
      <w:proofErr w:type="spellEnd"/>
      <w:r w:rsidRPr="00C64BA4">
        <w:t xml:space="preserve"> (38,464.3 acres) and Deerfield (33,347.7 acres) are the largest towns in the region</w:t>
      </w:r>
      <w:r w:rsidR="00DE1172" w:rsidRPr="00C64BA4">
        <w:t>, having</w:t>
      </w:r>
      <w:r w:rsidRPr="00C64BA4">
        <w:t xml:space="preserve"> the greatest total land area. Conversely, the towns of Windham (17,772.4 acres) and Chester (16,618 acres) are the region’s two smallest communities in terms of total land area. However, total land area alone is not enough to get an accurate feel for what </w:t>
      </w:r>
      <w:r w:rsidR="00691373">
        <w:t>a</w:t>
      </w:r>
      <w:r w:rsidR="00691373" w:rsidRPr="00C64BA4">
        <w:t xml:space="preserve"> </w:t>
      </w:r>
      <w:r w:rsidRPr="00C64BA4">
        <w:t xml:space="preserve">community is like. Even though the Town of </w:t>
      </w:r>
      <w:proofErr w:type="spellStart"/>
      <w:r w:rsidRPr="00C64BA4">
        <w:t>Weare</w:t>
      </w:r>
      <w:proofErr w:type="spellEnd"/>
      <w:r w:rsidRPr="00C64BA4">
        <w:t xml:space="preserve"> has the largest total land area in the region, 26,579.3; approximately 70 percent of those acres are undeveloped. The Town of Bedford (21,156.13 acres) on the other hand is one of the smaller communities in the region in terms of total land area, but it is approximately 75.5 percent developed at 15,970.1 acres. </w:t>
      </w:r>
      <w:r w:rsidR="00DE58F6" w:rsidRPr="00C64BA4">
        <w:t>Other than Auburn, which has approximately 9,983 undeveloped acres, no other municipality has fewer than 10,000 undeveloped acres.</w:t>
      </w:r>
    </w:p>
    <w:p w14:paraId="56D345EC" w14:textId="77777777" w:rsidR="00C10398" w:rsidRDefault="00C10398" w:rsidP="00206C45">
      <w:pPr>
        <w:pStyle w:val="Body"/>
        <w:keepNext/>
        <w:spacing w:line="300" w:lineRule="auto"/>
      </w:pPr>
      <w:r>
        <w:rPr>
          <w:noProof/>
        </w:rPr>
        <w:lastRenderedPageBreak/>
        <w:drawing>
          <wp:inline distT="0" distB="0" distL="0" distR="0" wp14:anchorId="639A08A3" wp14:editId="238D439D">
            <wp:extent cx="5943600" cy="5943600"/>
            <wp:effectExtent l="0" t="0" r="0" b="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3C97794" w14:textId="278643DE" w:rsidR="00366DDA" w:rsidRDefault="00C10398" w:rsidP="00206C45">
      <w:pPr>
        <w:pStyle w:val="Caption"/>
        <w:spacing w:line="300" w:lineRule="auto"/>
        <w:jc w:val="both"/>
      </w:pPr>
      <w:bookmarkStart w:id="54" w:name="_Toc128137862"/>
      <w:r>
        <w:t xml:space="preserve">Figure </w:t>
      </w:r>
      <w:r w:rsidR="0062538A">
        <w:fldChar w:fldCharType="begin"/>
      </w:r>
      <w:r w:rsidR="0062538A">
        <w:instrText xml:space="preserve"> SEQ Figure \* ARABIC </w:instrText>
      </w:r>
      <w:r w:rsidR="0062538A">
        <w:fldChar w:fldCharType="separate"/>
      </w:r>
      <w:r w:rsidR="00E75682">
        <w:rPr>
          <w:noProof/>
        </w:rPr>
        <w:t>3</w:t>
      </w:r>
      <w:r w:rsidR="0062538A">
        <w:rPr>
          <w:noProof/>
        </w:rPr>
        <w:fldChar w:fldCharType="end"/>
      </w:r>
      <w:r>
        <w:t>: Regional Growth</w:t>
      </w:r>
      <w:bookmarkEnd w:id="54"/>
    </w:p>
    <w:p w14:paraId="07A6FDB6" w14:textId="75CF0D28" w:rsidR="00DE58F6" w:rsidRPr="00C64BA4" w:rsidRDefault="00DE58F6" w:rsidP="00206C45">
      <w:pPr>
        <w:pStyle w:val="Body"/>
        <w:spacing w:line="300" w:lineRule="auto"/>
      </w:pPr>
      <w:r w:rsidRPr="00C64BA4">
        <w:t>The City of Manchester is the region’s leader in overall developed land area with approximately 17,456.6 acres. Manchester and Bedford are the only two municipalities in the region with fewer than 5,200 undeveloped acres. One reason for the development in Manchester and other communities is due to the development along the region’s state highways and major arterials.</w:t>
      </w:r>
    </w:p>
    <w:p w14:paraId="2C151D11" w14:textId="13E93FAA" w:rsidR="0080796F" w:rsidRPr="00BD1366" w:rsidRDefault="00CD368A" w:rsidP="00BD1366">
      <w:pPr>
        <w:pStyle w:val="Body"/>
        <w:spacing w:line="300" w:lineRule="auto"/>
      </w:pPr>
      <w:r w:rsidRPr="00C64BA4">
        <w:t>T</w:t>
      </w:r>
      <w:r w:rsidR="00F62018" w:rsidRPr="00C64BA4">
        <w:t xml:space="preserve">he SNHPC region has </w:t>
      </w:r>
      <w:r w:rsidRPr="00C64BA4">
        <w:t xml:space="preserve">convenient </w:t>
      </w:r>
      <w:r w:rsidR="00F62018" w:rsidRPr="00C64BA4">
        <w:t>proximity to Boston</w:t>
      </w:r>
      <w:r w:rsidRPr="00C64BA4">
        <w:t>, which is located just 60 miles away</w:t>
      </w:r>
      <w:r w:rsidR="00F62018" w:rsidRPr="00C64BA4">
        <w:t xml:space="preserve">, tying the region to the economic influence of Greater Boston region. The SNHPC is also centrally located within Northern New England, providing one-hour access to </w:t>
      </w:r>
      <w:r w:rsidRPr="00C64BA4">
        <w:t>New Hampshire’s s</w:t>
      </w:r>
      <w:r w:rsidR="00F62018" w:rsidRPr="00C64BA4">
        <w:t xml:space="preserve">eacoast, and </w:t>
      </w:r>
      <w:r w:rsidRPr="00C64BA4">
        <w:t>it</w:t>
      </w:r>
      <w:r w:rsidR="00691373">
        <w:t>s</w:t>
      </w:r>
      <w:r w:rsidRPr="00C64BA4">
        <w:t xml:space="preserve"> beautiful</w:t>
      </w:r>
      <w:r w:rsidR="00F62018" w:rsidRPr="00C64BA4">
        <w:t xml:space="preserve"> </w:t>
      </w:r>
      <w:r w:rsidRPr="00C64BA4">
        <w:t>l</w:t>
      </w:r>
      <w:r w:rsidR="00F62018" w:rsidRPr="00C64BA4">
        <w:t>akes and White Mountains regions</w:t>
      </w:r>
      <w:r w:rsidRPr="00C64BA4">
        <w:t xml:space="preserve">.  The SNHPC region is also only a few hours travel to the </w:t>
      </w:r>
      <w:r w:rsidR="00691373">
        <w:t>G</w:t>
      </w:r>
      <w:r w:rsidRPr="00C64BA4">
        <w:t xml:space="preserve">reen </w:t>
      </w:r>
      <w:r w:rsidR="00691373">
        <w:t>M</w:t>
      </w:r>
      <w:r w:rsidRPr="00C64BA4">
        <w:t>ountains in Vermont and the rugged coast and abundant lakes of Maine</w:t>
      </w:r>
      <w:r w:rsidR="00F62018" w:rsidRPr="00C64BA4">
        <w:t>. The major metropolitan areas of New York City and the City of Montreal are also readily accessible in approximately 5 hours travel time.</w:t>
      </w:r>
    </w:p>
    <w:p w14:paraId="4716CBDE" w14:textId="3F4DF0A1" w:rsidR="00CD368A" w:rsidRPr="00C64BA4" w:rsidRDefault="00A0269B" w:rsidP="00206C45">
      <w:pPr>
        <w:pStyle w:val="Heading3"/>
        <w:spacing w:line="300" w:lineRule="auto"/>
      </w:pPr>
      <w:bookmarkStart w:id="55" w:name="_Toc128137951"/>
      <w:r>
        <w:lastRenderedPageBreak/>
        <w:t>Population density</w:t>
      </w:r>
      <w:bookmarkEnd w:id="55"/>
    </w:p>
    <w:p w14:paraId="5097DDF0" w14:textId="0283FEE1" w:rsidR="00CD368A" w:rsidRPr="00C64BA4" w:rsidRDefault="00CD368A" w:rsidP="00206C45">
      <w:pPr>
        <w:spacing w:line="300" w:lineRule="auto"/>
      </w:pPr>
      <w:r w:rsidRPr="00C64BA4">
        <w:t xml:space="preserve">New Hampshire is mostly rural. That’s mostly true if you consider New Hampshire to be the land, the square footage. On the other hand, if you compare </w:t>
      </w:r>
      <w:r w:rsidR="00691373">
        <w:t xml:space="preserve">it </w:t>
      </w:r>
      <w:r w:rsidRPr="00C64BA4">
        <w:t xml:space="preserve">to other states, you may </w:t>
      </w:r>
      <w:r w:rsidR="0065528B" w:rsidRPr="00C64BA4">
        <w:t>wonder</w:t>
      </w:r>
      <w:r w:rsidRPr="00C64BA4">
        <w:t>, is New Hampshire really that rural? It’s the 21</w:t>
      </w:r>
      <w:r w:rsidRPr="00C64BA4">
        <w:rPr>
          <w:vertAlign w:val="superscript"/>
        </w:rPr>
        <w:t>st</w:t>
      </w:r>
      <w:r w:rsidRPr="00C64BA4">
        <w:t xml:space="preserve"> most densely populated state in the nation. New Hampshire’s density is twice that of Vermont and three and half times that of Maine. Three fifths of our residents live in an urban area, whether a downtown, city, or suburban sprawl. Three fifths live in a metropolitan area.</w:t>
      </w:r>
    </w:p>
    <w:p w14:paraId="1C932282" w14:textId="38308C75" w:rsidR="001262E1" w:rsidRPr="00C64BA4" w:rsidRDefault="0065528B" w:rsidP="00206C45">
      <w:pPr>
        <w:pStyle w:val="Body"/>
        <w:spacing w:line="300" w:lineRule="auto"/>
      </w:pPr>
      <w:r w:rsidRPr="00C64BA4">
        <w:t>Despite this, t</w:t>
      </w:r>
      <w:r w:rsidR="00F62018" w:rsidRPr="00C64BA4">
        <w:t>he SNHPC region is home to a broad range of demographic conditions depending on location. Approximately 40% of all people within the region reside within the City of Manchester’s urban environment.</w:t>
      </w:r>
      <w:bookmarkEnd w:id="5"/>
    </w:p>
    <w:p w14:paraId="0C482EA4" w14:textId="46D81900" w:rsidR="004418C4" w:rsidRDefault="00A22681" w:rsidP="00206C45">
      <w:pPr>
        <w:pStyle w:val="Body"/>
        <w:keepNext/>
        <w:spacing w:line="300" w:lineRule="auto"/>
        <w:jc w:val="center"/>
      </w:pPr>
      <w:r>
        <w:rPr>
          <w:noProof/>
        </w:rPr>
        <w:lastRenderedPageBreak/>
        <w:drawing>
          <wp:inline distT="0" distB="0" distL="0" distR="0" wp14:anchorId="6B43FC8C" wp14:editId="43AD3EE0">
            <wp:extent cx="5943600" cy="7691755"/>
            <wp:effectExtent l="0" t="0" r="0" b="4445"/>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C777DDE" w14:textId="5C7124A1" w:rsidR="00366DDA" w:rsidRDefault="004418C4" w:rsidP="00206C45">
      <w:pPr>
        <w:pStyle w:val="Caption"/>
        <w:spacing w:line="300" w:lineRule="auto"/>
        <w:jc w:val="both"/>
      </w:pPr>
      <w:bookmarkStart w:id="56" w:name="_Toc128137863"/>
      <w:r>
        <w:t xml:space="preserve">Figure </w:t>
      </w:r>
      <w:r w:rsidR="0062538A">
        <w:fldChar w:fldCharType="begin"/>
      </w:r>
      <w:r w:rsidR="0062538A">
        <w:instrText xml:space="preserve"> SEQ Figure \* ARABIC </w:instrText>
      </w:r>
      <w:r w:rsidR="0062538A">
        <w:fldChar w:fldCharType="separate"/>
      </w:r>
      <w:r w:rsidR="00E75682">
        <w:rPr>
          <w:noProof/>
        </w:rPr>
        <w:t>4</w:t>
      </w:r>
      <w:r w:rsidR="0062538A">
        <w:rPr>
          <w:noProof/>
        </w:rPr>
        <w:fldChar w:fldCharType="end"/>
      </w:r>
      <w:r w:rsidR="00232DF3">
        <w:t>: Where The People Live</w:t>
      </w:r>
      <w:bookmarkEnd w:id="56"/>
    </w:p>
    <w:p w14:paraId="594A6DF6" w14:textId="1528E0CE" w:rsidR="008538BE" w:rsidRPr="00C64BA4" w:rsidRDefault="5A1E96BF" w:rsidP="00206C45">
      <w:pPr>
        <w:pStyle w:val="Heading1"/>
        <w:spacing w:line="300" w:lineRule="auto"/>
      </w:pPr>
      <w:bookmarkStart w:id="57" w:name="_Toc1675316802"/>
      <w:bookmarkStart w:id="58" w:name="_Toc1012433659"/>
      <w:bookmarkStart w:id="59" w:name="_Toc128137952"/>
      <w:r w:rsidRPr="00C64BA4">
        <w:lastRenderedPageBreak/>
        <w:t xml:space="preserve">Section </w:t>
      </w:r>
      <w:r w:rsidR="00366DDA">
        <w:t>I</w:t>
      </w:r>
      <w:r w:rsidRPr="00C64BA4">
        <w:t>V - Existing Conditions and Historic Trends</w:t>
      </w:r>
      <w:bookmarkEnd w:id="57"/>
      <w:bookmarkEnd w:id="58"/>
      <w:bookmarkEnd w:id="59"/>
    </w:p>
    <w:p w14:paraId="2781F30C" w14:textId="727A39AF" w:rsidR="00C6010A" w:rsidRPr="00C64BA4" w:rsidRDefault="6EA617E7" w:rsidP="00206C45">
      <w:pPr>
        <w:pStyle w:val="Body"/>
        <w:spacing w:line="300" w:lineRule="auto"/>
        <w:rPr>
          <w:lang w:val="en"/>
        </w:rPr>
      </w:pPr>
      <w:r w:rsidRPr="00C64BA4">
        <w:rPr>
          <w:lang w:val="en"/>
        </w:rPr>
        <w:t>This section of the RHNA is intended to thoroughly analyze all the data that is available related to the region’s housing needs and housing stock</w:t>
      </w:r>
      <w:r w:rsidR="31B8364E" w:rsidRPr="00C64BA4">
        <w:rPr>
          <w:lang w:val="en"/>
        </w:rPr>
        <w:t>; these data include demographic and socioeconomic trends,</w:t>
      </w:r>
      <w:r w:rsidR="419A72EE" w:rsidRPr="00C64BA4">
        <w:rPr>
          <w:lang w:val="en"/>
        </w:rPr>
        <w:t xml:space="preserve"> and</w:t>
      </w:r>
      <w:r w:rsidR="677DA264" w:rsidRPr="00C64BA4">
        <w:rPr>
          <w:lang w:val="en"/>
        </w:rPr>
        <w:t xml:space="preserve"> housing market for both owner and rental properties.</w:t>
      </w:r>
      <w:r w:rsidR="31B8364E" w:rsidRPr="00C64BA4">
        <w:rPr>
          <w:lang w:val="en"/>
        </w:rPr>
        <w:t xml:space="preserve"> </w:t>
      </w:r>
      <w:r w:rsidRPr="00C64BA4">
        <w:rPr>
          <w:lang w:val="en"/>
        </w:rPr>
        <w:t xml:space="preserve">Detailed data tables can be </w:t>
      </w:r>
      <w:r w:rsidR="00EF39E8">
        <w:rPr>
          <w:lang w:val="en"/>
        </w:rPr>
        <w:t>found</w:t>
      </w:r>
      <w:r w:rsidR="00EF39E8" w:rsidRPr="00C64BA4">
        <w:rPr>
          <w:lang w:val="en"/>
        </w:rPr>
        <w:t xml:space="preserve"> </w:t>
      </w:r>
      <w:r w:rsidRPr="00C64BA4">
        <w:rPr>
          <w:lang w:val="en"/>
        </w:rPr>
        <w:t xml:space="preserve">in </w:t>
      </w:r>
      <w:r w:rsidRPr="00C64BA4">
        <w:rPr>
          <w:b/>
          <w:bCs/>
          <w:lang w:val="en"/>
        </w:rPr>
        <w:t>Appendix C</w:t>
      </w:r>
      <w:r w:rsidRPr="00C64BA4">
        <w:rPr>
          <w:lang w:val="en"/>
        </w:rPr>
        <w:t>.</w:t>
      </w:r>
    </w:p>
    <w:p w14:paraId="4BDF76B2" w14:textId="386C89EA" w:rsidR="00B40F3B" w:rsidRPr="00C64BA4" w:rsidRDefault="6187B94E" w:rsidP="00206C45">
      <w:pPr>
        <w:pStyle w:val="Heading2"/>
        <w:spacing w:line="300" w:lineRule="auto"/>
        <w:rPr>
          <w:lang w:val="en"/>
        </w:rPr>
      </w:pPr>
      <w:bookmarkStart w:id="60" w:name="_Toc473153367"/>
      <w:bookmarkStart w:id="61" w:name="_Toc249393637"/>
      <w:bookmarkStart w:id="62" w:name="_Toc128137953"/>
      <w:r w:rsidRPr="00C64BA4">
        <w:rPr>
          <w:lang w:val="en"/>
        </w:rPr>
        <w:t>Demographic and Socioeconomic Trends</w:t>
      </w:r>
      <w:bookmarkEnd w:id="60"/>
      <w:bookmarkEnd w:id="61"/>
      <w:bookmarkEnd w:id="62"/>
    </w:p>
    <w:p w14:paraId="235990C9" w14:textId="1A894B82" w:rsidR="00915EF3" w:rsidRPr="00C64BA4" w:rsidRDefault="00915EF3" w:rsidP="00206C45">
      <w:pPr>
        <w:pStyle w:val="Body"/>
        <w:spacing w:line="300" w:lineRule="auto"/>
        <w:rPr>
          <w:lang w:val="en"/>
        </w:rPr>
      </w:pPr>
      <w:r w:rsidRPr="00C64BA4">
        <w:rPr>
          <w:lang w:val="en"/>
        </w:rPr>
        <w:t>T</w:t>
      </w:r>
      <w:r w:rsidR="006F565C" w:rsidRPr="00C64BA4">
        <w:rPr>
          <w:lang w:val="en"/>
        </w:rPr>
        <w:t xml:space="preserve">his </w:t>
      </w:r>
      <w:r w:rsidR="00E906AB" w:rsidRPr="00C64BA4">
        <w:rPr>
          <w:lang w:val="en"/>
        </w:rPr>
        <w:t>segment of the report</w:t>
      </w:r>
      <w:r w:rsidRPr="00C64BA4">
        <w:rPr>
          <w:lang w:val="en"/>
        </w:rPr>
        <w:t xml:space="preserve"> identif</w:t>
      </w:r>
      <w:r w:rsidR="00E906AB" w:rsidRPr="00C64BA4">
        <w:rPr>
          <w:lang w:val="en"/>
        </w:rPr>
        <w:t>ies</w:t>
      </w:r>
      <w:r w:rsidRPr="00C64BA4">
        <w:rPr>
          <w:lang w:val="en"/>
        </w:rPr>
        <w:t xml:space="preserve"> the </w:t>
      </w:r>
      <w:r w:rsidR="00323DB4" w:rsidRPr="00C64BA4">
        <w:rPr>
          <w:lang w:val="en"/>
        </w:rPr>
        <w:t xml:space="preserve">historical patterns and current conditions of the region’s population, </w:t>
      </w:r>
      <w:r w:rsidR="00AA6F47" w:rsidRPr="00C64BA4">
        <w:rPr>
          <w:lang w:val="en"/>
        </w:rPr>
        <w:t xml:space="preserve">employment, household characteristics, </w:t>
      </w:r>
      <w:r w:rsidR="00192D94" w:rsidRPr="00C64BA4">
        <w:rPr>
          <w:lang w:val="en"/>
        </w:rPr>
        <w:t>labor force, education</w:t>
      </w:r>
      <w:r w:rsidR="0050142D" w:rsidRPr="00C64BA4">
        <w:rPr>
          <w:lang w:val="en"/>
        </w:rPr>
        <w:t>al enrollment, and migration.</w:t>
      </w:r>
    </w:p>
    <w:p w14:paraId="1FC890EA" w14:textId="77777777" w:rsidR="00915EF3" w:rsidRPr="00C64BA4" w:rsidRDefault="3A863A27" w:rsidP="00206C45">
      <w:pPr>
        <w:pStyle w:val="Heading3"/>
        <w:spacing w:line="300" w:lineRule="auto"/>
        <w:rPr>
          <w:lang w:val="en"/>
        </w:rPr>
      </w:pPr>
      <w:bookmarkStart w:id="63" w:name="_Toc128137954"/>
      <w:r w:rsidRPr="00C64BA4">
        <w:rPr>
          <w:lang w:val="en"/>
        </w:rPr>
        <w:t>Total Population</w:t>
      </w:r>
      <w:bookmarkEnd w:id="63"/>
      <w:r w:rsidRPr="00C64BA4">
        <w:rPr>
          <w:lang w:val="en"/>
        </w:rPr>
        <w:t xml:space="preserve"> </w:t>
      </w:r>
    </w:p>
    <w:p w14:paraId="2C39BF76" w14:textId="3AF0682A" w:rsidR="315DA544" w:rsidRPr="00C64BA4" w:rsidRDefault="1FCC36DF" w:rsidP="00206C45">
      <w:pPr>
        <w:pStyle w:val="Body"/>
        <w:spacing w:line="300" w:lineRule="auto"/>
      </w:pPr>
      <w:r w:rsidRPr="00C64BA4">
        <w:t xml:space="preserve">The total population of the SNHPC Region was 285,230 people in 2020. As shown on </w:t>
      </w:r>
      <w:r w:rsidR="00366DDA">
        <w:rPr>
          <w:highlight w:val="yellow"/>
        </w:rPr>
        <w:fldChar w:fldCharType="begin"/>
      </w:r>
      <w:r w:rsidR="00366DDA">
        <w:rPr>
          <w:highlight w:val="yellow"/>
        </w:rPr>
        <w:instrText xml:space="preserve"> REF _Ref123196056 \h </w:instrText>
      </w:r>
      <w:r w:rsidR="00366DDA">
        <w:rPr>
          <w:highlight w:val="yellow"/>
        </w:rPr>
      </w:r>
      <w:r w:rsidR="00366DDA">
        <w:rPr>
          <w:highlight w:val="yellow"/>
        </w:rPr>
        <w:fldChar w:fldCharType="separate"/>
      </w:r>
      <w:r w:rsidR="00206C45">
        <w:t xml:space="preserve">Table </w:t>
      </w:r>
      <w:r w:rsidR="00206C45">
        <w:rPr>
          <w:noProof/>
        </w:rPr>
        <w:t>3</w:t>
      </w:r>
      <w:r w:rsidR="00366DDA">
        <w:rPr>
          <w:highlight w:val="yellow"/>
        </w:rPr>
        <w:fldChar w:fldCharType="end"/>
      </w:r>
      <w:r w:rsidRPr="00C64BA4">
        <w:t xml:space="preserve">, the region grew by 13% from 2000 to 2020, with an annual growth rate of less than 1%. Communities that experienced the largest population growth over this </w:t>
      </w:r>
      <w:proofErr w:type="gramStart"/>
      <w:r w:rsidRPr="00C64BA4">
        <w:t>time period</w:t>
      </w:r>
      <w:proofErr w:type="gramEnd"/>
      <w:r w:rsidRPr="00C64BA4">
        <w:t xml:space="preserve"> were New Boston and Windham. Communities that experienced the least percent population growth were Candia and Derry.</w:t>
      </w:r>
    </w:p>
    <w:p w14:paraId="2D6AF487" w14:textId="3B59AEFF" w:rsidR="00366DDA" w:rsidRDefault="00C96C23" w:rsidP="00206C45">
      <w:pPr>
        <w:pStyle w:val="Caption"/>
        <w:keepNext/>
        <w:spacing w:line="300" w:lineRule="auto"/>
      </w:pPr>
      <w:bookmarkStart w:id="64" w:name="_Ref123196056"/>
      <w:bookmarkStart w:id="65" w:name="_Toc128137894"/>
      <w:r>
        <w:t>Table</w:t>
      </w:r>
      <w:r w:rsidR="00366DDA">
        <w:t xml:space="preserve"> </w:t>
      </w:r>
      <w:r w:rsidR="0062538A">
        <w:fldChar w:fldCharType="begin"/>
      </w:r>
      <w:r w:rsidR="0062538A">
        <w:instrText xml:space="preserve"> SEQ Table \* ARABIC </w:instrText>
      </w:r>
      <w:r w:rsidR="0062538A">
        <w:fldChar w:fldCharType="separate"/>
      </w:r>
      <w:r w:rsidR="008B512A">
        <w:rPr>
          <w:noProof/>
        </w:rPr>
        <w:t>3</w:t>
      </w:r>
      <w:r w:rsidR="0062538A">
        <w:rPr>
          <w:noProof/>
        </w:rPr>
        <w:fldChar w:fldCharType="end"/>
      </w:r>
      <w:bookmarkEnd w:id="64"/>
      <w:r w:rsidR="00366DDA">
        <w:t>: Total Population</w:t>
      </w:r>
      <w:bookmarkEnd w:id="65"/>
    </w:p>
    <w:tbl>
      <w:tblPr>
        <w:tblW w:w="4812" w:type="dxa"/>
        <w:tblInd w:w="108" w:type="dxa"/>
        <w:tblLook w:val="04A0" w:firstRow="1" w:lastRow="0" w:firstColumn="1" w:lastColumn="0" w:noHBand="0" w:noVBand="1"/>
      </w:tblPr>
      <w:tblGrid>
        <w:gridCol w:w="1323"/>
        <w:gridCol w:w="1163"/>
        <w:gridCol w:w="1163"/>
        <w:gridCol w:w="1163"/>
      </w:tblGrid>
      <w:tr w:rsidR="00EF64A3" w:rsidRPr="00C64BA4" w14:paraId="26608EC4" w14:textId="77777777" w:rsidTr="00366DDA">
        <w:trPr>
          <w:trHeight w:val="315"/>
        </w:trPr>
        <w:tc>
          <w:tcPr>
            <w:tcW w:w="4812" w:type="dxa"/>
            <w:gridSpan w:val="4"/>
            <w:tcBorders>
              <w:top w:val="nil"/>
              <w:left w:val="nil"/>
              <w:bottom w:val="nil"/>
              <w:right w:val="nil"/>
            </w:tcBorders>
            <w:shd w:val="clear" w:color="auto" w:fill="auto"/>
            <w:noWrap/>
            <w:vAlign w:val="bottom"/>
            <w:hideMark/>
          </w:tcPr>
          <w:p w14:paraId="29AB296A" w14:textId="77777777" w:rsidR="00EF64A3" w:rsidRPr="00C64BA4" w:rsidRDefault="00EF64A3" w:rsidP="00206C45">
            <w:pPr>
              <w:spacing w:after="0" w:line="300" w:lineRule="auto"/>
              <w:jc w:val="center"/>
              <w:rPr>
                <w:rFonts w:eastAsia="Times New Roman" w:cs="Calibri"/>
                <w:b/>
                <w:bCs/>
                <w:color w:val="595959"/>
                <w:sz w:val="24"/>
                <w:szCs w:val="24"/>
              </w:rPr>
            </w:pPr>
            <w:r w:rsidRPr="00C64BA4">
              <w:rPr>
                <w:rFonts w:eastAsia="Times New Roman" w:cs="Calibri"/>
                <w:b/>
                <w:bCs/>
                <w:color w:val="595959"/>
                <w:sz w:val="24"/>
                <w:szCs w:val="24"/>
              </w:rPr>
              <w:t>Total Population</w:t>
            </w:r>
          </w:p>
        </w:tc>
      </w:tr>
      <w:tr w:rsidR="00EF64A3" w:rsidRPr="00C64BA4" w14:paraId="7BBBDF99" w14:textId="77777777" w:rsidTr="00366DDA">
        <w:trPr>
          <w:trHeight w:val="300"/>
        </w:trPr>
        <w:tc>
          <w:tcPr>
            <w:tcW w:w="1323" w:type="dxa"/>
            <w:tcBorders>
              <w:top w:val="nil"/>
              <w:left w:val="nil"/>
              <w:bottom w:val="single" w:sz="4" w:space="0" w:color="auto"/>
              <w:right w:val="nil"/>
            </w:tcBorders>
            <w:shd w:val="clear" w:color="auto" w:fill="auto"/>
            <w:noWrap/>
            <w:vAlign w:val="bottom"/>
            <w:hideMark/>
          </w:tcPr>
          <w:p w14:paraId="6151C513" w14:textId="77777777" w:rsidR="00EF64A3" w:rsidRPr="00C64BA4" w:rsidRDefault="00EF64A3" w:rsidP="00206C45">
            <w:pPr>
              <w:spacing w:after="0" w:line="300" w:lineRule="auto"/>
              <w:rPr>
                <w:rFonts w:eastAsia="Times New Roman" w:cs="Calibri"/>
                <w:color w:val="000000"/>
              </w:rPr>
            </w:pPr>
            <w:r w:rsidRPr="00C64BA4">
              <w:rPr>
                <w:rFonts w:eastAsia="Times New Roman" w:cs="Calibri"/>
                <w:color w:val="000000"/>
              </w:rPr>
              <w:t> </w:t>
            </w:r>
          </w:p>
        </w:tc>
        <w:tc>
          <w:tcPr>
            <w:tcW w:w="1163" w:type="dxa"/>
            <w:tcBorders>
              <w:top w:val="nil"/>
              <w:left w:val="nil"/>
              <w:bottom w:val="single" w:sz="4" w:space="0" w:color="auto"/>
              <w:right w:val="nil"/>
            </w:tcBorders>
            <w:shd w:val="clear" w:color="auto" w:fill="auto"/>
            <w:noWrap/>
            <w:vAlign w:val="bottom"/>
            <w:hideMark/>
          </w:tcPr>
          <w:p w14:paraId="19025BDF" w14:textId="77777777" w:rsidR="00EF64A3" w:rsidRPr="00C64BA4" w:rsidRDefault="00EF64A3" w:rsidP="00206C45">
            <w:pPr>
              <w:spacing w:after="0" w:line="300" w:lineRule="auto"/>
              <w:jc w:val="center"/>
              <w:rPr>
                <w:rFonts w:eastAsia="Times New Roman" w:cs="Calibri"/>
                <w:b/>
                <w:bCs/>
                <w:color w:val="595959"/>
              </w:rPr>
            </w:pPr>
            <w:r w:rsidRPr="00C64BA4">
              <w:rPr>
                <w:rFonts w:eastAsia="Times New Roman" w:cs="Calibri"/>
                <w:b/>
                <w:bCs/>
                <w:color w:val="595959"/>
              </w:rPr>
              <w:t>2000</w:t>
            </w:r>
          </w:p>
        </w:tc>
        <w:tc>
          <w:tcPr>
            <w:tcW w:w="1163" w:type="dxa"/>
            <w:tcBorders>
              <w:top w:val="nil"/>
              <w:left w:val="nil"/>
              <w:bottom w:val="single" w:sz="4" w:space="0" w:color="auto"/>
              <w:right w:val="nil"/>
            </w:tcBorders>
            <w:shd w:val="clear" w:color="auto" w:fill="auto"/>
            <w:noWrap/>
            <w:vAlign w:val="bottom"/>
            <w:hideMark/>
          </w:tcPr>
          <w:p w14:paraId="0A8B380E" w14:textId="77777777" w:rsidR="00EF64A3" w:rsidRPr="00C64BA4" w:rsidRDefault="00EF64A3" w:rsidP="00206C45">
            <w:pPr>
              <w:spacing w:after="0" w:line="300" w:lineRule="auto"/>
              <w:jc w:val="center"/>
              <w:rPr>
                <w:rFonts w:eastAsia="Times New Roman" w:cs="Calibri"/>
                <w:b/>
                <w:bCs/>
                <w:color w:val="595959"/>
              </w:rPr>
            </w:pPr>
            <w:r w:rsidRPr="00C64BA4">
              <w:rPr>
                <w:rFonts w:eastAsia="Times New Roman" w:cs="Calibri"/>
                <w:b/>
                <w:bCs/>
                <w:color w:val="595959"/>
              </w:rPr>
              <w:t>2010</w:t>
            </w:r>
          </w:p>
        </w:tc>
        <w:tc>
          <w:tcPr>
            <w:tcW w:w="1163" w:type="dxa"/>
            <w:tcBorders>
              <w:top w:val="nil"/>
              <w:left w:val="nil"/>
              <w:bottom w:val="single" w:sz="4" w:space="0" w:color="auto"/>
              <w:right w:val="nil"/>
            </w:tcBorders>
            <w:shd w:val="clear" w:color="auto" w:fill="auto"/>
            <w:noWrap/>
            <w:vAlign w:val="bottom"/>
            <w:hideMark/>
          </w:tcPr>
          <w:p w14:paraId="19F233DA" w14:textId="77777777" w:rsidR="00EF64A3" w:rsidRPr="00C64BA4" w:rsidRDefault="00EF64A3" w:rsidP="00206C45">
            <w:pPr>
              <w:spacing w:after="0" w:line="300" w:lineRule="auto"/>
              <w:jc w:val="center"/>
              <w:rPr>
                <w:rFonts w:eastAsia="Times New Roman" w:cs="Calibri"/>
                <w:b/>
                <w:bCs/>
                <w:color w:val="595959"/>
              </w:rPr>
            </w:pPr>
            <w:r w:rsidRPr="00C64BA4">
              <w:rPr>
                <w:rFonts w:eastAsia="Times New Roman" w:cs="Calibri"/>
                <w:b/>
                <w:bCs/>
                <w:color w:val="595959"/>
              </w:rPr>
              <w:t>2020</w:t>
            </w:r>
          </w:p>
        </w:tc>
      </w:tr>
      <w:tr w:rsidR="00EF64A3" w:rsidRPr="00C64BA4" w14:paraId="371973E9" w14:textId="77777777" w:rsidTr="00366DDA">
        <w:trPr>
          <w:trHeight w:val="300"/>
        </w:trPr>
        <w:tc>
          <w:tcPr>
            <w:tcW w:w="1323" w:type="dxa"/>
            <w:tcBorders>
              <w:top w:val="nil"/>
              <w:left w:val="nil"/>
              <w:bottom w:val="single" w:sz="4" w:space="0" w:color="auto"/>
              <w:right w:val="nil"/>
            </w:tcBorders>
            <w:shd w:val="clear" w:color="auto" w:fill="auto"/>
            <w:noWrap/>
            <w:vAlign w:val="center"/>
            <w:hideMark/>
          </w:tcPr>
          <w:p w14:paraId="717DF3A1"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Auburn</w:t>
            </w:r>
          </w:p>
        </w:tc>
        <w:tc>
          <w:tcPr>
            <w:tcW w:w="1163" w:type="dxa"/>
            <w:tcBorders>
              <w:top w:val="nil"/>
              <w:left w:val="nil"/>
              <w:bottom w:val="single" w:sz="4" w:space="0" w:color="auto"/>
              <w:right w:val="nil"/>
            </w:tcBorders>
            <w:shd w:val="clear" w:color="auto" w:fill="auto"/>
            <w:noWrap/>
            <w:vAlign w:val="center"/>
            <w:hideMark/>
          </w:tcPr>
          <w:p w14:paraId="07F85BDB"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4,680</w:t>
            </w:r>
          </w:p>
        </w:tc>
        <w:tc>
          <w:tcPr>
            <w:tcW w:w="1163" w:type="dxa"/>
            <w:tcBorders>
              <w:top w:val="nil"/>
              <w:left w:val="nil"/>
              <w:bottom w:val="single" w:sz="4" w:space="0" w:color="auto"/>
              <w:right w:val="nil"/>
            </w:tcBorders>
            <w:shd w:val="clear" w:color="auto" w:fill="auto"/>
            <w:noWrap/>
            <w:vAlign w:val="center"/>
            <w:hideMark/>
          </w:tcPr>
          <w:p w14:paraId="5DE8977B"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4,950</w:t>
            </w:r>
          </w:p>
        </w:tc>
        <w:tc>
          <w:tcPr>
            <w:tcW w:w="1163" w:type="dxa"/>
            <w:tcBorders>
              <w:top w:val="nil"/>
              <w:left w:val="nil"/>
              <w:bottom w:val="single" w:sz="4" w:space="0" w:color="auto"/>
              <w:right w:val="nil"/>
            </w:tcBorders>
            <w:shd w:val="clear" w:color="auto" w:fill="auto"/>
            <w:noWrap/>
            <w:vAlign w:val="center"/>
            <w:hideMark/>
          </w:tcPr>
          <w:p w14:paraId="3F0828FE"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5,950</w:t>
            </w:r>
          </w:p>
        </w:tc>
      </w:tr>
      <w:tr w:rsidR="00EF64A3" w:rsidRPr="00C64BA4" w14:paraId="46042B9B" w14:textId="77777777" w:rsidTr="00366DDA">
        <w:trPr>
          <w:trHeight w:val="300"/>
        </w:trPr>
        <w:tc>
          <w:tcPr>
            <w:tcW w:w="1323" w:type="dxa"/>
            <w:tcBorders>
              <w:top w:val="nil"/>
              <w:left w:val="nil"/>
              <w:bottom w:val="single" w:sz="4" w:space="0" w:color="auto"/>
              <w:right w:val="nil"/>
            </w:tcBorders>
            <w:shd w:val="clear" w:color="000000" w:fill="E7E6E6"/>
            <w:noWrap/>
            <w:vAlign w:val="center"/>
            <w:hideMark/>
          </w:tcPr>
          <w:p w14:paraId="6680911A"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Bedford</w:t>
            </w:r>
          </w:p>
        </w:tc>
        <w:tc>
          <w:tcPr>
            <w:tcW w:w="1163" w:type="dxa"/>
            <w:tcBorders>
              <w:top w:val="nil"/>
              <w:left w:val="nil"/>
              <w:bottom w:val="single" w:sz="4" w:space="0" w:color="auto"/>
              <w:right w:val="nil"/>
            </w:tcBorders>
            <w:shd w:val="clear" w:color="000000" w:fill="E7E6E6"/>
            <w:noWrap/>
            <w:vAlign w:val="center"/>
            <w:hideMark/>
          </w:tcPr>
          <w:p w14:paraId="6D4B7C04"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18,270</w:t>
            </w:r>
          </w:p>
        </w:tc>
        <w:tc>
          <w:tcPr>
            <w:tcW w:w="1163" w:type="dxa"/>
            <w:tcBorders>
              <w:top w:val="nil"/>
              <w:left w:val="nil"/>
              <w:bottom w:val="single" w:sz="4" w:space="0" w:color="auto"/>
              <w:right w:val="nil"/>
            </w:tcBorders>
            <w:shd w:val="clear" w:color="000000" w:fill="E7E6E6"/>
            <w:noWrap/>
            <w:vAlign w:val="center"/>
            <w:hideMark/>
          </w:tcPr>
          <w:p w14:paraId="03E1A309"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21,200</w:t>
            </w:r>
          </w:p>
        </w:tc>
        <w:tc>
          <w:tcPr>
            <w:tcW w:w="1163" w:type="dxa"/>
            <w:tcBorders>
              <w:top w:val="nil"/>
              <w:left w:val="nil"/>
              <w:bottom w:val="single" w:sz="4" w:space="0" w:color="auto"/>
              <w:right w:val="nil"/>
            </w:tcBorders>
            <w:shd w:val="clear" w:color="000000" w:fill="E7E6E6"/>
            <w:noWrap/>
            <w:vAlign w:val="center"/>
            <w:hideMark/>
          </w:tcPr>
          <w:p w14:paraId="0238543C"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23,320</w:t>
            </w:r>
          </w:p>
        </w:tc>
      </w:tr>
      <w:tr w:rsidR="00EF64A3" w:rsidRPr="00C64BA4" w14:paraId="3AF6E5DF" w14:textId="77777777" w:rsidTr="00366DDA">
        <w:trPr>
          <w:trHeight w:val="300"/>
        </w:trPr>
        <w:tc>
          <w:tcPr>
            <w:tcW w:w="1323" w:type="dxa"/>
            <w:tcBorders>
              <w:top w:val="nil"/>
              <w:left w:val="nil"/>
              <w:bottom w:val="single" w:sz="4" w:space="0" w:color="auto"/>
              <w:right w:val="nil"/>
            </w:tcBorders>
            <w:shd w:val="clear" w:color="auto" w:fill="auto"/>
            <w:noWrap/>
            <w:vAlign w:val="center"/>
            <w:hideMark/>
          </w:tcPr>
          <w:p w14:paraId="2909C0CA"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Candia</w:t>
            </w:r>
          </w:p>
        </w:tc>
        <w:tc>
          <w:tcPr>
            <w:tcW w:w="1163" w:type="dxa"/>
            <w:tcBorders>
              <w:top w:val="nil"/>
              <w:left w:val="nil"/>
              <w:bottom w:val="single" w:sz="4" w:space="0" w:color="auto"/>
              <w:right w:val="nil"/>
            </w:tcBorders>
            <w:shd w:val="clear" w:color="auto" w:fill="auto"/>
            <w:noWrap/>
            <w:vAlign w:val="center"/>
            <w:hideMark/>
          </w:tcPr>
          <w:p w14:paraId="7635C9F0"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3,910</w:t>
            </w:r>
          </w:p>
        </w:tc>
        <w:tc>
          <w:tcPr>
            <w:tcW w:w="1163" w:type="dxa"/>
            <w:tcBorders>
              <w:top w:val="nil"/>
              <w:left w:val="nil"/>
              <w:bottom w:val="single" w:sz="4" w:space="0" w:color="auto"/>
              <w:right w:val="nil"/>
            </w:tcBorders>
            <w:shd w:val="clear" w:color="auto" w:fill="auto"/>
            <w:noWrap/>
            <w:vAlign w:val="center"/>
            <w:hideMark/>
          </w:tcPr>
          <w:p w14:paraId="0891041C"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3,910</w:t>
            </w:r>
          </w:p>
        </w:tc>
        <w:tc>
          <w:tcPr>
            <w:tcW w:w="1163" w:type="dxa"/>
            <w:tcBorders>
              <w:top w:val="nil"/>
              <w:left w:val="nil"/>
              <w:bottom w:val="single" w:sz="4" w:space="0" w:color="auto"/>
              <w:right w:val="nil"/>
            </w:tcBorders>
            <w:shd w:val="clear" w:color="auto" w:fill="auto"/>
            <w:noWrap/>
            <w:vAlign w:val="center"/>
            <w:hideMark/>
          </w:tcPr>
          <w:p w14:paraId="3E576CD4"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4,010</w:t>
            </w:r>
          </w:p>
        </w:tc>
      </w:tr>
      <w:tr w:rsidR="00EF64A3" w:rsidRPr="00C64BA4" w14:paraId="2B2FD100" w14:textId="77777777" w:rsidTr="00366DDA">
        <w:trPr>
          <w:trHeight w:val="300"/>
        </w:trPr>
        <w:tc>
          <w:tcPr>
            <w:tcW w:w="1323" w:type="dxa"/>
            <w:tcBorders>
              <w:top w:val="nil"/>
              <w:left w:val="nil"/>
              <w:bottom w:val="single" w:sz="4" w:space="0" w:color="auto"/>
              <w:right w:val="nil"/>
            </w:tcBorders>
            <w:shd w:val="clear" w:color="000000" w:fill="E7E6E6"/>
            <w:noWrap/>
            <w:vAlign w:val="center"/>
            <w:hideMark/>
          </w:tcPr>
          <w:p w14:paraId="2CDD6239"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Chester</w:t>
            </w:r>
          </w:p>
        </w:tc>
        <w:tc>
          <w:tcPr>
            <w:tcW w:w="1163" w:type="dxa"/>
            <w:tcBorders>
              <w:top w:val="nil"/>
              <w:left w:val="nil"/>
              <w:bottom w:val="single" w:sz="4" w:space="0" w:color="auto"/>
              <w:right w:val="nil"/>
            </w:tcBorders>
            <w:shd w:val="clear" w:color="000000" w:fill="E7E6E6"/>
            <w:noWrap/>
            <w:vAlign w:val="center"/>
            <w:hideMark/>
          </w:tcPr>
          <w:p w14:paraId="440DDFC0"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3,790</w:t>
            </w:r>
          </w:p>
        </w:tc>
        <w:tc>
          <w:tcPr>
            <w:tcW w:w="1163" w:type="dxa"/>
            <w:tcBorders>
              <w:top w:val="nil"/>
              <w:left w:val="nil"/>
              <w:bottom w:val="single" w:sz="4" w:space="0" w:color="auto"/>
              <w:right w:val="nil"/>
            </w:tcBorders>
            <w:shd w:val="clear" w:color="000000" w:fill="E7E6E6"/>
            <w:noWrap/>
            <w:vAlign w:val="center"/>
            <w:hideMark/>
          </w:tcPr>
          <w:p w14:paraId="634DA7AF"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4,770</w:t>
            </w:r>
          </w:p>
        </w:tc>
        <w:tc>
          <w:tcPr>
            <w:tcW w:w="1163" w:type="dxa"/>
            <w:tcBorders>
              <w:top w:val="nil"/>
              <w:left w:val="nil"/>
              <w:bottom w:val="single" w:sz="4" w:space="0" w:color="auto"/>
              <w:right w:val="nil"/>
            </w:tcBorders>
            <w:shd w:val="clear" w:color="000000" w:fill="E7E6E6"/>
            <w:noWrap/>
            <w:vAlign w:val="center"/>
            <w:hideMark/>
          </w:tcPr>
          <w:p w14:paraId="3526C3BC"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5,230</w:t>
            </w:r>
          </w:p>
        </w:tc>
      </w:tr>
      <w:tr w:rsidR="00EF64A3" w:rsidRPr="00C64BA4" w14:paraId="5F2ACB4E" w14:textId="77777777" w:rsidTr="00366DDA">
        <w:trPr>
          <w:trHeight w:val="300"/>
        </w:trPr>
        <w:tc>
          <w:tcPr>
            <w:tcW w:w="1323" w:type="dxa"/>
            <w:tcBorders>
              <w:top w:val="nil"/>
              <w:left w:val="nil"/>
              <w:bottom w:val="single" w:sz="4" w:space="0" w:color="auto"/>
              <w:right w:val="nil"/>
            </w:tcBorders>
            <w:shd w:val="clear" w:color="auto" w:fill="auto"/>
            <w:noWrap/>
            <w:vAlign w:val="center"/>
            <w:hideMark/>
          </w:tcPr>
          <w:p w14:paraId="6471AE56"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Deerfield</w:t>
            </w:r>
          </w:p>
        </w:tc>
        <w:tc>
          <w:tcPr>
            <w:tcW w:w="1163" w:type="dxa"/>
            <w:tcBorders>
              <w:top w:val="nil"/>
              <w:left w:val="nil"/>
              <w:bottom w:val="single" w:sz="4" w:space="0" w:color="auto"/>
              <w:right w:val="nil"/>
            </w:tcBorders>
            <w:shd w:val="clear" w:color="auto" w:fill="auto"/>
            <w:noWrap/>
            <w:vAlign w:val="center"/>
            <w:hideMark/>
          </w:tcPr>
          <w:p w14:paraId="783A0210"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3,680</w:t>
            </w:r>
          </w:p>
        </w:tc>
        <w:tc>
          <w:tcPr>
            <w:tcW w:w="1163" w:type="dxa"/>
            <w:tcBorders>
              <w:top w:val="nil"/>
              <w:left w:val="nil"/>
              <w:bottom w:val="single" w:sz="4" w:space="0" w:color="auto"/>
              <w:right w:val="nil"/>
            </w:tcBorders>
            <w:shd w:val="clear" w:color="auto" w:fill="auto"/>
            <w:noWrap/>
            <w:vAlign w:val="center"/>
            <w:hideMark/>
          </w:tcPr>
          <w:p w14:paraId="646E246F"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4,280</w:t>
            </w:r>
          </w:p>
        </w:tc>
        <w:tc>
          <w:tcPr>
            <w:tcW w:w="1163" w:type="dxa"/>
            <w:tcBorders>
              <w:top w:val="nil"/>
              <w:left w:val="nil"/>
              <w:bottom w:val="single" w:sz="4" w:space="0" w:color="auto"/>
              <w:right w:val="nil"/>
            </w:tcBorders>
            <w:shd w:val="clear" w:color="auto" w:fill="auto"/>
            <w:noWrap/>
            <w:vAlign w:val="center"/>
            <w:hideMark/>
          </w:tcPr>
          <w:p w14:paraId="7078A3A4"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4,860</w:t>
            </w:r>
          </w:p>
        </w:tc>
      </w:tr>
      <w:tr w:rsidR="00EF64A3" w:rsidRPr="00C64BA4" w14:paraId="08E2133F" w14:textId="77777777" w:rsidTr="00366DDA">
        <w:trPr>
          <w:trHeight w:val="300"/>
        </w:trPr>
        <w:tc>
          <w:tcPr>
            <w:tcW w:w="1323" w:type="dxa"/>
            <w:tcBorders>
              <w:top w:val="nil"/>
              <w:left w:val="nil"/>
              <w:bottom w:val="single" w:sz="4" w:space="0" w:color="auto"/>
              <w:right w:val="nil"/>
            </w:tcBorders>
            <w:shd w:val="clear" w:color="000000" w:fill="E7E6E6"/>
            <w:noWrap/>
            <w:vAlign w:val="center"/>
            <w:hideMark/>
          </w:tcPr>
          <w:p w14:paraId="07C64B94"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Derry</w:t>
            </w:r>
          </w:p>
        </w:tc>
        <w:tc>
          <w:tcPr>
            <w:tcW w:w="1163" w:type="dxa"/>
            <w:tcBorders>
              <w:top w:val="nil"/>
              <w:left w:val="nil"/>
              <w:bottom w:val="single" w:sz="4" w:space="0" w:color="auto"/>
              <w:right w:val="nil"/>
            </w:tcBorders>
            <w:shd w:val="clear" w:color="000000" w:fill="E7E6E6"/>
            <w:noWrap/>
            <w:vAlign w:val="center"/>
            <w:hideMark/>
          </w:tcPr>
          <w:p w14:paraId="5D4E10E1"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34,020</w:t>
            </w:r>
          </w:p>
        </w:tc>
        <w:tc>
          <w:tcPr>
            <w:tcW w:w="1163" w:type="dxa"/>
            <w:tcBorders>
              <w:top w:val="nil"/>
              <w:left w:val="nil"/>
              <w:bottom w:val="single" w:sz="4" w:space="0" w:color="auto"/>
              <w:right w:val="nil"/>
            </w:tcBorders>
            <w:shd w:val="clear" w:color="000000" w:fill="E7E6E6"/>
            <w:noWrap/>
            <w:vAlign w:val="center"/>
            <w:hideMark/>
          </w:tcPr>
          <w:p w14:paraId="16EA76B6"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33,110</w:t>
            </w:r>
          </w:p>
        </w:tc>
        <w:tc>
          <w:tcPr>
            <w:tcW w:w="1163" w:type="dxa"/>
            <w:tcBorders>
              <w:top w:val="nil"/>
              <w:left w:val="nil"/>
              <w:bottom w:val="single" w:sz="4" w:space="0" w:color="auto"/>
              <w:right w:val="nil"/>
            </w:tcBorders>
            <w:shd w:val="clear" w:color="000000" w:fill="E7E6E6"/>
            <w:noWrap/>
            <w:vAlign w:val="center"/>
            <w:hideMark/>
          </w:tcPr>
          <w:p w14:paraId="3BD8D7F8"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34,320</w:t>
            </w:r>
          </w:p>
        </w:tc>
      </w:tr>
      <w:tr w:rsidR="00EF64A3" w:rsidRPr="00C64BA4" w14:paraId="3C8B56DD" w14:textId="77777777" w:rsidTr="00366DDA">
        <w:trPr>
          <w:trHeight w:val="300"/>
        </w:trPr>
        <w:tc>
          <w:tcPr>
            <w:tcW w:w="1323" w:type="dxa"/>
            <w:tcBorders>
              <w:top w:val="single" w:sz="4" w:space="0" w:color="auto"/>
              <w:left w:val="nil"/>
              <w:bottom w:val="single" w:sz="4" w:space="0" w:color="auto"/>
              <w:right w:val="nil"/>
            </w:tcBorders>
            <w:shd w:val="clear" w:color="auto" w:fill="auto"/>
            <w:noWrap/>
            <w:vAlign w:val="center"/>
            <w:hideMark/>
          </w:tcPr>
          <w:p w14:paraId="64091CAB" w14:textId="77777777" w:rsidR="00EF64A3" w:rsidRPr="00C64BA4" w:rsidRDefault="00EF64A3" w:rsidP="00206C45">
            <w:pPr>
              <w:spacing w:after="0" w:line="300" w:lineRule="auto"/>
              <w:jc w:val="center"/>
              <w:rPr>
                <w:rFonts w:eastAsia="Times New Roman" w:cs="Calibri"/>
                <w:color w:val="000000"/>
              </w:rPr>
            </w:pPr>
            <w:proofErr w:type="spellStart"/>
            <w:r w:rsidRPr="00C64BA4">
              <w:rPr>
                <w:rFonts w:eastAsia="Times New Roman" w:cs="Calibri"/>
                <w:color w:val="000000"/>
              </w:rPr>
              <w:t>Francestown</w:t>
            </w:r>
            <w:proofErr w:type="spellEnd"/>
          </w:p>
        </w:tc>
        <w:tc>
          <w:tcPr>
            <w:tcW w:w="1163" w:type="dxa"/>
            <w:tcBorders>
              <w:top w:val="single" w:sz="4" w:space="0" w:color="auto"/>
              <w:left w:val="nil"/>
              <w:bottom w:val="single" w:sz="4" w:space="0" w:color="auto"/>
              <w:right w:val="nil"/>
            </w:tcBorders>
            <w:shd w:val="clear" w:color="auto" w:fill="auto"/>
            <w:noWrap/>
            <w:vAlign w:val="center"/>
            <w:hideMark/>
          </w:tcPr>
          <w:p w14:paraId="4C9DC295"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1,480</w:t>
            </w:r>
          </w:p>
        </w:tc>
        <w:tc>
          <w:tcPr>
            <w:tcW w:w="1163" w:type="dxa"/>
            <w:tcBorders>
              <w:top w:val="single" w:sz="4" w:space="0" w:color="auto"/>
              <w:left w:val="nil"/>
              <w:bottom w:val="single" w:sz="4" w:space="0" w:color="auto"/>
              <w:right w:val="nil"/>
            </w:tcBorders>
            <w:shd w:val="clear" w:color="auto" w:fill="auto"/>
            <w:noWrap/>
            <w:vAlign w:val="center"/>
            <w:hideMark/>
          </w:tcPr>
          <w:p w14:paraId="5B3EAEA3"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1,560</w:t>
            </w:r>
          </w:p>
        </w:tc>
        <w:tc>
          <w:tcPr>
            <w:tcW w:w="1163" w:type="dxa"/>
            <w:tcBorders>
              <w:top w:val="single" w:sz="4" w:space="0" w:color="auto"/>
              <w:left w:val="nil"/>
              <w:bottom w:val="single" w:sz="4" w:space="0" w:color="auto"/>
              <w:right w:val="nil"/>
            </w:tcBorders>
            <w:shd w:val="clear" w:color="auto" w:fill="auto"/>
            <w:noWrap/>
            <w:vAlign w:val="center"/>
            <w:hideMark/>
          </w:tcPr>
          <w:p w14:paraId="0EBE7B42"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1,610</w:t>
            </w:r>
          </w:p>
        </w:tc>
      </w:tr>
      <w:tr w:rsidR="00EF64A3" w:rsidRPr="00C64BA4" w14:paraId="785C9AE7" w14:textId="77777777" w:rsidTr="00366DDA">
        <w:trPr>
          <w:trHeight w:val="300"/>
        </w:trPr>
        <w:tc>
          <w:tcPr>
            <w:tcW w:w="1323" w:type="dxa"/>
            <w:tcBorders>
              <w:top w:val="nil"/>
              <w:left w:val="nil"/>
              <w:bottom w:val="single" w:sz="4" w:space="0" w:color="auto"/>
              <w:right w:val="nil"/>
            </w:tcBorders>
            <w:shd w:val="clear" w:color="000000" w:fill="E7E6E6"/>
            <w:noWrap/>
            <w:vAlign w:val="center"/>
            <w:hideMark/>
          </w:tcPr>
          <w:p w14:paraId="4890257D"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Goffstown</w:t>
            </w:r>
          </w:p>
        </w:tc>
        <w:tc>
          <w:tcPr>
            <w:tcW w:w="1163" w:type="dxa"/>
            <w:tcBorders>
              <w:top w:val="nil"/>
              <w:left w:val="nil"/>
              <w:bottom w:val="single" w:sz="4" w:space="0" w:color="auto"/>
              <w:right w:val="nil"/>
            </w:tcBorders>
            <w:shd w:val="clear" w:color="000000" w:fill="E7E6E6"/>
            <w:noWrap/>
            <w:vAlign w:val="center"/>
            <w:hideMark/>
          </w:tcPr>
          <w:p w14:paraId="5CFB1801"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16,930</w:t>
            </w:r>
          </w:p>
        </w:tc>
        <w:tc>
          <w:tcPr>
            <w:tcW w:w="1163" w:type="dxa"/>
            <w:tcBorders>
              <w:top w:val="nil"/>
              <w:left w:val="nil"/>
              <w:bottom w:val="single" w:sz="4" w:space="0" w:color="auto"/>
              <w:right w:val="nil"/>
            </w:tcBorders>
            <w:shd w:val="clear" w:color="000000" w:fill="E7E6E6"/>
            <w:noWrap/>
            <w:vAlign w:val="center"/>
            <w:hideMark/>
          </w:tcPr>
          <w:p w14:paraId="27D4D846"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17,650</w:t>
            </w:r>
          </w:p>
        </w:tc>
        <w:tc>
          <w:tcPr>
            <w:tcW w:w="1163" w:type="dxa"/>
            <w:tcBorders>
              <w:top w:val="nil"/>
              <w:left w:val="nil"/>
              <w:bottom w:val="single" w:sz="4" w:space="0" w:color="auto"/>
              <w:right w:val="nil"/>
            </w:tcBorders>
            <w:shd w:val="clear" w:color="000000" w:fill="E7E6E6"/>
            <w:noWrap/>
            <w:vAlign w:val="center"/>
            <w:hideMark/>
          </w:tcPr>
          <w:p w14:paraId="2B79BD36"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18,580</w:t>
            </w:r>
          </w:p>
        </w:tc>
      </w:tr>
      <w:tr w:rsidR="00EF64A3" w:rsidRPr="00C64BA4" w14:paraId="2F7070C3" w14:textId="77777777" w:rsidTr="00366DDA">
        <w:trPr>
          <w:trHeight w:val="300"/>
        </w:trPr>
        <w:tc>
          <w:tcPr>
            <w:tcW w:w="1323" w:type="dxa"/>
            <w:tcBorders>
              <w:top w:val="nil"/>
              <w:left w:val="nil"/>
              <w:bottom w:val="single" w:sz="4" w:space="0" w:color="auto"/>
              <w:right w:val="nil"/>
            </w:tcBorders>
            <w:shd w:val="clear" w:color="auto" w:fill="auto"/>
            <w:noWrap/>
            <w:vAlign w:val="center"/>
            <w:hideMark/>
          </w:tcPr>
          <w:p w14:paraId="13AF8B67"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Hooksett</w:t>
            </w:r>
          </w:p>
        </w:tc>
        <w:tc>
          <w:tcPr>
            <w:tcW w:w="1163" w:type="dxa"/>
            <w:tcBorders>
              <w:top w:val="nil"/>
              <w:left w:val="nil"/>
              <w:bottom w:val="single" w:sz="4" w:space="0" w:color="auto"/>
              <w:right w:val="nil"/>
            </w:tcBorders>
            <w:shd w:val="clear" w:color="auto" w:fill="auto"/>
            <w:noWrap/>
            <w:vAlign w:val="center"/>
            <w:hideMark/>
          </w:tcPr>
          <w:p w14:paraId="5083AF15"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11,720</w:t>
            </w:r>
          </w:p>
        </w:tc>
        <w:tc>
          <w:tcPr>
            <w:tcW w:w="1163" w:type="dxa"/>
            <w:tcBorders>
              <w:top w:val="nil"/>
              <w:left w:val="nil"/>
              <w:bottom w:val="single" w:sz="4" w:space="0" w:color="auto"/>
              <w:right w:val="nil"/>
            </w:tcBorders>
            <w:shd w:val="clear" w:color="auto" w:fill="auto"/>
            <w:noWrap/>
            <w:vAlign w:val="center"/>
            <w:hideMark/>
          </w:tcPr>
          <w:p w14:paraId="66E0891A"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13,450</w:t>
            </w:r>
          </w:p>
        </w:tc>
        <w:tc>
          <w:tcPr>
            <w:tcW w:w="1163" w:type="dxa"/>
            <w:tcBorders>
              <w:top w:val="nil"/>
              <w:left w:val="nil"/>
              <w:bottom w:val="single" w:sz="4" w:space="0" w:color="auto"/>
              <w:right w:val="nil"/>
            </w:tcBorders>
            <w:shd w:val="clear" w:color="auto" w:fill="auto"/>
            <w:noWrap/>
            <w:vAlign w:val="center"/>
            <w:hideMark/>
          </w:tcPr>
          <w:p w14:paraId="4EF8876E"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14,870</w:t>
            </w:r>
          </w:p>
        </w:tc>
      </w:tr>
      <w:tr w:rsidR="00EF64A3" w:rsidRPr="00C64BA4" w14:paraId="64E7C9DC" w14:textId="77777777" w:rsidTr="00366DDA">
        <w:trPr>
          <w:trHeight w:val="300"/>
        </w:trPr>
        <w:tc>
          <w:tcPr>
            <w:tcW w:w="1323" w:type="dxa"/>
            <w:tcBorders>
              <w:top w:val="nil"/>
              <w:left w:val="nil"/>
              <w:bottom w:val="single" w:sz="4" w:space="0" w:color="auto"/>
              <w:right w:val="nil"/>
            </w:tcBorders>
            <w:shd w:val="clear" w:color="000000" w:fill="E7E6E6"/>
            <w:noWrap/>
            <w:vAlign w:val="center"/>
            <w:hideMark/>
          </w:tcPr>
          <w:p w14:paraId="07A2AE9A"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Londonderry</w:t>
            </w:r>
          </w:p>
        </w:tc>
        <w:tc>
          <w:tcPr>
            <w:tcW w:w="1163" w:type="dxa"/>
            <w:tcBorders>
              <w:top w:val="nil"/>
              <w:left w:val="nil"/>
              <w:bottom w:val="single" w:sz="4" w:space="0" w:color="auto"/>
              <w:right w:val="nil"/>
            </w:tcBorders>
            <w:shd w:val="clear" w:color="000000" w:fill="E7E6E6"/>
            <w:noWrap/>
            <w:vAlign w:val="center"/>
            <w:hideMark/>
          </w:tcPr>
          <w:p w14:paraId="0711018C"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23,240</w:t>
            </w:r>
          </w:p>
        </w:tc>
        <w:tc>
          <w:tcPr>
            <w:tcW w:w="1163" w:type="dxa"/>
            <w:tcBorders>
              <w:top w:val="nil"/>
              <w:left w:val="nil"/>
              <w:bottom w:val="single" w:sz="4" w:space="0" w:color="auto"/>
              <w:right w:val="nil"/>
            </w:tcBorders>
            <w:shd w:val="clear" w:color="000000" w:fill="E7E6E6"/>
            <w:noWrap/>
            <w:vAlign w:val="center"/>
            <w:hideMark/>
          </w:tcPr>
          <w:p w14:paraId="327502CB"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24,130</w:t>
            </w:r>
          </w:p>
        </w:tc>
        <w:tc>
          <w:tcPr>
            <w:tcW w:w="1163" w:type="dxa"/>
            <w:tcBorders>
              <w:top w:val="nil"/>
              <w:left w:val="nil"/>
              <w:bottom w:val="single" w:sz="4" w:space="0" w:color="auto"/>
              <w:right w:val="nil"/>
            </w:tcBorders>
            <w:shd w:val="clear" w:color="000000" w:fill="E7E6E6"/>
            <w:noWrap/>
            <w:vAlign w:val="center"/>
            <w:hideMark/>
          </w:tcPr>
          <w:p w14:paraId="4DF902A8"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25,830</w:t>
            </w:r>
          </w:p>
        </w:tc>
      </w:tr>
      <w:tr w:rsidR="00EF64A3" w:rsidRPr="00C64BA4" w14:paraId="200EA43B" w14:textId="77777777" w:rsidTr="00366DDA">
        <w:trPr>
          <w:trHeight w:val="300"/>
        </w:trPr>
        <w:tc>
          <w:tcPr>
            <w:tcW w:w="1323" w:type="dxa"/>
            <w:tcBorders>
              <w:top w:val="nil"/>
              <w:left w:val="nil"/>
              <w:bottom w:val="single" w:sz="4" w:space="0" w:color="auto"/>
              <w:right w:val="nil"/>
            </w:tcBorders>
            <w:shd w:val="clear" w:color="auto" w:fill="auto"/>
            <w:noWrap/>
            <w:vAlign w:val="center"/>
            <w:hideMark/>
          </w:tcPr>
          <w:p w14:paraId="2B37ED2B"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Manchester</w:t>
            </w:r>
          </w:p>
        </w:tc>
        <w:tc>
          <w:tcPr>
            <w:tcW w:w="1163" w:type="dxa"/>
            <w:tcBorders>
              <w:top w:val="nil"/>
              <w:left w:val="nil"/>
              <w:bottom w:val="single" w:sz="4" w:space="0" w:color="auto"/>
              <w:right w:val="nil"/>
            </w:tcBorders>
            <w:shd w:val="clear" w:color="auto" w:fill="auto"/>
            <w:noWrap/>
            <w:vAlign w:val="center"/>
            <w:hideMark/>
          </w:tcPr>
          <w:p w14:paraId="1B9241D9"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107,010</w:t>
            </w:r>
          </w:p>
        </w:tc>
        <w:tc>
          <w:tcPr>
            <w:tcW w:w="1163" w:type="dxa"/>
            <w:tcBorders>
              <w:top w:val="nil"/>
              <w:left w:val="nil"/>
              <w:bottom w:val="single" w:sz="4" w:space="0" w:color="auto"/>
              <w:right w:val="nil"/>
            </w:tcBorders>
            <w:shd w:val="clear" w:color="auto" w:fill="auto"/>
            <w:noWrap/>
            <w:vAlign w:val="center"/>
            <w:hideMark/>
          </w:tcPr>
          <w:p w14:paraId="54F4D049"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109,570</w:t>
            </w:r>
          </w:p>
        </w:tc>
        <w:tc>
          <w:tcPr>
            <w:tcW w:w="1163" w:type="dxa"/>
            <w:tcBorders>
              <w:top w:val="nil"/>
              <w:left w:val="nil"/>
              <w:bottom w:val="single" w:sz="4" w:space="0" w:color="auto"/>
              <w:right w:val="nil"/>
            </w:tcBorders>
            <w:shd w:val="clear" w:color="auto" w:fill="auto"/>
            <w:noWrap/>
            <w:vAlign w:val="center"/>
            <w:hideMark/>
          </w:tcPr>
          <w:p w14:paraId="4EE77209"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115,640</w:t>
            </w:r>
          </w:p>
        </w:tc>
      </w:tr>
      <w:tr w:rsidR="00EF64A3" w:rsidRPr="00C64BA4" w14:paraId="0941ABEA" w14:textId="77777777" w:rsidTr="00366DDA">
        <w:trPr>
          <w:trHeight w:val="300"/>
        </w:trPr>
        <w:tc>
          <w:tcPr>
            <w:tcW w:w="1323" w:type="dxa"/>
            <w:tcBorders>
              <w:top w:val="nil"/>
              <w:left w:val="nil"/>
              <w:bottom w:val="single" w:sz="4" w:space="0" w:color="auto"/>
              <w:right w:val="nil"/>
            </w:tcBorders>
            <w:shd w:val="clear" w:color="000000" w:fill="E7E6E6"/>
            <w:noWrap/>
            <w:vAlign w:val="center"/>
            <w:hideMark/>
          </w:tcPr>
          <w:p w14:paraId="6CBF208E"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New Boston</w:t>
            </w:r>
          </w:p>
        </w:tc>
        <w:tc>
          <w:tcPr>
            <w:tcW w:w="1163" w:type="dxa"/>
            <w:tcBorders>
              <w:top w:val="nil"/>
              <w:left w:val="nil"/>
              <w:bottom w:val="single" w:sz="4" w:space="0" w:color="auto"/>
              <w:right w:val="nil"/>
            </w:tcBorders>
            <w:shd w:val="clear" w:color="000000" w:fill="E7E6E6"/>
            <w:noWrap/>
            <w:vAlign w:val="center"/>
            <w:hideMark/>
          </w:tcPr>
          <w:p w14:paraId="7B50DF78"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4,140</w:t>
            </w:r>
          </w:p>
        </w:tc>
        <w:tc>
          <w:tcPr>
            <w:tcW w:w="1163" w:type="dxa"/>
            <w:tcBorders>
              <w:top w:val="nil"/>
              <w:left w:val="nil"/>
              <w:bottom w:val="single" w:sz="4" w:space="0" w:color="auto"/>
              <w:right w:val="nil"/>
            </w:tcBorders>
            <w:shd w:val="clear" w:color="000000" w:fill="E7E6E6"/>
            <w:noWrap/>
            <w:vAlign w:val="center"/>
            <w:hideMark/>
          </w:tcPr>
          <w:p w14:paraId="6899F068"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5,320</w:t>
            </w:r>
          </w:p>
        </w:tc>
        <w:tc>
          <w:tcPr>
            <w:tcW w:w="1163" w:type="dxa"/>
            <w:tcBorders>
              <w:top w:val="nil"/>
              <w:left w:val="nil"/>
              <w:bottom w:val="single" w:sz="4" w:space="0" w:color="auto"/>
              <w:right w:val="nil"/>
            </w:tcBorders>
            <w:shd w:val="clear" w:color="000000" w:fill="E7E6E6"/>
            <w:noWrap/>
            <w:vAlign w:val="center"/>
            <w:hideMark/>
          </w:tcPr>
          <w:p w14:paraId="74A8C2AF"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6,110</w:t>
            </w:r>
          </w:p>
        </w:tc>
      </w:tr>
      <w:tr w:rsidR="00EF64A3" w:rsidRPr="00C64BA4" w14:paraId="42C7C5CC" w14:textId="77777777" w:rsidTr="00366DDA">
        <w:trPr>
          <w:trHeight w:val="300"/>
        </w:trPr>
        <w:tc>
          <w:tcPr>
            <w:tcW w:w="1323" w:type="dxa"/>
            <w:tcBorders>
              <w:top w:val="nil"/>
              <w:left w:val="nil"/>
              <w:bottom w:val="single" w:sz="4" w:space="0" w:color="auto"/>
              <w:right w:val="nil"/>
            </w:tcBorders>
            <w:shd w:val="clear" w:color="auto" w:fill="auto"/>
            <w:noWrap/>
            <w:vAlign w:val="center"/>
            <w:hideMark/>
          </w:tcPr>
          <w:p w14:paraId="376CD8B2" w14:textId="77777777" w:rsidR="00EF64A3" w:rsidRPr="00C64BA4" w:rsidRDefault="00EF64A3" w:rsidP="00206C45">
            <w:pPr>
              <w:spacing w:after="0" w:line="300" w:lineRule="auto"/>
              <w:jc w:val="center"/>
              <w:rPr>
                <w:rFonts w:eastAsia="Times New Roman" w:cs="Calibri"/>
                <w:color w:val="000000"/>
              </w:rPr>
            </w:pPr>
            <w:proofErr w:type="spellStart"/>
            <w:r w:rsidRPr="00C64BA4">
              <w:rPr>
                <w:rFonts w:eastAsia="Times New Roman" w:cs="Calibri"/>
                <w:color w:val="000000"/>
              </w:rPr>
              <w:t>Weare</w:t>
            </w:r>
            <w:proofErr w:type="spellEnd"/>
          </w:p>
        </w:tc>
        <w:tc>
          <w:tcPr>
            <w:tcW w:w="1163" w:type="dxa"/>
            <w:tcBorders>
              <w:top w:val="nil"/>
              <w:left w:val="nil"/>
              <w:bottom w:val="single" w:sz="4" w:space="0" w:color="auto"/>
              <w:right w:val="nil"/>
            </w:tcBorders>
            <w:shd w:val="clear" w:color="auto" w:fill="auto"/>
            <w:noWrap/>
            <w:vAlign w:val="center"/>
            <w:hideMark/>
          </w:tcPr>
          <w:p w14:paraId="65C1F057"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7,780</w:t>
            </w:r>
          </w:p>
        </w:tc>
        <w:tc>
          <w:tcPr>
            <w:tcW w:w="1163" w:type="dxa"/>
            <w:tcBorders>
              <w:top w:val="nil"/>
              <w:left w:val="nil"/>
              <w:bottom w:val="single" w:sz="4" w:space="0" w:color="auto"/>
              <w:right w:val="nil"/>
            </w:tcBorders>
            <w:shd w:val="clear" w:color="auto" w:fill="auto"/>
            <w:noWrap/>
            <w:vAlign w:val="center"/>
            <w:hideMark/>
          </w:tcPr>
          <w:p w14:paraId="5C2E24FA"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8,790</w:t>
            </w:r>
          </w:p>
        </w:tc>
        <w:tc>
          <w:tcPr>
            <w:tcW w:w="1163" w:type="dxa"/>
            <w:tcBorders>
              <w:top w:val="nil"/>
              <w:left w:val="nil"/>
              <w:bottom w:val="single" w:sz="4" w:space="0" w:color="auto"/>
              <w:right w:val="nil"/>
            </w:tcBorders>
            <w:shd w:val="clear" w:color="auto" w:fill="auto"/>
            <w:noWrap/>
            <w:vAlign w:val="center"/>
            <w:hideMark/>
          </w:tcPr>
          <w:p w14:paraId="714D6FD2"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9,090</w:t>
            </w:r>
          </w:p>
        </w:tc>
      </w:tr>
      <w:tr w:rsidR="00EF64A3" w:rsidRPr="00C64BA4" w14:paraId="3FACDB22" w14:textId="77777777" w:rsidTr="00366DDA">
        <w:trPr>
          <w:trHeight w:val="315"/>
        </w:trPr>
        <w:tc>
          <w:tcPr>
            <w:tcW w:w="1323" w:type="dxa"/>
            <w:tcBorders>
              <w:top w:val="nil"/>
              <w:left w:val="nil"/>
              <w:bottom w:val="single" w:sz="12" w:space="0" w:color="404040" w:themeColor="text1" w:themeTint="BF"/>
              <w:right w:val="nil"/>
            </w:tcBorders>
            <w:shd w:val="clear" w:color="000000" w:fill="E7E6E6"/>
            <w:noWrap/>
            <w:vAlign w:val="center"/>
            <w:hideMark/>
          </w:tcPr>
          <w:p w14:paraId="04FBFC5A"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Windham</w:t>
            </w:r>
          </w:p>
        </w:tc>
        <w:tc>
          <w:tcPr>
            <w:tcW w:w="1163" w:type="dxa"/>
            <w:tcBorders>
              <w:top w:val="nil"/>
              <w:left w:val="nil"/>
              <w:bottom w:val="single" w:sz="12" w:space="0" w:color="404040" w:themeColor="text1" w:themeTint="BF"/>
              <w:right w:val="nil"/>
            </w:tcBorders>
            <w:shd w:val="clear" w:color="000000" w:fill="E7E6E6"/>
            <w:noWrap/>
            <w:vAlign w:val="center"/>
            <w:hideMark/>
          </w:tcPr>
          <w:p w14:paraId="520CC8FC"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10,710</w:t>
            </w:r>
          </w:p>
        </w:tc>
        <w:tc>
          <w:tcPr>
            <w:tcW w:w="1163" w:type="dxa"/>
            <w:tcBorders>
              <w:top w:val="nil"/>
              <w:left w:val="nil"/>
              <w:bottom w:val="single" w:sz="12" w:space="0" w:color="404040" w:themeColor="text1" w:themeTint="BF"/>
              <w:right w:val="nil"/>
            </w:tcBorders>
            <w:shd w:val="clear" w:color="000000" w:fill="E7E6E6"/>
            <w:noWrap/>
            <w:vAlign w:val="center"/>
            <w:hideMark/>
          </w:tcPr>
          <w:p w14:paraId="4F873F8A"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13,590</w:t>
            </w:r>
          </w:p>
        </w:tc>
        <w:tc>
          <w:tcPr>
            <w:tcW w:w="1163" w:type="dxa"/>
            <w:tcBorders>
              <w:top w:val="nil"/>
              <w:left w:val="nil"/>
              <w:bottom w:val="single" w:sz="12" w:space="0" w:color="404040" w:themeColor="text1" w:themeTint="BF"/>
              <w:right w:val="nil"/>
            </w:tcBorders>
            <w:shd w:val="clear" w:color="000000" w:fill="E7E6E6"/>
            <w:noWrap/>
            <w:vAlign w:val="center"/>
            <w:hideMark/>
          </w:tcPr>
          <w:p w14:paraId="129D82BA"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15,820</w:t>
            </w:r>
          </w:p>
        </w:tc>
      </w:tr>
      <w:tr w:rsidR="00EF64A3" w:rsidRPr="00C64BA4" w14:paraId="4C2BBB86" w14:textId="77777777" w:rsidTr="00366DDA">
        <w:trPr>
          <w:trHeight w:val="315"/>
        </w:trPr>
        <w:tc>
          <w:tcPr>
            <w:tcW w:w="1323"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655F7EB7"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SNHPC</w:t>
            </w:r>
          </w:p>
        </w:tc>
        <w:tc>
          <w:tcPr>
            <w:tcW w:w="1163"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1B8D2ABE"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251,350</w:t>
            </w:r>
          </w:p>
        </w:tc>
        <w:tc>
          <w:tcPr>
            <w:tcW w:w="1163"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11AD82F5"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266,280</w:t>
            </w:r>
          </w:p>
        </w:tc>
        <w:tc>
          <w:tcPr>
            <w:tcW w:w="1163"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4885B2DE"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285,230</w:t>
            </w:r>
          </w:p>
        </w:tc>
      </w:tr>
      <w:tr w:rsidR="00EF64A3" w:rsidRPr="00C64BA4" w14:paraId="1DFE05C9" w14:textId="77777777" w:rsidTr="00366DDA">
        <w:trPr>
          <w:trHeight w:val="300"/>
        </w:trPr>
        <w:tc>
          <w:tcPr>
            <w:tcW w:w="1323" w:type="dxa"/>
            <w:tcBorders>
              <w:top w:val="single" w:sz="12" w:space="0" w:color="404040" w:themeColor="text1" w:themeTint="BF"/>
              <w:left w:val="nil"/>
              <w:bottom w:val="nil"/>
              <w:right w:val="nil"/>
            </w:tcBorders>
            <w:shd w:val="clear" w:color="000000" w:fill="E7E6E6"/>
            <w:noWrap/>
            <w:vAlign w:val="center"/>
            <w:hideMark/>
          </w:tcPr>
          <w:p w14:paraId="44C5EB75"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NH</w:t>
            </w:r>
          </w:p>
        </w:tc>
        <w:tc>
          <w:tcPr>
            <w:tcW w:w="1163" w:type="dxa"/>
            <w:tcBorders>
              <w:top w:val="single" w:sz="12" w:space="0" w:color="404040" w:themeColor="text1" w:themeTint="BF"/>
              <w:left w:val="nil"/>
              <w:bottom w:val="nil"/>
              <w:right w:val="nil"/>
            </w:tcBorders>
            <w:shd w:val="clear" w:color="000000" w:fill="E7E6E6"/>
            <w:noWrap/>
            <w:vAlign w:val="center"/>
            <w:hideMark/>
          </w:tcPr>
          <w:p w14:paraId="77E6B0EE"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1,235,790</w:t>
            </w:r>
          </w:p>
        </w:tc>
        <w:tc>
          <w:tcPr>
            <w:tcW w:w="1163" w:type="dxa"/>
            <w:tcBorders>
              <w:top w:val="single" w:sz="12" w:space="0" w:color="404040" w:themeColor="text1" w:themeTint="BF"/>
              <w:left w:val="nil"/>
              <w:bottom w:val="nil"/>
              <w:right w:val="nil"/>
            </w:tcBorders>
            <w:shd w:val="clear" w:color="000000" w:fill="E7E6E6"/>
            <w:noWrap/>
            <w:vAlign w:val="center"/>
            <w:hideMark/>
          </w:tcPr>
          <w:p w14:paraId="681E9AF6"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1,316,470</w:t>
            </w:r>
          </w:p>
        </w:tc>
        <w:tc>
          <w:tcPr>
            <w:tcW w:w="1163" w:type="dxa"/>
            <w:tcBorders>
              <w:top w:val="single" w:sz="12" w:space="0" w:color="404040" w:themeColor="text1" w:themeTint="BF"/>
              <w:left w:val="nil"/>
              <w:bottom w:val="nil"/>
              <w:right w:val="nil"/>
            </w:tcBorders>
            <w:shd w:val="clear" w:color="000000" w:fill="E7E6E6"/>
            <w:noWrap/>
            <w:vAlign w:val="center"/>
            <w:hideMark/>
          </w:tcPr>
          <w:p w14:paraId="792BBCFC" w14:textId="77777777" w:rsidR="00EF64A3" w:rsidRPr="00C64BA4" w:rsidRDefault="00EF64A3" w:rsidP="00206C45">
            <w:pPr>
              <w:spacing w:after="0" w:line="300" w:lineRule="auto"/>
              <w:jc w:val="center"/>
              <w:rPr>
                <w:rFonts w:eastAsia="Times New Roman" w:cs="Calibri"/>
                <w:color w:val="000000"/>
              </w:rPr>
            </w:pPr>
            <w:r w:rsidRPr="00C64BA4">
              <w:rPr>
                <w:rFonts w:eastAsia="Times New Roman" w:cs="Calibri"/>
                <w:color w:val="000000"/>
              </w:rPr>
              <w:t>1,377,530</w:t>
            </w:r>
          </w:p>
        </w:tc>
      </w:tr>
      <w:tr w:rsidR="00EF64A3" w:rsidRPr="00C64BA4" w14:paraId="29A066E9" w14:textId="77777777" w:rsidTr="00366DDA">
        <w:trPr>
          <w:trHeight w:val="117"/>
        </w:trPr>
        <w:tc>
          <w:tcPr>
            <w:tcW w:w="4812" w:type="dxa"/>
            <w:gridSpan w:val="4"/>
            <w:tcBorders>
              <w:top w:val="nil"/>
              <w:left w:val="nil"/>
              <w:bottom w:val="nil"/>
              <w:right w:val="nil"/>
            </w:tcBorders>
            <w:shd w:val="clear" w:color="auto" w:fill="auto"/>
            <w:noWrap/>
            <w:vAlign w:val="bottom"/>
            <w:hideMark/>
          </w:tcPr>
          <w:p w14:paraId="3530BBC6" w14:textId="77777777" w:rsidR="00EF64A3" w:rsidRPr="00C64BA4" w:rsidRDefault="00EF64A3"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Decennial Census</w:t>
            </w:r>
          </w:p>
        </w:tc>
      </w:tr>
      <w:tr w:rsidR="00EF64A3" w:rsidRPr="00C64BA4" w14:paraId="421E26C7" w14:textId="77777777" w:rsidTr="00366DDA">
        <w:trPr>
          <w:trHeight w:val="80"/>
        </w:trPr>
        <w:tc>
          <w:tcPr>
            <w:tcW w:w="4812" w:type="dxa"/>
            <w:gridSpan w:val="4"/>
            <w:tcBorders>
              <w:top w:val="nil"/>
              <w:left w:val="nil"/>
              <w:bottom w:val="nil"/>
              <w:right w:val="nil"/>
            </w:tcBorders>
            <w:shd w:val="clear" w:color="auto" w:fill="auto"/>
            <w:vAlign w:val="bottom"/>
            <w:hideMark/>
          </w:tcPr>
          <w:p w14:paraId="0998B32B" w14:textId="77777777" w:rsidR="00EF64A3" w:rsidRPr="00C64BA4" w:rsidRDefault="00EF64A3"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IPUMS National Historical Geographic Information System; US Census Bureau.</w:t>
            </w:r>
          </w:p>
        </w:tc>
      </w:tr>
    </w:tbl>
    <w:p w14:paraId="3CAD2415" w14:textId="1A84747E" w:rsidR="18547439" w:rsidRPr="00C64BA4" w:rsidRDefault="18547439" w:rsidP="00206C45">
      <w:pPr>
        <w:pStyle w:val="Body"/>
        <w:spacing w:line="300" w:lineRule="auto"/>
        <w:rPr>
          <w:highlight w:val="yellow"/>
        </w:rPr>
      </w:pPr>
    </w:p>
    <w:p w14:paraId="42B0D4B2" w14:textId="47379411" w:rsidR="004C4151" w:rsidRPr="00C64BA4" w:rsidRDefault="004C4151" w:rsidP="00206C45">
      <w:pPr>
        <w:pStyle w:val="Heading4"/>
        <w:spacing w:line="300" w:lineRule="auto"/>
        <w:rPr>
          <w:lang w:val="en"/>
        </w:rPr>
      </w:pPr>
      <w:r w:rsidRPr="00C64BA4">
        <w:rPr>
          <w:lang w:val="en"/>
        </w:rPr>
        <w:t>Population by Race</w:t>
      </w:r>
      <w:r w:rsidR="00AC5A73" w:rsidRPr="00C64BA4">
        <w:rPr>
          <w:lang w:val="en"/>
        </w:rPr>
        <w:t>/Ethnicity</w:t>
      </w:r>
      <w:r w:rsidRPr="00C64BA4">
        <w:rPr>
          <w:lang w:val="en"/>
        </w:rPr>
        <w:t xml:space="preserve"> </w:t>
      </w:r>
    </w:p>
    <w:p w14:paraId="4EDF6E20" w14:textId="18BF3FC7" w:rsidR="00B14553" w:rsidRPr="00C64BA4" w:rsidRDefault="00A94018" w:rsidP="00206C45">
      <w:pPr>
        <w:pStyle w:val="Body"/>
        <w:spacing w:line="300" w:lineRule="auto"/>
        <w:rPr>
          <w:lang w:val="en"/>
        </w:rPr>
      </w:pPr>
      <w:r w:rsidRPr="00A94018">
        <w:rPr>
          <w:lang w:val="en"/>
        </w:rPr>
        <w:t>T</w:t>
      </w:r>
      <w:r w:rsidR="67FF1E63" w:rsidRPr="00A94018">
        <w:rPr>
          <w:lang w:val="en"/>
        </w:rPr>
        <w:t xml:space="preserve">he SNHPC Region continues to be predominantly </w:t>
      </w:r>
      <w:r w:rsidR="0FADCB07" w:rsidRPr="00C64BA4">
        <w:rPr>
          <w:lang w:val="en"/>
        </w:rPr>
        <w:t>White, not Hispanic or Latino</w:t>
      </w:r>
      <w:r>
        <w:rPr>
          <w:lang w:val="en"/>
        </w:rPr>
        <w:t xml:space="preserve"> </w:t>
      </w:r>
      <w:r w:rsidRPr="00C64BA4">
        <w:rPr>
          <w:lang w:val="en"/>
        </w:rPr>
        <w:t>at 83%</w:t>
      </w:r>
      <w:r w:rsidR="67FF1E63" w:rsidRPr="00C64BA4">
        <w:rPr>
          <w:lang w:val="en"/>
        </w:rPr>
        <w:t xml:space="preserve"> in 2020. This compares to 9</w:t>
      </w:r>
      <w:r w:rsidR="546409EE" w:rsidRPr="00C64BA4">
        <w:rPr>
          <w:lang w:val="en"/>
        </w:rPr>
        <w:t>3%</w:t>
      </w:r>
      <w:r w:rsidR="67FF1E63" w:rsidRPr="00C64BA4">
        <w:rPr>
          <w:lang w:val="en"/>
        </w:rPr>
        <w:t xml:space="preserve"> percent in 2000 and illustrates that the region is becoming more </w:t>
      </w:r>
      <w:r w:rsidR="22ECAF60" w:rsidRPr="00C64BA4">
        <w:rPr>
          <w:lang w:val="en"/>
        </w:rPr>
        <w:t>diverse</w:t>
      </w:r>
      <w:r w:rsidR="67FF1E63" w:rsidRPr="00C64BA4">
        <w:rPr>
          <w:lang w:val="en"/>
        </w:rPr>
        <w:t>. The Hispanic</w:t>
      </w:r>
      <w:r w:rsidR="5640027B" w:rsidRPr="00C64BA4">
        <w:rPr>
          <w:lang w:val="en"/>
        </w:rPr>
        <w:t xml:space="preserve"> or </w:t>
      </w:r>
      <w:r w:rsidR="5640027B" w:rsidRPr="00C64BA4">
        <w:rPr>
          <w:lang w:val="en"/>
        </w:rPr>
        <w:lastRenderedPageBreak/>
        <w:t>Latino</w:t>
      </w:r>
      <w:r w:rsidR="67FF1E63" w:rsidRPr="00C64BA4">
        <w:rPr>
          <w:lang w:val="en"/>
        </w:rPr>
        <w:t xml:space="preserve"> population</w:t>
      </w:r>
      <w:r w:rsidR="246D74EF" w:rsidRPr="00C64BA4">
        <w:rPr>
          <w:lang w:val="en"/>
        </w:rPr>
        <w:t xml:space="preserve">, </w:t>
      </w:r>
      <w:r w:rsidR="67FF1E63" w:rsidRPr="00C64BA4">
        <w:rPr>
          <w:lang w:val="en"/>
        </w:rPr>
        <w:t>of any race</w:t>
      </w:r>
      <w:r w:rsidR="799E9881" w:rsidRPr="00C64BA4">
        <w:rPr>
          <w:lang w:val="en"/>
        </w:rPr>
        <w:t xml:space="preserve">, </w:t>
      </w:r>
      <w:r w:rsidR="67FF1E63" w:rsidRPr="00C64BA4">
        <w:rPr>
          <w:lang w:val="en"/>
        </w:rPr>
        <w:t xml:space="preserve">grew more than any other population in the region, </w:t>
      </w:r>
      <w:r w:rsidR="00EF39E8">
        <w:rPr>
          <w:lang w:val="en"/>
        </w:rPr>
        <w:t>growing</w:t>
      </w:r>
      <w:r w:rsidR="00EF39E8" w:rsidRPr="00C64BA4">
        <w:rPr>
          <w:lang w:val="en"/>
        </w:rPr>
        <w:t xml:space="preserve"> </w:t>
      </w:r>
      <w:r w:rsidR="67FF1E63" w:rsidRPr="00C64BA4">
        <w:rPr>
          <w:lang w:val="en"/>
        </w:rPr>
        <w:t xml:space="preserve">from </w:t>
      </w:r>
      <w:r w:rsidR="3EDFE488" w:rsidRPr="00C64BA4">
        <w:rPr>
          <w:lang w:val="en"/>
        </w:rPr>
        <w:t>3%</w:t>
      </w:r>
      <w:r w:rsidR="67FF1E63" w:rsidRPr="00C64BA4">
        <w:rPr>
          <w:lang w:val="en"/>
        </w:rPr>
        <w:t xml:space="preserve"> of the population in 2000 to </w:t>
      </w:r>
      <w:r w:rsidR="401E3A64" w:rsidRPr="00C64BA4">
        <w:rPr>
          <w:lang w:val="en"/>
        </w:rPr>
        <w:t>7%</w:t>
      </w:r>
      <w:r w:rsidR="67FF1E63" w:rsidRPr="00C64BA4">
        <w:rPr>
          <w:lang w:val="en"/>
        </w:rPr>
        <w:t xml:space="preserve"> in 2020. The second largest for population growth in the region was </w:t>
      </w:r>
      <w:r w:rsidR="6C7A3F73" w:rsidRPr="00C64BA4">
        <w:rPr>
          <w:lang w:val="en"/>
        </w:rPr>
        <w:t>multiracial residents</w:t>
      </w:r>
      <w:r w:rsidR="67FF1E63" w:rsidRPr="00C64BA4">
        <w:rPr>
          <w:lang w:val="en"/>
        </w:rPr>
        <w:t xml:space="preserve">, going from </w:t>
      </w:r>
      <w:r w:rsidR="3D98F60A" w:rsidRPr="00C64BA4">
        <w:rPr>
          <w:lang w:val="en"/>
        </w:rPr>
        <w:t>1%</w:t>
      </w:r>
      <w:r w:rsidR="67FF1E63" w:rsidRPr="00C64BA4">
        <w:rPr>
          <w:lang w:val="en"/>
        </w:rPr>
        <w:t xml:space="preserve"> of the population in 2000 to </w:t>
      </w:r>
      <w:r w:rsidR="0BAA299A" w:rsidRPr="00C64BA4">
        <w:rPr>
          <w:lang w:val="en"/>
        </w:rPr>
        <w:t>4%</w:t>
      </w:r>
      <w:r w:rsidR="67FF1E63" w:rsidRPr="00C64BA4">
        <w:rPr>
          <w:lang w:val="en"/>
        </w:rPr>
        <w:t xml:space="preserve"> in 2020. </w:t>
      </w:r>
      <w:r w:rsidR="75EFD5D3" w:rsidRPr="00C64BA4">
        <w:rPr>
          <w:lang w:val="en"/>
        </w:rPr>
        <w:t xml:space="preserve"> Both the Asian and Black or African American populations grew by more than 1% to around 3% of the total population in 2020.</w:t>
      </w:r>
    </w:p>
    <w:p w14:paraId="5EA07346" w14:textId="40A0C245" w:rsidR="00EF64A3" w:rsidRPr="00366DDA" w:rsidRDefault="1FB80ADF" w:rsidP="00206C45">
      <w:pPr>
        <w:pStyle w:val="Body"/>
        <w:spacing w:line="300" w:lineRule="auto"/>
        <w:rPr>
          <w:lang w:val="en"/>
        </w:rPr>
      </w:pPr>
      <w:r w:rsidRPr="00C64BA4">
        <w:rPr>
          <w:lang w:val="en"/>
        </w:rPr>
        <w:t xml:space="preserve">The SNHPC Region’s population is slightly more diverse than the state as whole. The </w:t>
      </w:r>
      <w:r w:rsidR="124A95D9" w:rsidRPr="00C64BA4">
        <w:rPr>
          <w:lang w:val="en"/>
        </w:rPr>
        <w:t>racial or Hispanic or Latino ethnic minority</w:t>
      </w:r>
      <w:r w:rsidR="1C06A827" w:rsidRPr="00C64BA4">
        <w:rPr>
          <w:lang w:val="en"/>
        </w:rPr>
        <w:t xml:space="preserve"> </w:t>
      </w:r>
      <w:r w:rsidRPr="00C64BA4">
        <w:rPr>
          <w:lang w:val="en"/>
        </w:rPr>
        <w:t xml:space="preserve">population in the state of New Hampshire comprises </w:t>
      </w:r>
      <w:r w:rsidR="219C5B06" w:rsidRPr="00C64BA4">
        <w:rPr>
          <w:lang w:val="en"/>
        </w:rPr>
        <w:t>13%</w:t>
      </w:r>
      <w:r w:rsidRPr="00C64BA4">
        <w:rPr>
          <w:lang w:val="en"/>
        </w:rPr>
        <w:t xml:space="preserve"> of the population compared to </w:t>
      </w:r>
      <w:r w:rsidR="448B6C35" w:rsidRPr="00C64BA4">
        <w:rPr>
          <w:lang w:val="en"/>
        </w:rPr>
        <w:t>17%</w:t>
      </w:r>
      <w:r w:rsidRPr="00C64BA4">
        <w:rPr>
          <w:lang w:val="en"/>
        </w:rPr>
        <w:t xml:space="preserve"> for the region. Overall, the nation is much more diverse than both the state and the region</w:t>
      </w:r>
      <w:r w:rsidR="00EF39E8">
        <w:rPr>
          <w:lang w:val="en"/>
        </w:rPr>
        <w:t>.</w:t>
      </w:r>
      <w:r w:rsidR="3FD1586C" w:rsidRPr="00C64BA4">
        <w:rPr>
          <w:lang w:val="en"/>
        </w:rPr>
        <w:t xml:space="preserve"> Within the region, there are significant differences in </w:t>
      </w:r>
      <w:r w:rsidR="67F75949" w:rsidRPr="00C64BA4">
        <w:rPr>
          <w:lang w:val="en"/>
        </w:rPr>
        <w:t xml:space="preserve">minority </w:t>
      </w:r>
      <w:r w:rsidR="3FD1586C" w:rsidRPr="00C64BA4">
        <w:rPr>
          <w:lang w:val="en"/>
        </w:rPr>
        <w:t xml:space="preserve">composition between communities. The region’s urbanized center in Manchester </w:t>
      </w:r>
      <w:r w:rsidR="3FB0D575" w:rsidRPr="00C64BA4">
        <w:rPr>
          <w:lang w:val="en"/>
        </w:rPr>
        <w:t>contains a high concentration of minority population</w:t>
      </w:r>
      <w:r w:rsidR="4D8E3168" w:rsidRPr="00C64BA4">
        <w:rPr>
          <w:lang w:val="en"/>
        </w:rPr>
        <w:t xml:space="preserve"> while the </w:t>
      </w:r>
      <w:r w:rsidR="6D9A533A" w:rsidRPr="00C64BA4">
        <w:rPr>
          <w:lang w:val="en"/>
        </w:rPr>
        <w:t xml:space="preserve">rural </w:t>
      </w:r>
      <w:r w:rsidR="224475D0" w:rsidRPr="00C64BA4">
        <w:rPr>
          <w:lang w:val="en"/>
        </w:rPr>
        <w:t xml:space="preserve">areas of the region are </w:t>
      </w:r>
      <w:r w:rsidR="5525A4AB" w:rsidRPr="00C64BA4">
        <w:rPr>
          <w:lang w:val="en"/>
        </w:rPr>
        <w:t>largely White, not Hispanic or Latino</w:t>
      </w:r>
      <w:r w:rsidR="224475D0" w:rsidRPr="00C64BA4">
        <w:rPr>
          <w:lang w:val="en"/>
        </w:rPr>
        <w:t>.</w:t>
      </w:r>
      <w:r w:rsidRPr="00C64BA4">
        <w:rPr>
          <w:lang w:val="en"/>
        </w:rPr>
        <w:t xml:space="preserve"> Further analysis on racial distribution in the region is outlined in the </w:t>
      </w:r>
      <w:hyperlink w:anchor="_Communities_of_Interest">
        <w:r w:rsidRPr="00C64BA4">
          <w:rPr>
            <w:rStyle w:val="Hyperlink"/>
            <w:lang w:val="en"/>
          </w:rPr>
          <w:t>Communities of Interest</w:t>
        </w:r>
      </w:hyperlink>
      <w:r w:rsidR="224475D0" w:rsidRPr="00C64BA4">
        <w:rPr>
          <w:lang w:val="en"/>
        </w:rPr>
        <w:t xml:space="preserve"> and</w:t>
      </w:r>
      <w:r w:rsidRPr="00C64BA4">
        <w:rPr>
          <w:lang w:val="en"/>
        </w:rPr>
        <w:t xml:space="preserve"> </w:t>
      </w:r>
      <w:hyperlink w:anchor="_Racial_Diversity_and">
        <w:r w:rsidR="224475D0" w:rsidRPr="00C64BA4">
          <w:rPr>
            <w:rStyle w:val="Hyperlink"/>
            <w:lang w:val="en"/>
          </w:rPr>
          <w:t>Racial Diversity and Ethnic Integration</w:t>
        </w:r>
      </w:hyperlink>
      <w:r w:rsidR="224475D0" w:rsidRPr="00C64BA4">
        <w:rPr>
          <w:lang w:val="en"/>
        </w:rPr>
        <w:t xml:space="preserve"> sections of this report.</w:t>
      </w:r>
      <w:r w:rsidR="16009E5E" w:rsidRPr="00C64BA4">
        <w:rPr>
          <w:lang w:val="en"/>
        </w:rPr>
        <w:t xml:space="preserve"> </w:t>
      </w:r>
    </w:p>
    <w:p w14:paraId="3BD3A9F3" w14:textId="22042272" w:rsidR="00B40F3B" w:rsidRPr="00C64BA4" w:rsidRDefault="135E5A68" w:rsidP="00206C45">
      <w:pPr>
        <w:pStyle w:val="Heading4"/>
        <w:spacing w:line="300" w:lineRule="auto"/>
        <w:rPr>
          <w:lang w:val="en"/>
        </w:rPr>
      </w:pPr>
      <w:r w:rsidRPr="00C64BA4">
        <w:rPr>
          <w:lang w:val="en"/>
        </w:rPr>
        <w:t xml:space="preserve">Population by Age </w:t>
      </w:r>
    </w:p>
    <w:p w14:paraId="5D1AF399" w14:textId="04064D62" w:rsidR="1EA4D40A" w:rsidRPr="00C64BA4" w:rsidRDefault="1EA4D40A" w:rsidP="00206C45">
      <w:pPr>
        <w:pStyle w:val="Body"/>
        <w:spacing w:line="300" w:lineRule="auto"/>
        <w:rPr>
          <w:lang w:val="en"/>
        </w:rPr>
      </w:pPr>
      <w:r w:rsidRPr="00C64BA4">
        <w:rPr>
          <w:lang w:val="en"/>
        </w:rPr>
        <w:t>From 2010 to 2020, the SNHPC region’s population under 18 years old decreased by</w:t>
      </w:r>
      <w:r w:rsidR="1D97E8BA" w:rsidRPr="00C64BA4">
        <w:rPr>
          <w:lang w:val="en"/>
        </w:rPr>
        <w:t xml:space="preserve"> 7,730 people while the </w:t>
      </w:r>
      <w:r w:rsidR="75215030" w:rsidRPr="00C64BA4">
        <w:rPr>
          <w:lang w:val="en"/>
        </w:rPr>
        <w:t>population 65 years or older grew by 12,170 people. The population between</w:t>
      </w:r>
      <w:r w:rsidR="38F8ACB1" w:rsidRPr="00C64BA4">
        <w:rPr>
          <w:lang w:val="en"/>
        </w:rPr>
        <w:t xml:space="preserve"> 18 to 24 years old also grew by 2,680 people.</w:t>
      </w:r>
    </w:p>
    <w:p w14:paraId="00D35EB4" w14:textId="72123DF3" w:rsidR="00072223" w:rsidRPr="00C64BA4" w:rsidRDefault="00072223" w:rsidP="00206C45">
      <w:pPr>
        <w:pStyle w:val="Heading5"/>
        <w:spacing w:line="300" w:lineRule="auto"/>
      </w:pPr>
      <w:r w:rsidRPr="00C64BA4">
        <w:t>Focus on Older Adults</w:t>
      </w:r>
    </w:p>
    <w:p w14:paraId="44775A11" w14:textId="48D3D919" w:rsidR="00072223" w:rsidRPr="00C64BA4" w:rsidRDefault="00072223" w:rsidP="00206C45">
      <w:pPr>
        <w:spacing w:line="300" w:lineRule="auto"/>
        <w:rPr>
          <w:lang w:val="en"/>
        </w:rPr>
      </w:pPr>
      <w:r w:rsidRPr="00C64BA4">
        <w:rPr>
          <w:lang w:val="en"/>
        </w:rPr>
        <w:t xml:space="preserve">The number of seniors in New Hampshire is projected to more than double between 2010 and 2040. By 2040, three in ten New Hampshire residents will be 65 or older and one in ten will be 80 or older. The senior population statewide will be about the same as the total population of Hillsborough County, the state’s largest county. Between 2010 and 2040 the population of 80 or older is projected to more than triple in the state. By 2040, New Hampshire will have an additional 111,000 people who are 80 or older, roughly the </w:t>
      </w:r>
      <w:r w:rsidR="00090F31">
        <w:rPr>
          <w:lang w:val="en"/>
        </w:rPr>
        <w:t>population</w:t>
      </w:r>
      <w:r w:rsidR="00090F31" w:rsidRPr="00C64BA4">
        <w:rPr>
          <w:lang w:val="en"/>
        </w:rPr>
        <w:t xml:space="preserve"> </w:t>
      </w:r>
      <w:r w:rsidRPr="00C64BA4">
        <w:rPr>
          <w:lang w:val="en"/>
        </w:rPr>
        <w:t>of Manchester, its largest municipality. The 2010-2045 population growth of seniors is set to be 15 times the overall rate; 80 or older is 25 times the overall rate.</w:t>
      </w:r>
    </w:p>
    <w:p w14:paraId="3CA971DE" w14:textId="2D0D097A" w:rsidR="00072223" w:rsidRPr="00C64BA4" w:rsidRDefault="00072223" w:rsidP="00206C45">
      <w:pPr>
        <w:spacing w:line="300" w:lineRule="auto"/>
        <w:rPr>
          <w:lang w:val="en"/>
        </w:rPr>
      </w:pPr>
      <w:r w:rsidRPr="00C64BA4">
        <w:rPr>
          <w:lang w:val="en"/>
        </w:rPr>
        <w:t xml:space="preserve">NHOSI (now OPD) doesn’t </w:t>
      </w:r>
      <w:r w:rsidR="00090F31">
        <w:rPr>
          <w:lang w:val="en"/>
        </w:rPr>
        <w:t>make</w:t>
      </w:r>
      <w:r w:rsidRPr="00C64BA4">
        <w:rPr>
          <w:lang w:val="en"/>
        </w:rPr>
        <w:t xml:space="preserve"> projections by town and age, but if we apply the county level rates to our municipalities, the results for SNHPC are shown in</w:t>
      </w:r>
      <w:r w:rsidR="00C96C23">
        <w:rPr>
          <w:lang w:val="en"/>
        </w:rPr>
        <w:t xml:space="preserve"> </w:t>
      </w:r>
      <w:r w:rsidR="00C96C23">
        <w:rPr>
          <w:lang w:val="en"/>
        </w:rPr>
        <w:fldChar w:fldCharType="begin"/>
      </w:r>
      <w:r w:rsidR="00C96C23">
        <w:rPr>
          <w:lang w:val="en"/>
        </w:rPr>
        <w:instrText xml:space="preserve"> REF _Ref123196866 \h </w:instrText>
      </w:r>
      <w:r w:rsidR="00C96C23">
        <w:rPr>
          <w:lang w:val="en"/>
        </w:rPr>
      </w:r>
      <w:r w:rsidR="00C96C23">
        <w:rPr>
          <w:lang w:val="en"/>
        </w:rPr>
        <w:fldChar w:fldCharType="separate"/>
      </w:r>
      <w:r w:rsidR="00206C45">
        <w:t xml:space="preserve">Table </w:t>
      </w:r>
      <w:r w:rsidR="00206C45">
        <w:rPr>
          <w:noProof/>
        </w:rPr>
        <w:t>4</w:t>
      </w:r>
      <w:r w:rsidR="00C96C23">
        <w:rPr>
          <w:lang w:val="en"/>
        </w:rPr>
        <w:fldChar w:fldCharType="end"/>
      </w:r>
      <w:r w:rsidR="00C96C23">
        <w:rPr>
          <w:lang w:val="en"/>
        </w:rPr>
        <w:t xml:space="preserve">. </w:t>
      </w:r>
      <w:r w:rsidRPr="00C64BA4">
        <w:rPr>
          <w:lang w:val="en"/>
        </w:rPr>
        <w:t>Seniors double to 64,400; 80 or more triple to 25,000. In 2040 in the SNHPC region, 2 in 10 are projected to be seniors and 1 in 10 is projected to be 80 years or older.</w:t>
      </w:r>
    </w:p>
    <w:p w14:paraId="491BD856" w14:textId="76849DAD" w:rsidR="00366DDA" w:rsidRDefault="00C96C23" w:rsidP="00206C45">
      <w:pPr>
        <w:pStyle w:val="Caption"/>
        <w:spacing w:line="300" w:lineRule="auto"/>
      </w:pPr>
      <w:bookmarkStart w:id="66" w:name="_Ref123196866"/>
      <w:bookmarkStart w:id="67" w:name="_Toc128137895"/>
      <w:r>
        <w:t xml:space="preserve">Table </w:t>
      </w:r>
      <w:r w:rsidR="0062538A">
        <w:fldChar w:fldCharType="begin"/>
      </w:r>
      <w:r w:rsidR="0062538A">
        <w:instrText xml:space="preserve"> SEQ Table \* ARABIC </w:instrText>
      </w:r>
      <w:r w:rsidR="0062538A">
        <w:fldChar w:fldCharType="separate"/>
      </w:r>
      <w:r w:rsidR="008B512A">
        <w:rPr>
          <w:noProof/>
        </w:rPr>
        <w:t>4</w:t>
      </w:r>
      <w:r w:rsidR="0062538A">
        <w:rPr>
          <w:noProof/>
        </w:rPr>
        <w:fldChar w:fldCharType="end"/>
      </w:r>
      <w:bookmarkEnd w:id="66"/>
      <w:r>
        <w:t xml:space="preserve">: </w:t>
      </w:r>
      <w:r w:rsidRPr="00EC1023">
        <w:t>SNHPC Historical and Project Populations</w:t>
      </w:r>
      <w:bookmarkEnd w:id="67"/>
    </w:p>
    <w:tbl>
      <w:tblPr>
        <w:tblW w:w="7320" w:type="dxa"/>
        <w:tblLook w:val="04A0" w:firstRow="1" w:lastRow="0" w:firstColumn="1" w:lastColumn="0" w:noHBand="0" w:noVBand="1"/>
      </w:tblPr>
      <w:tblGrid>
        <w:gridCol w:w="960"/>
        <w:gridCol w:w="993"/>
        <w:gridCol w:w="1345"/>
        <w:gridCol w:w="993"/>
        <w:gridCol w:w="1303"/>
        <w:gridCol w:w="1032"/>
        <w:gridCol w:w="1009"/>
      </w:tblGrid>
      <w:tr w:rsidR="008B6ADA" w:rsidRPr="008B6ADA" w14:paraId="087E3776" w14:textId="77777777" w:rsidTr="008B6ADA">
        <w:trPr>
          <w:trHeight w:val="300"/>
        </w:trPr>
        <w:tc>
          <w:tcPr>
            <w:tcW w:w="960" w:type="dxa"/>
            <w:tcBorders>
              <w:top w:val="nil"/>
              <w:left w:val="nil"/>
              <w:bottom w:val="nil"/>
              <w:right w:val="nil"/>
            </w:tcBorders>
            <w:shd w:val="clear" w:color="auto" w:fill="auto"/>
            <w:vAlign w:val="bottom"/>
            <w:hideMark/>
          </w:tcPr>
          <w:p w14:paraId="2E77B5BF" w14:textId="77777777" w:rsidR="008B6ADA" w:rsidRPr="008B6ADA" w:rsidRDefault="008B6ADA" w:rsidP="00206C45">
            <w:pPr>
              <w:spacing w:after="0" w:line="300" w:lineRule="auto"/>
              <w:rPr>
                <w:rFonts w:ascii="Times New Roman" w:eastAsia="Times New Roman" w:hAnsi="Times New Roman" w:cs="Times New Roman"/>
                <w:sz w:val="24"/>
                <w:szCs w:val="24"/>
              </w:rPr>
            </w:pPr>
          </w:p>
        </w:tc>
        <w:tc>
          <w:tcPr>
            <w:tcW w:w="6360" w:type="dxa"/>
            <w:gridSpan w:val="6"/>
            <w:tcBorders>
              <w:top w:val="nil"/>
              <w:left w:val="nil"/>
              <w:bottom w:val="nil"/>
              <w:right w:val="nil"/>
            </w:tcBorders>
            <w:shd w:val="clear" w:color="auto" w:fill="auto"/>
            <w:vAlign w:val="center"/>
            <w:hideMark/>
          </w:tcPr>
          <w:p w14:paraId="418438A7" w14:textId="77777777" w:rsidR="008B6ADA" w:rsidRPr="008B6ADA" w:rsidRDefault="008B6ADA" w:rsidP="00206C45">
            <w:pPr>
              <w:spacing w:after="0" w:line="300" w:lineRule="auto"/>
              <w:jc w:val="center"/>
              <w:rPr>
                <w:rFonts w:ascii="Tw Cen MT" w:eastAsia="Times New Roman" w:hAnsi="Tw Cen MT" w:cs="Calibri"/>
                <w:b/>
                <w:bCs/>
                <w:color w:val="595959"/>
              </w:rPr>
            </w:pPr>
            <w:r w:rsidRPr="008B6ADA">
              <w:rPr>
                <w:rFonts w:ascii="Tw Cen MT" w:eastAsia="Times New Roman" w:hAnsi="Tw Cen MT" w:cs="Calibri"/>
                <w:b/>
                <w:bCs/>
                <w:color w:val="595959"/>
              </w:rPr>
              <w:t>SNHPC Historical and Project Populations</w:t>
            </w:r>
          </w:p>
        </w:tc>
      </w:tr>
      <w:tr w:rsidR="008B6ADA" w:rsidRPr="008B6ADA" w14:paraId="49C3FB0E" w14:textId="77777777" w:rsidTr="008B6ADA">
        <w:trPr>
          <w:trHeight w:val="300"/>
        </w:trPr>
        <w:tc>
          <w:tcPr>
            <w:tcW w:w="960" w:type="dxa"/>
            <w:tcBorders>
              <w:top w:val="nil"/>
              <w:left w:val="nil"/>
              <w:bottom w:val="nil"/>
              <w:right w:val="nil"/>
            </w:tcBorders>
            <w:shd w:val="clear" w:color="auto" w:fill="auto"/>
            <w:noWrap/>
            <w:vAlign w:val="bottom"/>
            <w:hideMark/>
          </w:tcPr>
          <w:p w14:paraId="6D2266B5" w14:textId="77777777" w:rsidR="008B6ADA" w:rsidRPr="008B6ADA" w:rsidRDefault="008B6ADA" w:rsidP="00206C45">
            <w:pPr>
              <w:spacing w:after="0" w:line="300" w:lineRule="auto"/>
              <w:jc w:val="center"/>
              <w:rPr>
                <w:rFonts w:ascii="Tw Cen MT" w:eastAsia="Times New Roman" w:hAnsi="Tw Cen MT" w:cs="Calibri"/>
                <w:b/>
                <w:bCs/>
                <w:color w:val="595959"/>
              </w:rPr>
            </w:pPr>
          </w:p>
        </w:tc>
        <w:tc>
          <w:tcPr>
            <w:tcW w:w="2192" w:type="dxa"/>
            <w:gridSpan w:val="2"/>
            <w:tcBorders>
              <w:top w:val="nil"/>
              <w:left w:val="nil"/>
              <w:bottom w:val="nil"/>
              <w:right w:val="nil"/>
            </w:tcBorders>
            <w:shd w:val="clear" w:color="auto" w:fill="auto"/>
            <w:noWrap/>
            <w:vAlign w:val="center"/>
            <w:hideMark/>
          </w:tcPr>
          <w:p w14:paraId="5BCB1A79" w14:textId="77777777" w:rsidR="008B6ADA" w:rsidRPr="008B6ADA" w:rsidRDefault="008B6ADA" w:rsidP="00206C45">
            <w:pPr>
              <w:spacing w:after="0" w:line="300" w:lineRule="auto"/>
              <w:jc w:val="center"/>
              <w:rPr>
                <w:rFonts w:ascii="Tw Cen MT" w:eastAsia="Times New Roman" w:hAnsi="Tw Cen MT" w:cs="Calibri"/>
                <w:b/>
                <w:bCs/>
                <w:color w:val="595959"/>
              </w:rPr>
            </w:pPr>
            <w:r w:rsidRPr="008B6ADA">
              <w:rPr>
                <w:rFonts w:ascii="Tw Cen MT" w:eastAsia="Times New Roman" w:hAnsi="Tw Cen MT" w:cs="Calibri"/>
                <w:b/>
                <w:bCs/>
                <w:color w:val="595959"/>
              </w:rPr>
              <w:t>2000</w:t>
            </w:r>
          </w:p>
        </w:tc>
        <w:tc>
          <w:tcPr>
            <w:tcW w:w="2150" w:type="dxa"/>
            <w:gridSpan w:val="2"/>
            <w:tcBorders>
              <w:top w:val="nil"/>
              <w:left w:val="nil"/>
              <w:bottom w:val="nil"/>
              <w:right w:val="nil"/>
            </w:tcBorders>
            <w:shd w:val="clear" w:color="auto" w:fill="auto"/>
            <w:noWrap/>
            <w:vAlign w:val="center"/>
            <w:hideMark/>
          </w:tcPr>
          <w:p w14:paraId="19C38361" w14:textId="77777777" w:rsidR="008B6ADA" w:rsidRPr="008B6ADA" w:rsidRDefault="008B6ADA" w:rsidP="00206C45">
            <w:pPr>
              <w:spacing w:after="0" w:line="300" w:lineRule="auto"/>
              <w:jc w:val="center"/>
              <w:rPr>
                <w:rFonts w:ascii="Tw Cen MT" w:eastAsia="Times New Roman" w:hAnsi="Tw Cen MT" w:cs="Calibri"/>
                <w:b/>
                <w:bCs/>
                <w:color w:val="595959"/>
              </w:rPr>
            </w:pPr>
            <w:r w:rsidRPr="008B6ADA">
              <w:rPr>
                <w:rFonts w:ascii="Tw Cen MT" w:eastAsia="Times New Roman" w:hAnsi="Tw Cen MT" w:cs="Calibri"/>
                <w:b/>
                <w:bCs/>
                <w:color w:val="595959"/>
              </w:rPr>
              <w:t>2050</w:t>
            </w:r>
          </w:p>
        </w:tc>
        <w:tc>
          <w:tcPr>
            <w:tcW w:w="1009" w:type="dxa"/>
            <w:vMerge w:val="restart"/>
            <w:tcBorders>
              <w:top w:val="nil"/>
              <w:left w:val="nil"/>
              <w:bottom w:val="single" w:sz="4" w:space="0" w:color="000000"/>
              <w:right w:val="nil"/>
            </w:tcBorders>
            <w:shd w:val="clear" w:color="auto" w:fill="auto"/>
            <w:vAlign w:val="center"/>
            <w:hideMark/>
          </w:tcPr>
          <w:p w14:paraId="7C93D788" w14:textId="77777777" w:rsidR="008B6ADA" w:rsidRPr="008B6ADA" w:rsidRDefault="008B6ADA" w:rsidP="00206C45">
            <w:pPr>
              <w:spacing w:after="0" w:line="300" w:lineRule="auto"/>
              <w:jc w:val="center"/>
              <w:rPr>
                <w:rFonts w:ascii="Tw Cen MT" w:eastAsia="Times New Roman" w:hAnsi="Tw Cen MT" w:cs="Calibri"/>
                <w:b/>
                <w:bCs/>
                <w:color w:val="595959"/>
              </w:rPr>
            </w:pPr>
            <w:r w:rsidRPr="008B6ADA">
              <w:rPr>
                <w:rFonts w:ascii="Tw Cen MT" w:eastAsia="Times New Roman" w:hAnsi="Tw Cen MT" w:cs="Calibri"/>
                <w:b/>
                <w:bCs/>
                <w:color w:val="595959"/>
              </w:rPr>
              <w:t>Absolute Change</w:t>
            </w:r>
          </w:p>
        </w:tc>
        <w:tc>
          <w:tcPr>
            <w:tcW w:w="1009" w:type="dxa"/>
            <w:vMerge w:val="restart"/>
            <w:tcBorders>
              <w:top w:val="nil"/>
              <w:left w:val="nil"/>
              <w:bottom w:val="single" w:sz="4" w:space="0" w:color="000000"/>
              <w:right w:val="nil"/>
            </w:tcBorders>
            <w:shd w:val="clear" w:color="auto" w:fill="auto"/>
            <w:vAlign w:val="center"/>
            <w:hideMark/>
          </w:tcPr>
          <w:p w14:paraId="4EC07E8E" w14:textId="77777777" w:rsidR="008B6ADA" w:rsidRPr="008B6ADA" w:rsidRDefault="008B6ADA" w:rsidP="00206C45">
            <w:pPr>
              <w:spacing w:after="0" w:line="300" w:lineRule="auto"/>
              <w:jc w:val="center"/>
              <w:rPr>
                <w:rFonts w:ascii="Tw Cen MT" w:eastAsia="Times New Roman" w:hAnsi="Tw Cen MT" w:cs="Calibri"/>
                <w:b/>
                <w:bCs/>
                <w:color w:val="595959"/>
              </w:rPr>
            </w:pPr>
            <w:r w:rsidRPr="008B6ADA">
              <w:rPr>
                <w:rFonts w:ascii="Tw Cen MT" w:eastAsia="Times New Roman" w:hAnsi="Tw Cen MT" w:cs="Calibri"/>
                <w:b/>
                <w:bCs/>
                <w:color w:val="595959"/>
              </w:rPr>
              <w:t>Relative Change</w:t>
            </w:r>
          </w:p>
        </w:tc>
      </w:tr>
      <w:tr w:rsidR="008B6ADA" w:rsidRPr="008B6ADA" w14:paraId="7CE1B9E9" w14:textId="77777777" w:rsidTr="008B6ADA">
        <w:trPr>
          <w:trHeight w:val="570"/>
        </w:trPr>
        <w:tc>
          <w:tcPr>
            <w:tcW w:w="960" w:type="dxa"/>
            <w:tcBorders>
              <w:top w:val="nil"/>
              <w:left w:val="nil"/>
              <w:bottom w:val="single" w:sz="4" w:space="0" w:color="auto"/>
              <w:right w:val="nil"/>
            </w:tcBorders>
            <w:shd w:val="clear" w:color="auto" w:fill="auto"/>
            <w:noWrap/>
            <w:vAlign w:val="center"/>
            <w:hideMark/>
          </w:tcPr>
          <w:p w14:paraId="7E833062" w14:textId="77777777" w:rsidR="008B6ADA" w:rsidRPr="008B6ADA" w:rsidRDefault="008B6ADA" w:rsidP="00206C45">
            <w:pPr>
              <w:spacing w:after="0" w:line="300" w:lineRule="auto"/>
              <w:rPr>
                <w:rFonts w:ascii="Tw Cen MT" w:eastAsia="Times New Roman" w:hAnsi="Tw Cen MT" w:cs="Calibri"/>
                <w:color w:val="000000"/>
              </w:rPr>
            </w:pPr>
            <w:r w:rsidRPr="008B6ADA">
              <w:rPr>
                <w:rFonts w:ascii="Tw Cen MT" w:eastAsia="Times New Roman" w:hAnsi="Tw Cen MT" w:cs="Calibri"/>
                <w:color w:val="000000"/>
              </w:rPr>
              <w:t> </w:t>
            </w:r>
          </w:p>
        </w:tc>
        <w:tc>
          <w:tcPr>
            <w:tcW w:w="847" w:type="dxa"/>
            <w:tcBorders>
              <w:top w:val="nil"/>
              <w:left w:val="nil"/>
              <w:bottom w:val="single" w:sz="4" w:space="0" w:color="auto"/>
              <w:right w:val="nil"/>
            </w:tcBorders>
            <w:shd w:val="clear" w:color="auto" w:fill="auto"/>
            <w:noWrap/>
            <w:vAlign w:val="center"/>
            <w:hideMark/>
          </w:tcPr>
          <w:p w14:paraId="09E419D0" w14:textId="77777777" w:rsidR="008B6ADA" w:rsidRPr="008B6ADA" w:rsidRDefault="008B6ADA" w:rsidP="00206C45">
            <w:pPr>
              <w:spacing w:after="0" w:line="300" w:lineRule="auto"/>
              <w:rPr>
                <w:rFonts w:ascii="Tw Cen MT" w:eastAsia="Times New Roman" w:hAnsi="Tw Cen MT" w:cs="Calibri"/>
                <w:b/>
                <w:bCs/>
                <w:color w:val="595959"/>
              </w:rPr>
            </w:pPr>
            <w:r w:rsidRPr="008B6ADA">
              <w:rPr>
                <w:rFonts w:ascii="Tw Cen MT" w:eastAsia="Times New Roman" w:hAnsi="Tw Cen MT" w:cs="Calibri"/>
                <w:b/>
                <w:bCs/>
                <w:color w:val="595959"/>
              </w:rPr>
              <w:t> </w:t>
            </w:r>
          </w:p>
        </w:tc>
        <w:tc>
          <w:tcPr>
            <w:tcW w:w="1345" w:type="dxa"/>
            <w:tcBorders>
              <w:top w:val="nil"/>
              <w:left w:val="nil"/>
              <w:bottom w:val="single" w:sz="4" w:space="0" w:color="auto"/>
              <w:right w:val="nil"/>
            </w:tcBorders>
            <w:shd w:val="clear" w:color="auto" w:fill="auto"/>
            <w:vAlign w:val="center"/>
            <w:hideMark/>
          </w:tcPr>
          <w:p w14:paraId="0EBEFDEF" w14:textId="77777777" w:rsidR="008B6ADA" w:rsidRPr="008B6ADA" w:rsidRDefault="008B6ADA" w:rsidP="00206C45">
            <w:pPr>
              <w:spacing w:after="0" w:line="300" w:lineRule="auto"/>
              <w:jc w:val="center"/>
              <w:rPr>
                <w:rFonts w:ascii="Tw Cen MT" w:eastAsia="Times New Roman" w:hAnsi="Tw Cen MT" w:cs="Calibri"/>
                <w:b/>
                <w:bCs/>
                <w:color w:val="595959"/>
              </w:rPr>
            </w:pPr>
            <w:r w:rsidRPr="008B6ADA">
              <w:rPr>
                <w:rFonts w:ascii="Tw Cen MT" w:eastAsia="Times New Roman" w:hAnsi="Tw Cen MT" w:cs="Calibri"/>
                <w:b/>
                <w:bCs/>
                <w:color w:val="595959"/>
              </w:rPr>
              <w:t xml:space="preserve">% </w:t>
            </w:r>
            <w:proofErr w:type="gramStart"/>
            <w:r w:rsidRPr="008B6ADA">
              <w:rPr>
                <w:rFonts w:ascii="Tw Cen MT" w:eastAsia="Times New Roman" w:hAnsi="Tw Cen MT" w:cs="Calibri"/>
                <w:b/>
                <w:bCs/>
                <w:color w:val="595959"/>
              </w:rPr>
              <w:t>of</w:t>
            </w:r>
            <w:proofErr w:type="gramEnd"/>
            <w:r w:rsidRPr="008B6ADA">
              <w:rPr>
                <w:rFonts w:ascii="Tw Cen MT" w:eastAsia="Times New Roman" w:hAnsi="Tw Cen MT" w:cs="Calibri"/>
                <w:b/>
                <w:bCs/>
                <w:color w:val="595959"/>
              </w:rPr>
              <w:t xml:space="preserve"> Total Population</w:t>
            </w:r>
          </w:p>
        </w:tc>
        <w:tc>
          <w:tcPr>
            <w:tcW w:w="847" w:type="dxa"/>
            <w:tcBorders>
              <w:top w:val="nil"/>
              <w:left w:val="nil"/>
              <w:bottom w:val="single" w:sz="4" w:space="0" w:color="auto"/>
              <w:right w:val="nil"/>
            </w:tcBorders>
            <w:shd w:val="clear" w:color="auto" w:fill="auto"/>
            <w:noWrap/>
            <w:vAlign w:val="center"/>
            <w:hideMark/>
          </w:tcPr>
          <w:p w14:paraId="5020643C" w14:textId="77777777" w:rsidR="008B6ADA" w:rsidRPr="008B6ADA" w:rsidRDefault="008B6ADA" w:rsidP="00206C45">
            <w:pPr>
              <w:spacing w:after="0" w:line="300" w:lineRule="auto"/>
              <w:rPr>
                <w:rFonts w:ascii="Tw Cen MT" w:eastAsia="Times New Roman" w:hAnsi="Tw Cen MT" w:cs="Calibri"/>
                <w:b/>
                <w:bCs/>
                <w:color w:val="595959"/>
              </w:rPr>
            </w:pPr>
            <w:r w:rsidRPr="008B6ADA">
              <w:rPr>
                <w:rFonts w:ascii="Tw Cen MT" w:eastAsia="Times New Roman" w:hAnsi="Tw Cen MT" w:cs="Calibri"/>
                <w:b/>
                <w:bCs/>
                <w:color w:val="595959"/>
              </w:rPr>
              <w:t> </w:t>
            </w:r>
          </w:p>
        </w:tc>
        <w:tc>
          <w:tcPr>
            <w:tcW w:w="1303" w:type="dxa"/>
            <w:tcBorders>
              <w:top w:val="nil"/>
              <w:left w:val="nil"/>
              <w:bottom w:val="single" w:sz="4" w:space="0" w:color="auto"/>
              <w:right w:val="nil"/>
            </w:tcBorders>
            <w:shd w:val="clear" w:color="auto" w:fill="auto"/>
            <w:vAlign w:val="center"/>
            <w:hideMark/>
          </w:tcPr>
          <w:p w14:paraId="05B2244C" w14:textId="77777777" w:rsidR="008B6ADA" w:rsidRPr="008B6ADA" w:rsidRDefault="008B6ADA" w:rsidP="00206C45">
            <w:pPr>
              <w:spacing w:after="0" w:line="300" w:lineRule="auto"/>
              <w:jc w:val="center"/>
              <w:rPr>
                <w:rFonts w:ascii="Tw Cen MT" w:eastAsia="Times New Roman" w:hAnsi="Tw Cen MT" w:cs="Calibri"/>
                <w:b/>
                <w:bCs/>
                <w:color w:val="595959"/>
              </w:rPr>
            </w:pPr>
            <w:r w:rsidRPr="008B6ADA">
              <w:rPr>
                <w:rFonts w:ascii="Tw Cen MT" w:eastAsia="Times New Roman" w:hAnsi="Tw Cen MT" w:cs="Calibri"/>
                <w:b/>
                <w:bCs/>
                <w:color w:val="595959"/>
              </w:rPr>
              <w:t xml:space="preserve">% </w:t>
            </w:r>
            <w:proofErr w:type="gramStart"/>
            <w:r w:rsidRPr="008B6ADA">
              <w:rPr>
                <w:rFonts w:ascii="Tw Cen MT" w:eastAsia="Times New Roman" w:hAnsi="Tw Cen MT" w:cs="Calibri"/>
                <w:b/>
                <w:bCs/>
                <w:color w:val="595959"/>
              </w:rPr>
              <w:t>of</w:t>
            </w:r>
            <w:proofErr w:type="gramEnd"/>
            <w:r w:rsidRPr="008B6ADA">
              <w:rPr>
                <w:rFonts w:ascii="Tw Cen MT" w:eastAsia="Times New Roman" w:hAnsi="Tw Cen MT" w:cs="Calibri"/>
                <w:b/>
                <w:bCs/>
                <w:color w:val="595959"/>
              </w:rPr>
              <w:t xml:space="preserve"> Total Population</w:t>
            </w:r>
          </w:p>
        </w:tc>
        <w:tc>
          <w:tcPr>
            <w:tcW w:w="1009" w:type="dxa"/>
            <w:vMerge/>
            <w:tcBorders>
              <w:top w:val="nil"/>
              <w:left w:val="nil"/>
              <w:bottom w:val="single" w:sz="4" w:space="0" w:color="000000"/>
              <w:right w:val="nil"/>
            </w:tcBorders>
            <w:vAlign w:val="center"/>
            <w:hideMark/>
          </w:tcPr>
          <w:p w14:paraId="1E272A90" w14:textId="77777777" w:rsidR="008B6ADA" w:rsidRPr="008B6ADA" w:rsidRDefault="008B6ADA" w:rsidP="00206C45">
            <w:pPr>
              <w:spacing w:after="0" w:line="300" w:lineRule="auto"/>
              <w:rPr>
                <w:rFonts w:ascii="Tw Cen MT" w:eastAsia="Times New Roman" w:hAnsi="Tw Cen MT" w:cs="Calibri"/>
                <w:b/>
                <w:bCs/>
                <w:color w:val="595959"/>
              </w:rPr>
            </w:pPr>
          </w:p>
        </w:tc>
        <w:tc>
          <w:tcPr>
            <w:tcW w:w="1009" w:type="dxa"/>
            <w:vMerge/>
            <w:tcBorders>
              <w:top w:val="nil"/>
              <w:left w:val="nil"/>
              <w:bottom w:val="single" w:sz="4" w:space="0" w:color="000000"/>
              <w:right w:val="nil"/>
            </w:tcBorders>
            <w:vAlign w:val="center"/>
            <w:hideMark/>
          </w:tcPr>
          <w:p w14:paraId="5F989D91" w14:textId="77777777" w:rsidR="008B6ADA" w:rsidRPr="008B6ADA" w:rsidRDefault="008B6ADA" w:rsidP="00206C45">
            <w:pPr>
              <w:spacing w:after="0" w:line="300" w:lineRule="auto"/>
              <w:rPr>
                <w:rFonts w:ascii="Tw Cen MT" w:eastAsia="Times New Roman" w:hAnsi="Tw Cen MT" w:cs="Calibri"/>
                <w:b/>
                <w:bCs/>
                <w:color w:val="595959"/>
              </w:rPr>
            </w:pPr>
          </w:p>
        </w:tc>
      </w:tr>
      <w:tr w:rsidR="008B6ADA" w:rsidRPr="008B6ADA" w14:paraId="5703D6EB" w14:textId="77777777" w:rsidTr="008B6ADA">
        <w:trPr>
          <w:trHeight w:val="300"/>
        </w:trPr>
        <w:tc>
          <w:tcPr>
            <w:tcW w:w="960" w:type="dxa"/>
            <w:tcBorders>
              <w:top w:val="nil"/>
              <w:left w:val="nil"/>
              <w:bottom w:val="single" w:sz="4" w:space="0" w:color="auto"/>
              <w:right w:val="nil"/>
            </w:tcBorders>
            <w:shd w:val="clear" w:color="auto" w:fill="auto"/>
            <w:vAlign w:val="center"/>
            <w:hideMark/>
          </w:tcPr>
          <w:p w14:paraId="7AA6119B"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All Ages</w:t>
            </w:r>
          </w:p>
        </w:tc>
        <w:tc>
          <w:tcPr>
            <w:tcW w:w="847" w:type="dxa"/>
            <w:tcBorders>
              <w:top w:val="nil"/>
              <w:left w:val="nil"/>
              <w:bottom w:val="single" w:sz="4" w:space="0" w:color="auto"/>
              <w:right w:val="nil"/>
            </w:tcBorders>
            <w:shd w:val="clear" w:color="auto" w:fill="auto"/>
            <w:noWrap/>
            <w:vAlign w:val="center"/>
            <w:hideMark/>
          </w:tcPr>
          <w:p w14:paraId="4FFE7226"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251,400</w:t>
            </w:r>
          </w:p>
        </w:tc>
        <w:tc>
          <w:tcPr>
            <w:tcW w:w="1345" w:type="dxa"/>
            <w:tcBorders>
              <w:top w:val="nil"/>
              <w:left w:val="nil"/>
              <w:bottom w:val="single" w:sz="4" w:space="0" w:color="auto"/>
              <w:right w:val="nil"/>
            </w:tcBorders>
            <w:shd w:val="clear" w:color="auto" w:fill="auto"/>
            <w:noWrap/>
            <w:vAlign w:val="center"/>
            <w:hideMark/>
          </w:tcPr>
          <w:p w14:paraId="6F6E0BF8"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100%</w:t>
            </w:r>
          </w:p>
        </w:tc>
        <w:tc>
          <w:tcPr>
            <w:tcW w:w="847" w:type="dxa"/>
            <w:tcBorders>
              <w:top w:val="nil"/>
              <w:left w:val="nil"/>
              <w:bottom w:val="single" w:sz="4" w:space="0" w:color="auto"/>
              <w:right w:val="nil"/>
            </w:tcBorders>
            <w:shd w:val="clear" w:color="auto" w:fill="auto"/>
            <w:noWrap/>
            <w:vAlign w:val="center"/>
            <w:hideMark/>
          </w:tcPr>
          <w:p w14:paraId="6BCE2612"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324,300</w:t>
            </w:r>
          </w:p>
        </w:tc>
        <w:tc>
          <w:tcPr>
            <w:tcW w:w="1303" w:type="dxa"/>
            <w:tcBorders>
              <w:top w:val="nil"/>
              <w:left w:val="nil"/>
              <w:bottom w:val="single" w:sz="4" w:space="0" w:color="auto"/>
              <w:right w:val="nil"/>
            </w:tcBorders>
            <w:shd w:val="clear" w:color="auto" w:fill="auto"/>
            <w:noWrap/>
            <w:vAlign w:val="center"/>
            <w:hideMark/>
          </w:tcPr>
          <w:p w14:paraId="5E977FD7"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100%</w:t>
            </w:r>
          </w:p>
        </w:tc>
        <w:tc>
          <w:tcPr>
            <w:tcW w:w="1009" w:type="dxa"/>
            <w:tcBorders>
              <w:top w:val="nil"/>
              <w:left w:val="nil"/>
              <w:bottom w:val="single" w:sz="4" w:space="0" w:color="auto"/>
              <w:right w:val="nil"/>
            </w:tcBorders>
            <w:shd w:val="clear" w:color="auto" w:fill="auto"/>
            <w:noWrap/>
            <w:vAlign w:val="center"/>
            <w:hideMark/>
          </w:tcPr>
          <w:p w14:paraId="75104C52"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72,900</w:t>
            </w:r>
          </w:p>
        </w:tc>
        <w:tc>
          <w:tcPr>
            <w:tcW w:w="1009" w:type="dxa"/>
            <w:tcBorders>
              <w:top w:val="nil"/>
              <w:left w:val="nil"/>
              <w:bottom w:val="single" w:sz="4" w:space="0" w:color="auto"/>
              <w:right w:val="nil"/>
            </w:tcBorders>
            <w:shd w:val="clear" w:color="auto" w:fill="auto"/>
            <w:noWrap/>
            <w:vAlign w:val="center"/>
            <w:hideMark/>
          </w:tcPr>
          <w:p w14:paraId="0D4CD13D"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29%</w:t>
            </w:r>
          </w:p>
        </w:tc>
      </w:tr>
      <w:tr w:rsidR="008B6ADA" w:rsidRPr="008B6ADA" w14:paraId="2788FD9C" w14:textId="77777777" w:rsidTr="008B6ADA">
        <w:trPr>
          <w:trHeight w:val="570"/>
        </w:trPr>
        <w:tc>
          <w:tcPr>
            <w:tcW w:w="960" w:type="dxa"/>
            <w:tcBorders>
              <w:top w:val="nil"/>
              <w:left w:val="nil"/>
              <w:bottom w:val="single" w:sz="4" w:space="0" w:color="auto"/>
              <w:right w:val="nil"/>
            </w:tcBorders>
            <w:shd w:val="clear" w:color="000000" w:fill="F2F2F2"/>
            <w:vAlign w:val="center"/>
            <w:hideMark/>
          </w:tcPr>
          <w:p w14:paraId="4958D355"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65 or Older</w:t>
            </w:r>
          </w:p>
        </w:tc>
        <w:tc>
          <w:tcPr>
            <w:tcW w:w="847" w:type="dxa"/>
            <w:tcBorders>
              <w:top w:val="nil"/>
              <w:left w:val="nil"/>
              <w:bottom w:val="single" w:sz="4" w:space="0" w:color="auto"/>
              <w:right w:val="nil"/>
            </w:tcBorders>
            <w:shd w:val="clear" w:color="000000" w:fill="F2F2F2"/>
            <w:noWrap/>
            <w:vAlign w:val="center"/>
            <w:hideMark/>
          </w:tcPr>
          <w:p w14:paraId="6FB0352C"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26,500</w:t>
            </w:r>
          </w:p>
        </w:tc>
        <w:tc>
          <w:tcPr>
            <w:tcW w:w="1345" w:type="dxa"/>
            <w:tcBorders>
              <w:top w:val="nil"/>
              <w:left w:val="nil"/>
              <w:bottom w:val="single" w:sz="4" w:space="0" w:color="auto"/>
              <w:right w:val="nil"/>
            </w:tcBorders>
            <w:shd w:val="clear" w:color="000000" w:fill="F2F2F2"/>
            <w:noWrap/>
            <w:vAlign w:val="center"/>
            <w:hideMark/>
          </w:tcPr>
          <w:p w14:paraId="55F4DC42"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11%</w:t>
            </w:r>
          </w:p>
        </w:tc>
        <w:tc>
          <w:tcPr>
            <w:tcW w:w="847" w:type="dxa"/>
            <w:tcBorders>
              <w:top w:val="nil"/>
              <w:left w:val="nil"/>
              <w:bottom w:val="single" w:sz="4" w:space="0" w:color="auto"/>
              <w:right w:val="nil"/>
            </w:tcBorders>
            <w:shd w:val="clear" w:color="000000" w:fill="F2F2F2"/>
            <w:noWrap/>
            <w:vAlign w:val="center"/>
            <w:hideMark/>
          </w:tcPr>
          <w:p w14:paraId="2DB2B2CF"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81,400</w:t>
            </w:r>
          </w:p>
        </w:tc>
        <w:tc>
          <w:tcPr>
            <w:tcW w:w="1303" w:type="dxa"/>
            <w:tcBorders>
              <w:top w:val="nil"/>
              <w:left w:val="nil"/>
              <w:bottom w:val="single" w:sz="4" w:space="0" w:color="auto"/>
              <w:right w:val="nil"/>
            </w:tcBorders>
            <w:shd w:val="clear" w:color="000000" w:fill="F2F2F2"/>
            <w:noWrap/>
            <w:vAlign w:val="center"/>
            <w:hideMark/>
          </w:tcPr>
          <w:p w14:paraId="3B827914"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25%</w:t>
            </w:r>
          </w:p>
        </w:tc>
        <w:tc>
          <w:tcPr>
            <w:tcW w:w="1009" w:type="dxa"/>
            <w:tcBorders>
              <w:top w:val="nil"/>
              <w:left w:val="nil"/>
              <w:bottom w:val="single" w:sz="4" w:space="0" w:color="auto"/>
              <w:right w:val="nil"/>
            </w:tcBorders>
            <w:shd w:val="clear" w:color="000000" w:fill="F2F2F2"/>
            <w:noWrap/>
            <w:vAlign w:val="center"/>
            <w:hideMark/>
          </w:tcPr>
          <w:p w14:paraId="176BD1DB"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54,900</w:t>
            </w:r>
          </w:p>
        </w:tc>
        <w:tc>
          <w:tcPr>
            <w:tcW w:w="1009" w:type="dxa"/>
            <w:tcBorders>
              <w:top w:val="nil"/>
              <w:left w:val="nil"/>
              <w:bottom w:val="single" w:sz="4" w:space="0" w:color="auto"/>
              <w:right w:val="nil"/>
            </w:tcBorders>
            <w:shd w:val="clear" w:color="000000" w:fill="F2F2F2"/>
            <w:noWrap/>
            <w:vAlign w:val="center"/>
            <w:hideMark/>
          </w:tcPr>
          <w:p w14:paraId="1E5E6D04"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207%</w:t>
            </w:r>
          </w:p>
        </w:tc>
      </w:tr>
      <w:tr w:rsidR="008B6ADA" w:rsidRPr="008B6ADA" w14:paraId="218DD738" w14:textId="77777777" w:rsidTr="008B6ADA">
        <w:trPr>
          <w:trHeight w:val="570"/>
        </w:trPr>
        <w:tc>
          <w:tcPr>
            <w:tcW w:w="960" w:type="dxa"/>
            <w:tcBorders>
              <w:top w:val="nil"/>
              <w:left w:val="nil"/>
              <w:bottom w:val="nil"/>
              <w:right w:val="nil"/>
            </w:tcBorders>
            <w:shd w:val="clear" w:color="auto" w:fill="auto"/>
            <w:vAlign w:val="center"/>
            <w:hideMark/>
          </w:tcPr>
          <w:p w14:paraId="4D760444"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80 or Older</w:t>
            </w:r>
          </w:p>
        </w:tc>
        <w:tc>
          <w:tcPr>
            <w:tcW w:w="847" w:type="dxa"/>
            <w:tcBorders>
              <w:top w:val="nil"/>
              <w:left w:val="nil"/>
              <w:bottom w:val="nil"/>
              <w:right w:val="nil"/>
            </w:tcBorders>
            <w:shd w:val="clear" w:color="auto" w:fill="auto"/>
            <w:noWrap/>
            <w:vAlign w:val="center"/>
            <w:hideMark/>
          </w:tcPr>
          <w:p w14:paraId="438E8031"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7,000</w:t>
            </w:r>
          </w:p>
        </w:tc>
        <w:tc>
          <w:tcPr>
            <w:tcW w:w="1345" w:type="dxa"/>
            <w:tcBorders>
              <w:top w:val="nil"/>
              <w:left w:val="nil"/>
              <w:bottom w:val="nil"/>
              <w:right w:val="nil"/>
            </w:tcBorders>
            <w:shd w:val="clear" w:color="auto" w:fill="auto"/>
            <w:noWrap/>
            <w:vAlign w:val="center"/>
            <w:hideMark/>
          </w:tcPr>
          <w:p w14:paraId="4CD8A953"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3%</w:t>
            </w:r>
          </w:p>
        </w:tc>
        <w:tc>
          <w:tcPr>
            <w:tcW w:w="847" w:type="dxa"/>
            <w:tcBorders>
              <w:top w:val="nil"/>
              <w:left w:val="nil"/>
              <w:bottom w:val="nil"/>
              <w:right w:val="nil"/>
            </w:tcBorders>
            <w:shd w:val="clear" w:color="auto" w:fill="auto"/>
            <w:noWrap/>
            <w:vAlign w:val="center"/>
            <w:hideMark/>
          </w:tcPr>
          <w:p w14:paraId="2EE4A09B"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35,600</w:t>
            </w:r>
          </w:p>
        </w:tc>
        <w:tc>
          <w:tcPr>
            <w:tcW w:w="1303" w:type="dxa"/>
            <w:tcBorders>
              <w:top w:val="nil"/>
              <w:left w:val="nil"/>
              <w:bottom w:val="nil"/>
              <w:right w:val="nil"/>
            </w:tcBorders>
            <w:shd w:val="clear" w:color="auto" w:fill="auto"/>
            <w:noWrap/>
            <w:vAlign w:val="center"/>
            <w:hideMark/>
          </w:tcPr>
          <w:p w14:paraId="13F230C7"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11%</w:t>
            </w:r>
          </w:p>
        </w:tc>
        <w:tc>
          <w:tcPr>
            <w:tcW w:w="1009" w:type="dxa"/>
            <w:tcBorders>
              <w:top w:val="nil"/>
              <w:left w:val="nil"/>
              <w:bottom w:val="nil"/>
              <w:right w:val="nil"/>
            </w:tcBorders>
            <w:shd w:val="clear" w:color="auto" w:fill="auto"/>
            <w:noWrap/>
            <w:vAlign w:val="center"/>
            <w:hideMark/>
          </w:tcPr>
          <w:p w14:paraId="4D460D4C"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28,600</w:t>
            </w:r>
          </w:p>
        </w:tc>
        <w:tc>
          <w:tcPr>
            <w:tcW w:w="1009" w:type="dxa"/>
            <w:tcBorders>
              <w:top w:val="nil"/>
              <w:left w:val="nil"/>
              <w:bottom w:val="nil"/>
              <w:right w:val="nil"/>
            </w:tcBorders>
            <w:shd w:val="clear" w:color="auto" w:fill="auto"/>
            <w:noWrap/>
            <w:vAlign w:val="center"/>
            <w:hideMark/>
          </w:tcPr>
          <w:p w14:paraId="1378EFA2" w14:textId="77777777" w:rsidR="008B6ADA" w:rsidRPr="008B6ADA" w:rsidRDefault="008B6ADA" w:rsidP="00206C45">
            <w:pPr>
              <w:spacing w:after="0" w:line="300" w:lineRule="auto"/>
              <w:jc w:val="center"/>
              <w:rPr>
                <w:rFonts w:ascii="Tw Cen MT" w:eastAsia="Times New Roman" w:hAnsi="Tw Cen MT" w:cs="Calibri"/>
                <w:color w:val="000000"/>
              </w:rPr>
            </w:pPr>
            <w:r w:rsidRPr="008B6ADA">
              <w:rPr>
                <w:rFonts w:ascii="Tw Cen MT" w:eastAsia="Times New Roman" w:hAnsi="Tw Cen MT" w:cs="Calibri"/>
                <w:color w:val="000000"/>
              </w:rPr>
              <w:t>409%</w:t>
            </w:r>
          </w:p>
        </w:tc>
      </w:tr>
      <w:tr w:rsidR="008B6ADA" w:rsidRPr="008B6ADA" w14:paraId="10BC6166" w14:textId="77777777" w:rsidTr="008B6ADA">
        <w:trPr>
          <w:trHeight w:val="510"/>
        </w:trPr>
        <w:tc>
          <w:tcPr>
            <w:tcW w:w="7320" w:type="dxa"/>
            <w:gridSpan w:val="7"/>
            <w:tcBorders>
              <w:top w:val="nil"/>
              <w:left w:val="nil"/>
              <w:bottom w:val="nil"/>
              <w:right w:val="nil"/>
            </w:tcBorders>
            <w:shd w:val="clear" w:color="auto" w:fill="auto"/>
            <w:vAlign w:val="center"/>
            <w:hideMark/>
          </w:tcPr>
          <w:p w14:paraId="5986501D" w14:textId="77777777" w:rsidR="008B6ADA" w:rsidRPr="008B6ADA" w:rsidRDefault="008B6ADA" w:rsidP="00206C45">
            <w:pPr>
              <w:spacing w:after="0" w:line="300" w:lineRule="auto"/>
              <w:jc w:val="right"/>
              <w:rPr>
                <w:rFonts w:ascii="Tw Cen MT" w:eastAsia="Times New Roman" w:hAnsi="Tw Cen MT" w:cs="Calibri"/>
                <w:color w:val="000000"/>
                <w:sz w:val="20"/>
                <w:szCs w:val="20"/>
              </w:rPr>
            </w:pPr>
            <w:r w:rsidRPr="008B6ADA">
              <w:rPr>
                <w:rFonts w:ascii="Tw Cen MT" w:eastAsia="Times New Roman" w:hAnsi="Tw Cen MT" w:cs="Calibri"/>
                <w:color w:val="000000"/>
                <w:sz w:val="20"/>
                <w:szCs w:val="20"/>
              </w:rPr>
              <w:t>Municipal rates reflect county rates which are combined to determine approximate regional rates.</w:t>
            </w:r>
          </w:p>
        </w:tc>
      </w:tr>
      <w:tr w:rsidR="008B6ADA" w:rsidRPr="008B6ADA" w14:paraId="3224C8FC" w14:textId="77777777" w:rsidTr="008B6ADA">
        <w:trPr>
          <w:trHeight w:val="510"/>
        </w:trPr>
        <w:tc>
          <w:tcPr>
            <w:tcW w:w="7320" w:type="dxa"/>
            <w:gridSpan w:val="7"/>
            <w:tcBorders>
              <w:top w:val="nil"/>
              <w:left w:val="nil"/>
              <w:bottom w:val="nil"/>
              <w:right w:val="nil"/>
            </w:tcBorders>
            <w:shd w:val="clear" w:color="auto" w:fill="auto"/>
            <w:vAlign w:val="center"/>
            <w:hideMark/>
          </w:tcPr>
          <w:p w14:paraId="25F13902" w14:textId="77777777" w:rsidR="008B6ADA" w:rsidRPr="008B6ADA" w:rsidRDefault="008B6ADA" w:rsidP="00206C45">
            <w:pPr>
              <w:spacing w:after="0" w:line="300" w:lineRule="auto"/>
              <w:jc w:val="right"/>
              <w:rPr>
                <w:rFonts w:ascii="Tw Cen MT" w:eastAsia="Times New Roman" w:hAnsi="Tw Cen MT" w:cs="Calibri"/>
                <w:color w:val="000000"/>
                <w:sz w:val="20"/>
                <w:szCs w:val="20"/>
              </w:rPr>
            </w:pPr>
            <w:r w:rsidRPr="008B6ADA">
              <w:rPr>
                <w:rFonts w:ascii="Tw Cen MT" w:eastAsia="Times New Roman" w:hAnsi="Tw Cen MT" w:cs="Calibri"/>
                <w:color w:val="000000"/>
                <w:sz w:val="20"/>
                <w:szCs w:val="20"/>
              </w:rPr>
              <w:t>Sources: IPUMS National Historical Geographic Information System; NH Office of Planning &amp; Development.</w:t>
            </w:r>
          </w:p>
        </w:tc>
      </w:tr>
    </w:tbl>
    <w:p w14:paraId="5FC83D76" w14:textId="77777777" w:rsidR="00C96C23" w:rsidRDefault="00C96C23" w:rsidP="00206C45">
      <w:pPr>
        <w:keepNext/>
        <w:spacing w:line="300" w:lineRule="auto"/>
      </w:pPr>
      <w:r>
        <w:rPr>
          <w:noProof/>
          <w:lang w:val="en"/>
        </w:rPr>
        <w:lastRenderedPageBreak/>
        <w:drawing>
          <wp:inline distT="0" distB="0" distL="0" distR="0" wp14:anchorId="0254ABE3" wp14:editId="2B5108D0">
            <wp:extent cx="5943600" cy="3761740"/>
            <wp:effectExtent l="0" t="0" r="0" b="0"/>
            <wp:docPr id="5"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3761740"/>
                    </a:xfrm>
                    <a:prstGeom prst="rect">
                      <a:avLst/>
                    </a:prstGeom>
                  </pic:spPr>
                </pic:pic>
              </a:graphicData>
            </a:graphic>
          </wp:inline>
        </w:drawing>
      </w:r>
    </w:p>
    <w:p w14:paraId="4FD0AEDD" w14:textId="26D8756B" w:rsidR="00804DE1" w:rsidRDefault="00C96C23" w:rsidP="00206C45">
      <w:pPr>
        <w:pStyle w:val="Caption"/>
        <w:spacing w:line="300" w:lineRule="auto"/>
      </w:pPr>
      <w:bookmarkStart w:id="68" w:name="_Toc128137864"/>
      <w:r>
        <w:t xml:space="preserve">Figure </w:t>
      </w:r>
      <w:r w:rsidR="0062538A">
        <w:fldChar w:fldCharType="begin"/>
      </w:r>
      <w:r w:rsidR="0062538A">
        <w:instrText xml:space="preserve"> SEQ Figure \* ARABIC </w:instrText>
      </w:r>
      <w:r w:rsidR="0062538A">
        <w:fldChar w:fldCharType="separate"/>
      </w:r>
      <w:r w:rsidR="00E75682">
        <w:rPr>
          <w:noProof/>
        </w:rPr>
        <w:t>5</w:t>
      </w:r>
      <w:r w:rsidR="0062538A">
        <w:rPr>
          <w:noProof/>
        </w:rPr>
        <w:fldChar w:fldCharType="end"/>
      </w:r>
      <w:r>
        <w:t>:</w:t>
      </w:r>
      <w:r w:rsidR="00C10398">
        <w:t xml:space="preserve"> </w:t>
      </w:r>
      <w:r w:rsidRPr="00CB0663">
        <w:t>Older adult growth in SNHPC Region. Source: US Census Bureau</w:t>
      </w:r>
      <w:bookmarkEnd w:id="68"/>
    </w:p>
    <w:p w14:paraId="1EC4A3EE" w14:textId="7B6E6401" w:rsidR="00B40F3B" w:rsidRPr="00C64BA4" w:rsidRDefault="135E5A68" w:rsidP="00206C45">
      <w:pPr>
        <w:pStyle w:val="Heading3"/>
        <w:spacing w:line="300" w:lineRule="auto"/>
        <w:rPr>
          <w:lang w:val="en"/>
        </w:rPr>
      </w:pPr>
      <w:bookmarkStart w:id="69" w:name="_Toc128137955"/>
      <w:r w:rsidRPr="00C64BA4">
        <w:rPr>
          <w:lang w:val="en"/>
        </w:rPr>
        <w:t>Households: Size, Type, Tenure</w:t>
      </w:r>
      <w:bookmarkEnd w:id="69"/>
      <w:r w:rsidRPr="00C64BA4">
        <w:rPr>
          <w:lang w:val="en"/>
        </w:rPr>
        <w:t xml:space="preserve"> </w:t>
      </w:r>
    </w:p>
    <w:p w14:paraId="3978B466" w14:textId="045AADB5" w:rsidR="1EAC3530" w:rsidRPr="00C64BA4" w:rsidRDefault="1EAC3530" w:rsidP="00206C45">
      <w:pPr>
        <w:spacing w:line="300" w:lineRule="auto"/>
        <w:rPr>
          <w:lang w:val="en"/>
        </w:rPr>
      </w:pPr>
      <w:r w:rsidRPr="00C64BA4">
        <w:rPr>
          <w:lang w:val="en"/>
        </w:rPr>
        <w:t xml:space="preserve">The number of minors per household has decreased </w:t>
      </w:r>
      <w:r w:rsidR="21E69CEF" w:rsidRPr="00C64BA4">
        <w:rPr>
          <w:lang w:val="en"/>
        </w:rPr>
        <w:t>significantly</w:t>
      </w:r>
      <w:r w:rsidR="01390F88" w:rsidRPr="00C64BA4">
        <w:rPr>
          <w:lang w:val="en"/>
        </w:rPr>
        <w:t xml:space="preserve"> from 1980 to 2020</w:t>
      </w:r>
      <w:r w:rsidRPr="00C64BA4">
        <w:rPr>
          <w:lang w:val="en"/>
        </w:rPr>
        <w:t xml:space="preserve"> in the SNHPC region</w:t>
      </w:r>
      <w:r w:rsidR="0703D0B5" w:rsidRPr="00C64BA4">
        <w:rPr>
          <w:lang w:val="en"/>
        </w:rPr>
        <w:t xml:space="preserve"> as well as</w:t>
      </w:r>
      <w:r w:rsidRPr="00C64BA4">
        <w:rPr>
          <w:lang w:val="en"/>
        </w:rPr>
        <w:t xml:space="preserve"> the state</w:t>
      </w:r>
      <w:r w:rsidR="5C14774A" w:rsidRPr="00C64BA4">
        <w:rPr>
          <w:lang w:val="en"/>
        </w:rPr>
        <w:t>.</w:t>
      </w:r>
      <w:r w:rsidR="01A2DBC4" w:rsidRPr="00C64BA4">
        <w:rPr>
          <w:lang w:val="en"/>
        </w:rPr>
        <w:t xml:space="preserve"> The most dramatic change was in Candia (-57%) and the sma</w:t>
      </w:r>
      <w:r w:rsidR="1095F1C7" w:rsidRPr="00C64BA4">
        <w:rPr>
          <w:lang w:val="en"/>
        </w:rPr>
        <w:t>llest change was in New Boston (-32%).</w:t>
      </w:r>
    </w:p>
    <w:p w14:paraId="131783AE" w14:textId="74A65C84" w:rsidR="003E6E7A" w:rsidRDefault="00C96C23" w:rsidP="00206C45">
      <w:pPr>
        <w:pStyle w:val="Caption"/>
        <w:keepNext/>
        <w:spacing w:line="300" w:lineRule="auto"/>
      </w:pPr>
      <w:bookmarkStart w:id="70" w:name="_Toc128137896"/>
      <w:r>
        <w:t>Table</w:t>
      </w:r>
      <w:r w:rsidR="003E6E7A">
        <w:t xml:space="preserve"> </w:t>
      </w:r>
      <w:r w:rsidR="0062538A">
        <w:fldChar w:fldCharType="begin"/>
      </w:r>
      <w:r w:rsidR="0062538A">
        <w:instrText xml:space="preserve"> SEQ Table \* ARABIC </w:instrText>
      </w:r>
      <w:r w:rsidR="0062538A">
        <w:fldChar w:fldCharType="separate"/>
      </w:r>
      <w:r w:rsidR="008B512A">
        <w:rPr>
          <w:noProof/>
        </w:rPr>
        <w:t>5</w:t>
      </w:r>
      <w:r w:rsidR="0062538A">
        <w:rPr>
          <w:noProof/>
        </w:rPr>
        <w:fldChar w:fldCharType="end"/>
      </w:r>
      <w:r w:rsidR="003E6E7A">
        <w:t>: Minors per Household</w:t>
      </w:r>
      <w:bookmarkEnd w:id="70"/>
    </w:p>
    <w:tbl>
      <w:tblPr>
        <w:tblW w:w="0" w:type="auto"/>
        <w:tblLayout w:type="fixed"/>
        <w:tblLook w:val="04A0" w:firstRow="1" w:lastRow="0" w:firstColumn="1" w:lastColumn="0" w:noHBand="0" w:noVBand="1"/>
      </w:tblPr>
      <w:tblGrid>
        <w:gridCol w:w="1785"/>
        <w:gridCol w:w="780"/>
        <w:gridCol w:w="780"/>
        <w:gridCol w:w="1020"/>
        <w:gridCol w:w="1020"/>
      </w:tblGrid>
      <w:tr w:rsidR="3ECF986A" w:rsidRPr="00C64BA4" w14:paraId="4A596BC1" w14:textId="77777777" w:rsidTr="00BD1366">
        <w:trPr>
          <w:trHeight w:val="80"/>
          <w:tblHeader/>
        </w:trPr>
        <w:tc>
          <w:tcPr>
            <w:tcW w:w="1785" w:type="dxa"/>
            <w:tcBorders>
              <w:top w:val="nil"/>
              <w:left w:val="nil"/>
              <w:bottom w:val="nil"/>
              <w:right w:val="nil"/>
            </w:tcBorders>
            <w:vAlign w:val="bottom"/>
          </w:tcPr>
          <w:p w14:paraId="4E40830B" w14:textId="4C732F47" w:rsidR="3ECF986A" w:rsidRPr="00C64BA4" w:rsidRDefault="3ECF986A" w:rsidP="00206C45">
            <w:pPr>
              <w:spacing w:after="0" w:line="300" w:lineRule="auto"/>
              <w:rPr>
                <w:rFonts w:eastAsia="Times New Roman" w:cs="Times New Roman"/>
                <w:color w:val="595959" w:themeColor="text1" w:themeTint="A6"/>
                <w:sz w:val="20"/>
                <w:szCs w:val="20"/>
              </w:rPr>
            </w:pPr>
          </w:p>
        </w:tc>
        <w:tc>
          <w:tcPr>
            <w:tcW w:w="3600" w:type="dxa"/>
            <w:gridSpan w:val="4"/>
            <w:tcBorders>
              <w:top w:val="nil"/>
              <w:left w:val="nil"/>
              <w:bottom w:val="nil"/>
              <w:right w:val="nil"/>
            </w:tcBorders>
            <w:vAlign w:val="bottom"/>
          </w:tcPr>
          <w:p w14:paraId="3F939A7D" w14:textId="1529E95B" w:rsidR="3ECF986A" w:rsidRPr="00C64BA4" w:rsidRDefault="3ECF986A"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Minors per Household</w:t>
            </w:r>
          </w:p>
        </w:tc>
      </w:tr>
      <w:tr w:rsidR="3ECF986A" w:rsidRPr="00C64BA4" w14:paraId="5D78ACB5" w14:textId="77777777" w:rsidTr="00BD1366">
        <w:trPr>
          <w:trHeight w:val="270"/>
          <w:tblHeader/>
        </w:trPr>
        <w:tc>
          <w:tcPr>
            <w:tcW w:w="1785" w:type="dxa"/>
            <w:tcBorders>
              <w:top w:val="nil"/>
              <w:left w:val="nil"/>
              <w:bottom w:val="single" w:sz="6" w:space="0" w:color="auto"/>
              <w:right w:val="nil"/>
            </w:tcBorders>
            <w:vAlign w:val="bottom"/>
          </w:tcPr>
          <w:p w14:paraId="78100FF4" w14:textId="406E6CDF" w:rsidR="3ECF986A" w:rsidRPr="00C64BA4" w:rsidRDefault="3ECF986A" w:rsidP="00206C45">
            <w:pPr>
              <w:spacing w:after="0" w:line="300" w:lineRule="auto"/>
              <w:rPr>
                <w:rFonts w:eastAsia="Tw Cen MT" w:cs="Tw Cen MT"/>
                <w:color w:val="595959" w:themeColor="text1" w:themeTint="A6"/>
              </w:rPr>
            </w:pPr>
            <w:r w:rsidRPr="00C64BA4">
              <w:rPr>
                <w:rFonts w:eastAsia="Tw Cen MT" w:cs="Tw Cen MT"/>
                <w:color w:val="595959" w:themeColor="text1" w:themeTint="A6"/>
              </w:rPr>
              <w:t> </w:t>
            </w:r>
          </w:p>
        </w:tc>
        <w:tc>
          <w:tcPr>
            <w:tcW w:w="780" w:type="dxa"/>
            <w:tcBorders>
              <w:top w:val="nil"/>
              <w:left w:val="nil"/>
              <w:bottom w:val="single" w:sz="6" w:space="0" w:color="auto"/>
              <w:right w:val="nil"/>
            </w:tcBorders>
            <w:vAlign w:val="bottom"/>
          </w:tcPr>
          <w:p w14:paraId="17EE3A33" w14:textId="267819EA" w:rsidR="3ECF986A" w:rsidRPr="00C64BA4" w:rsidRDefault="3ECF986A"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1980</w:t>
            </w:r>
          </w:p>
        </w:tc>
        <w:tc>
          <w:tcPr>
            <w:tcW w:w="780" w:type="dxa"/>
            <w:tcBorders>
              <w:top w:val="nil"/>
              <w:left w:val="nil"/>
              <w:bottom w:val="single" w:sz="6" w:space="0" w:color="auto"/>
              <w:right w:val="nil"/>
            </w:tcBorders>
            <w:vAlign w:val="bottom"/>
          </w:tcPr>
          <w:p w14:paraId="5DAE649F" w14:textId="0FD22BC4" w:rsidR="3ECF986A" w:rsidRPr="00C64BA4" w:rsidRDefault="3ECF986A"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2020</w:t>
            </w:r>
          </w:p>
        </w:tc>
        <w:tc>
          <w:tcPr>
            <w:tcW w:w="2040" w:type="dxa"/>
            <w:gridSpan w:val="2"/>
            <w:tcBorders>
              <w:top w:val="nil"/>
              <w:left w:val="single" w:sz="6" w:space="0" w:color="auto"/>
              <w:bottom w:val="nil"/>
              <w:right w:val="nil"/>
            </w:tcBorders>
            <w:vAlign w:val="bottom"/>
          </w:tcPr>
          <w:p w14:paraId="29885C9B" w14:textId="5AAD4742" w:rsidR="3ECF986A" w:rsidRPr="00C64BA4" w:rsidRDefault="3ECF986A"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Change 1980-2020</w:t>
            </w:r>
          </w:p>
        </w:tc>
      </w:tr>
      <w:tr w:rsidR="3ECF986A" w:rsidRPr="00C64BA4" w14:paraId="08AB8340" w14:textId="77777777" w:rsidTr="3ECF986A">
        <w:trPr>
          <w:trHeight w:val="270"/>
        </w:trPr>
        <w:tc>
          <w:tcPr>
            <w:tcW w:w="1785" w:type="dxa"/>
            <w:tcBorders>
              <w:top w:val="single" w:sz="6" w:space="0" w:color="auto"/>
              <w:left w:val="nil"/>
              <w:bottom w:val="single" w:sz="6" w:space="0" w:color="auto"/>
              <w:right w:val="nil"/>
            </w:tcBorders>
            <w:vAlign w:val="center"/>
          </w:tcPr>
          <w:p w14:paraId="238B03B4" w14:textId="2FD62893"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Auburn</w:t>
            </w:r>
          </w:p>
        </w:tc>
        <w:tc>
          <w:tcPr>
            <w:tcW w:w="780" w:type="dxa"/>
            <w:tcBorders>
              <w:top w:val="single" w:sz="6" w:space="0" w:color="auto"/>
              <w:left w:val="nil"/>
              <w:bottom w:val="single" w:sz="6" w:space="0" w:color="auto"/>
              <w:right w:val="nil"/>
            </w:tcBorders>
            <w:vAlign w:val="center"/>
          </w:tcPr>
          <w:p w14:paraId="59B4B9D2" w14:textId="1F390147"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1.02</w:t>
            </w:r>
          </w:p>
        </w:tc>
        <w:tc>
          <w:tcPr>
            <w:tcW w:w="780" w:type="dxa"/>
            <w:tcBorders>
              <w:top w:val="single" w:sz="6" w:space="0" w:color="auto"/>
              <w:left w:val="nil"/>
              <w:bottom w:val="single" w:sz="6" w:space="0" w:color="auto"/>
              <w:right w:val="nil"/>
            </w:tcBorders>
            <w:vAlign w:val="bottom"/>
          </w:tcPr>
          <w:p w14:paraId="5D5FB158" w14:textId="2F9BFDD2"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0.65</w:t>
            </w:r>
          </w:p>
        </w:tc>
        <w:tc>
          <w:tcPr>
            <w:tcW w:w="1020" w:type="dxa"/>
            <w:tcBorders>
              <w:top w:val="single" w:sz="6" w:space="0" w:color="auto"/>
              <w:left w:val="single" w:sz="6" w:space="0" w:color="auto"/>
              <w:bottom w:val="single" w:sz="6" w:space="0" w:color="auto"/>
              <w:right w:val="nil"/>
            </w:tcBorders>
            <w:vAlign w:val="bottom"/>
          </w:tcPr>
          <w:p w14:paraId="08164FC5" w14:textId="3228D71B"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-0.37</w:t>
            </w:r>
          </w:p>
        </w:tc>
        <w:tc>
          <w:tcPr>
            <w:tcW w:w="1020" w:type="dxa"/>
            <w:tcBorders>
              <w:top w:val="single" w:sz="6" w:space="0" w:color="auto"/>
              <w:left w:val="nil"/>
              <w:bottom w:val="single" w:sz="6" w:space="0" w:color="auto"/>
              <w:right w:val="nil"/>
            </w:tcBorders>
            <w:vAlign w:val="bottom"/>
          </w:tcPr>
          <w:p w14:paraId="32449863" w14:textId="547FB5D7"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-36%</w:t>
            </w:r>
          </w:p>
        </w:tc>
      </w:tr>
      <w:tr w:rsidR="3ECF986A" w:rsidRPr="00C64BA4" w14:paraId="37D75FC4" w14:textId="77777777" w:rsidTr="3ECF986A">
        <w:trPr>
          <w:trHeight w:val="270"/>
        </w:trPr>
        <w:tc>
          <w:tcPr>
            <w:tcW w:w="1785" w:type="dxa"/>
            <w:tcBorders>
              <w:top w:val="single" w:sz="6" w:space="0" w:color="auto"/>
              <w:left w:val="nil"/>
              <w:bottom w:val="single" w:sz="6" w:space="0" w:color="auto"/>
              <w:right w:val="nil"/>
            </w:tcBorders>
            <w:shd w:val="clear" w:color="auto" w:fill="E7E6E6"/>
            <w:vAlign w:val="center"/>
          </w:tcPr>
          <w:p w14:paraId="49A897B5" w14:textId="73AA483F"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Bedford</w:t>
            </w:r>
          </w:p>
        </w:tc>
        <w:tc>
          <w:tcPr>
            <w:tcW w:w="780" w:type="dxa"/>
            <w:tcBorders>
              <w:top w:val="single" w:sz="6" w:space="0" w:color="auto"/>
              <w:left w:val="nil"/>
              <w:bottom w:val="nil"/>
              <w:right w:val="nil"/>
            </w:tcBorders>
            <w:shd w:val="clear" w:color="auto" w:fill="E7E6E6"/>
            <w:vAlign w:val="center"/>
          </w:tcPr>
          <w:p w14:paraId="2718ECA9" w14:textId="4BEDEF4E"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1.12</w:t>
            </w:r>
          </w:p>
        </w:tc>
        <w:tc>
          <w:tcPr>
            <w:tcW w:w="780" w:type="dxa"/>
            <w:tcBorders>
              <w:top w:val="single" w:sz="6" w:space="0" w:color="auto"/>
              <w:left w:val="nil"/>
              <w:bottom w:val="nil"/>
              <w:right w:val="nil"/>
            </w:tcBorders>
            <w:shd w:val="clear" w:color="auto" w:fill="E7E6E6"/>
            <w:vAlign w:val="bottom"/>
          </w:tcPr>
          <w:p w14:paraId="439A4FC4" w14:textId="091CFAF2"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0.71</w:t>
            </w:r>
          </w:p>
        </w:tc>
        <w:tc>
          <w:tcPr>
            <w:tcW w:w="1020" w:type="dxa"/>
            <w:tcBorders>
              <w:top w:val="single" w:sz="6" w:space="0" w:color="auto"/>
              <w:left w:val="single" w:sz="6" w:space="0" w:color="auto"/>
              <w:bottom w:val="nil"/>
              <w:right w:val="nil"/>
            </w:tcBorders>
            <w:shd w:val="clear" w:color="auto" w:fill="E7E6E6"/>
            <w:vAlign w:val="bottom"/>
          </w:tcPr>
          <w:p w14:paraId="19DD45BC" w14:textId="3CF4E446"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-0.41</w:t>
            </w:r>
          </w:p>
        </w:tc>
        <w:tc>
          <w:tcPr>
            <w:tcW w:w="1020" w:type="dxa"/>
            <w:tcBorders>
              <w:top w:val="single" w:sz="6" w:space="0" w:color="auto"/>
              <w:left w:val="nil"/>
              <w:bottom w:val="nil"/>
              <w:right w:val="nil"/>
            </w:tcBorders>
            <w:shd w:val="clear" w:color="auto" w:fill="E7E6E6"/>
            <w:vAlign w:val="bottom"/>
          </w:tcPr>
          <w:p w14:paraId="4E14F7F7" w14:textId="043B39A4"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-36%</w:t>
            </w:r>
          </w:p>
        </w:tc>
      </w:tr>
      <w:tr w:rsidR="3ECF986A" w:rsidRPr="00C64BA4" w14:paraId="42DFCFFB" w14:textId="77777777" w:rsidTr="3ECF986A">
        <w:trPr>
          <w:trHeight w:val="270"/>
        </w:trPr>
        <w:tc>
          <w:tcPr>
            <w:tcW w:w="1785" w:type="dxa"/>
            <w:tcBorders>
              <w:top w:val="single" w:sz="6" w:space="0" w:color="auto"/>
              <w:left w:val="nil"/>
              <w:bottom w:val="single" w:sz="6" w:space="0" w:color="auto"/>
              <w:right w:val="nil"/>
            </w:tcBorders>
            <w:vAlign w:val="center"/>
          </w:tcPr>
          <w:p w14:paraId="273FE86D" w14:textId="5C1D0D5D"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Candia</w:t>
            </w:r>
          </w:p>
        </w:tc>
        <w:tc>
          <w:tcPr>
            <w:tcW w:w="780" w:type="dxa"/>
            <w:tcBorders>
              <w:top w:val="single" w:sz="6" w:space="0" w:color="auto"/>
              <w:left w:val="nil"/>
              <w:bottom w:val="single" w:sz="6" w:space="0" w:color="auto"/>
              <w:right w:val="nil"/>
            </w:tcBorders>
            <w:vAlign w:val="center"/>
          </w:tcPr>
          <w:p w14:paraId="1048F99A" w14:textId="645222D1"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1.05</w:t>
            </w:r>
          </w:p>
        </w:tc>
        <w:tc>
          <w:tcPr>
            <w:tcW w:w="780" w:type="dxa"/>
            <w:tcBorders>
              <w:top w:val="single" w:sz="6" w:space="0" w:color="auto"/>
              <w:left w:val="nil"/>
              <w:bottom w:val="single" w:sz="6" w:space="0" w:color="auto"/>
              <w:right w:val="nil"/>
            </w:tcBorders>
            <w:vAlign w:val="bottom"/>
          </w:tcPr>
          <w:p w14:paraId="4F79DF97" w14:textId="77B270A4"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0.46</w:t>
            </w:r>
          </w:p>
        </w:tc>
        <w:tc>
          <w:tcPr>
            <w:tcW w:w="1020" w:type="dxa"/>
            <w:tcBorders>
              <w:top w:val="single" w:sz="6" w:space="0" w:color="auto"/>
              <w:left w:val="single" w:sz="6" w:space="0" w:color="auto"/>
              <w:bottom w:val="single" w:sz="6" w:space="0" w:color="auto"/>
              <w:right w:val="nil"/>
            </w:tcBorders>
            <w:vAlign w:val="bottom"/>
          </w:tcPr>
          <w:p w14:paraId="4B6A1963" w14:textId="4F5E2DE1"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-0.60</w:t>
            </w:r>
          </w:p>
        </w:tc>
        <w:tc>
          <w:tcPr>
            <w:tcW w:w="1020" w:type="dxa"/>
            <w:tcBorders>
              <w:top w:val="single" w:sz="6" w:space="0" w:color="auto"/>
              <w:left w:val="nil"/>
              <w:bottom w:val="single" w:sz="6" w:space="0" w:color="auto"/>
              <w:right w:val="nil"/>
            </w:tcBorders>
            <w:vAlign w:val="bottom"/>
          </w:tcPr>
          <w:p w14:paraId="4DE2A058" w14:textId="42DC36E3"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-57%</w:t>
            </w:r>
          </w:p>
        </w:tc>
      </w:tr>
      <w:tr w:rsidR="3ECF986A" w:rsidRPr="00C64BA4" w14:paraId="219A6FA9" w14:textId="77777777" w:rsidTr="3ECF986A">
        <w:trPr>
          <w:trHeight w:val="270"/>
        </w:trPr>
        <w:tc>
          <w:tcPr>
            <w:tcW w:w="1785" w:type="dxa"/>
            <w:tcBorders>
              <w:top w:val="single" w:sz="6" w:space="0" w:color="auto"/>
              <w:left w:val="nil"/>
              <w:bottom w:val="single" w:sz="6" w:space="0" w:color="auto"/>
              <w:right w:val="nil"/>
            </w:tcBorders>
            <w:shd w:val="clear" w:color="auto" w:fill="E7E6E6"/>
            <w:vAlign w:val="center"/>
          </w:tcPr>
          <w:p w14:paraId="2CFEEBDB" w14:textId="3B3016AC"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Chester</w:t>
            </w:r>
          </w:p>
        </w:tc>
        <w:tc>
          <w:tcPr>
            <w:tcW w:w="780" w:type="dxa"/>
            <w:tcBorders>
              <w:top w:val="single" w:sz="6" w:space="0" w:color="auto"/>
              <w:left w:val="nil"/>
              <w:bottom w:val="single" w:sz="6" w:space="0" w:color="auto"/>
              <w:right w:val="nil"/>
            </w:tcBorders>
            <w:shd w:val="clear" w:color="auto" w:fill="E7E6E6"/>
            <w:vAlign w:val="center"/>
          </w:tcPr>
          <w:p w14:paraId="18BA5536" w14:textId="69F6AE8E"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1.02</w:t>
            </w:r>
          </w:p>
        </w:tc>
        <w:tc>
          <w:tcPr>
            <w:tcW w:w="780" w:type="dxa"/>
            <w:tcBorders>
              <w:top w:val="single" w:sz="6" w:space="0" w:color="auto"/>
              <w:left w:val="nil"/>
              <w:bottom w:val="nil"/>
              <w:right w:val="nil"/>
            </w:tcBorders>
            <w:shd w:val="clear" w:color="auto" w:fill="E7E6E6"/>
            <w:vAlign w:val="bottom"/>
          </w:tcPr>
          <w:p w14:paraId="64D77238" w14:textId="0FEE7DD0"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0.61</w:t>
            </w:r>
          </w:p>
        </w:tc>
        <w:tc>
          <w:tcPr>
            <w:tcW w:w="1020" w:type="dxa"/>
            <w:tcBorders>
              <w:top w:val="single" w:sz="6" w:space="0" w:color="auto"/>
              <w:left w:val="single" w:sz="6" w:space="0" w:color="auto"/>
              <w:bottom w:val="nil"/>
              <w:right w:val="nil"/>
            </w:tcBorders>
            <w:shd w:val="clear" w:color="auto" w:fill="E7E6E6"/>
            <w:vAlign w:val="bottom"/>
          </w:tcPr>
          <w:p w14:paraId="17653BA8" w14:textId="7E975D2C"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-0.40</w:t>
            </w:r>
          </w:p>
        </w:tc>
        <w:tc>
          <w:tcPr>
            <w:tcW w:w="1020" w:type="dxa"/>
            <w:tcBorders>
              <w:top w:val="single" w:sz="6" w:space="0" w:color="auto"/>
              <w:left w:val="nil"/>
              <w:bottom w:val="nil"/>
              <w:right w:val="nil"/>
            </w:tcBorders>
            <w:shd w:val="clear" w:color="auto" w:fill="E7E6E6"/>
            <w:vAlign w:val="bottom"/>
          </w:tcPr>
          <w:p w14:paraId="1BB3DDEB" w14:textId="543658B8"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-40%</w:t>
            </w:r>
          </w:p>
        </w:tc>
      </w:tr>
      <w:tr w:rsidR="3ECF986A" w:rsidRPr="00C64BA4" w14:paraId="24AC4B90" w14:textId="77777777" w:rsidTr="3ECF986A">
        <w:trPr>
          <w:trHeight w:val="270"/>
        </w:trPr>
        <w:tc>
          <w:tcPr>
            <w:tcW w:w="1785" w:type="dxa"/>
            <w:tcBorders>
              <w:top w:val="single" w:sz="6" w:space="0" w:color="auto"/>
              <w:left w:val="nil"/>
              <w:bottom w:val="single" w:sz="6" w:space="0" w:color="auto"/>
              <w:right w:val="nil"/>
            </w:tcBorders>
            <w:vAlign w:val="center"/>
          </w:tcPr>
          <w:p w14:paraId="2B285329" w14:textId="3BEB339F"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Deerfield</w:t>
            </w:r>
          </w:p>
        </w:tc>
        <w:tc>
          <w:tcPr>
            <w:tcW w:w="780" w:type="dxa"/>
            <w:tcBorders>
              <w:top w:val="single" w:sz="6" w:space="0" w:color="auto"/>
              <w:left w:val="nil"/>
              <w:bottom w:val="single" w:sz="6" w:space="0" w:color="auto"/>
              <w:right w:val="nil"/>
            </w:tcBorders>
            <w:vAlign w:val="center"/>
          </w:tcPr>
          <w:p w14:paraId="7B456638" w14:textId="018442FF"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1.00</w:t>
            </w:r>
          </w:p>
        </w:tc>
        <w:tc>
          <w:tcPr>
            <w:tcW w:w="780" w:type="dxa"/>
            <w:tcBorders>
              <w:top w:val="single" w:sz="6" w:space="0" w:color="auto"/>
              <w:left w:val="nil"/>
              <w:bottom w:val="single" w:sz="6" w:space="0" w:color="auto"/>
              <w:right w:val="nil"/>
            </w:tcBorders>
            <w:vAlign w:val="bottom"/>
          </w:tcPr>
          <w:p w14:paraId="316FD290" w14:textId="16F99934"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0.59</w:t>
            </w:r>
          </w:p>
        </w:tc>
        <w:tc>
          <w:tcPr>
            <w:tcW w:w="1020" w:type="dxa"/>
            <w:tcBorders>
              <w:top w:val="single" w:sz="6" w:space="0" w:color="auto"/>
              <w:left w:val="single" w:sz="6" w:space="0" w:color="auto"/>
              <w:bottom w:val="single" w:sz="6" w:space="0" w:color="auto"/>
              <w:right w:val="nil"/>
            </w:tcBorders>
            <w:vAlign w:val="bottom"/>
          </w:tcPr>
          <w:p w14:paraId="2CEA6898" w14:textId="77DBA3D9"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-0.41</w:t>
            </w:r>
          </w:p>
        </w:tc>
        <w:tc>
          <w:tcPr>
            <w:tcW w:w="1020" w:type="dxa"/>
            <w:tcBorders>
              <w:top w:val="single" w:sz="6" w:space="0" w:color="auto"/>
              <w:left w:val="nil"/>
              <w:bottom w:val="single" w:sz="6" w:space="0" w:color="auto"/>
              <w:right w:val="nil"/>
            </w:tcBorders>
            <w:vAlign w:val="bottom"/>
          </w:tcPr>
          <w:p w14:paraId="447884FE" w14:textId="53C598E2"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-41%</w:t>
            </w:r>
          </w:p>
        </w:tc>
      </w:tr>
      <w:tr w:rsidR="3ECF986A" w:rsidRPr="00C64BA4" w14:paraId="44A91D83" w14:textId="77777777" w:rsidTr="3ECF986A">
        <w:trPr>
          <w:trHeight w:val="270"/>
        </w:trPr>
        <w:tc>
          <w:tcPr>
            <w:tcW w:w="1785" w:type="dxa"/>
            <w:tcBorders>
              <w:top w:val="single" w:sz="6" w:space="0" w:color="auto"/>
              <w:left w:val="nil"/>
              <w:bottom w:val="single" w:sz="6" w:space="0" w:color="auto"/>
              <w:right w:val="nil"/>
            </w:tcBorders>
            <w:shd w:val="clear" w:color="auto" w:fill="E7E6E6"/>
            <w:vAlign w:val="center"/>
          </w:tcPr>
          <w:p w14:paraId="08F44321" w14:textId="110DF83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Derry</w:t>
            </w:r>
          </w:p>
        </w:tc>
        <w:tc>
          <w:tcPr>
            <w:tcW w:w="780" w:type="dxa"/>
            <w:tcBorders>
              <w:top w:val="single" w:sz="6" w:space="0" w:color="auto"/>
              <w:left w:val="nil"/>
              <w:bottom w:val="nil"/>
              <w:right w:val="nil"/>
            </w:tcBorders>
            <w:shd w:val="clear" w:color="auto" w:fill="E7E6E6"/>
            <w:vAlign w:val="center"/>
          </w:tcPr>
          <w:p w14:paraId="6949E29E" w14:textId="55EA40E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0.89</w:t>
            </w:r>
          </w:p>
        </w:tc>
        <w:tc>
          <w:tcPr>
            <w:tcW w:w="780" w:type="dxa"/>
            <w:tcBorders>
              <w:top w:val="single" w:sz="6" w:space="0" w:color="auto"/>
              <w:left w:val="nil"/>
              <w:bottom w:val="nil"/>
              <w:right w:val="nil"/>
            </w:tcBorders>
            <w:shd w:val="clear" w:color="auto" w:fill="E7E6E6"/>
            <w:vAlign w:val="bottom"/>
          </w:tcPr>
          <w:p w14:paraId="42410FF5" w14:textId="3D4E52BB"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0.52</w:t>
            </w:r>
          </w:p>
        </w:tc>
        <w:tc>
          <w:tcPr>
            <w:tcW w:w="1020" w:type="dxa"/>
            <w:tcBorders>
              <w:top w:val="single" w:sz="6" w:space="0" w:color="auto"/>
              <w:left w:val="single" w:sz="6" w:space="0" w:color="auto"/>
              <w:bottom w:val="nil"/>
              <w:right w:val="nil"/>
            </w:tcBorders>
            <w:shd w:val="clear" w:color="auto" w:fill="E7E6E6"/>
            <w:vAlign w:val="bottom"/>
          </w:tcPr>
          <w:p w14:paraId="28CAD1B5" w14:textId="577D8414"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-0.37</w:t>
            </w:r>
          </w:p>
        </w:tc>
        <w:tc>
          <w:tcPr>
            <w:tcW w:w="1020" w:type="dxa"/>
            <w:tcBorders>
              <w:top w:val="single" w:sz="6" w:space="0" w:color="auto"/>
              <w:left w:val="nil"/>
              <w:bottom w:val="nil"/>
              <w:right w:val="nil"/>
            </w:tcBorders>
            <w:shd w:val="clear" w:color="auto" w:fill="E7E6E6"/>
            <w:vAlign w:val="bottom"/>
          </w:tcPr>
          <w:p w14:paraId="6002E166" w14:textId="7BBFBE83"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-41%</w:t>
            </w:r>
          </w:p>
        </w:tc>
      </w:tr>
      <w:tr w:rsidR="3ECF986A" w:rsidRPr="00C64BA4" w14:paraId="796AA332" w14:textId="77777777" w:rsidTr="3ECF986A">
        <w:trPr>
          <w:trHeight w:val="270"/>
        </w:trPr>
        <w:tc>
          <w:tcPr>
            <w:tcW w:w="1785" w:type="dxa"/>
            <w:tcBorders>
              <w:top w:val="single" w:sz="6" w:space="0" w:color="auto"/>
              <w:left w:val="nil"/>
              <w:bottom w:val="single" w:sz="6" w:space="0" w:color="auto"/>
              <w:right w:val="nil"/>
            </w:tcBorders>
            <w:vAlign w:val="center"/>
          </w:tcPr>
          <w:p w14:paraId="3D7CAE79" w14:textId="259819B8" w:rsidR="3ECF986A" w:rsidRPr="00C64BA4" w:rsidRDefault="3ECF986A" w:rsidP="00206C45">
            <w:pPr>
              <w:spacing w:after="0" w:line="300" w:lineRule="auto"/>
              <w:jc w:val="center"/>
              <w:rPr>
                <w:rFonts w:eastAsia="Tw Cen MT" w:cs="Tw Cen MT"/>
                <w:color w:val="000000" w:themeColor="text1"/>
              </w:rPr>
            </w:pPr>
            <w:proofErr w:type="spellStart"/>
            <w:r w:rsidRPr="00C64BA4">
              <w:rPr>
                <w:rFonts w:eastAsia="Tw Cen MT" w:cs="Tw Cen MT"/>
                <w:color w:val="000000" w:themeColor="text1"/>
              </w:rPr>
              <w:t>Francestown</w:t>
            </w:r>
            <w:proofErr w:type="spellEnd"/>
          </w:p>
        </w:tc>
        <w:tc>
          <w:tcPr>
            <w:tcW w:w="780" w:type="dxa"/>
            <w:tcBorders>
              <w:top w:val="single" w:sz="6" w:space="0" w:color="auto"/>
              <w:left w:val="nil"/>
              <w:bottom w:val="single" w:sz="6" w:space="0" w:color="auto"/>
              <w:right w:val="nil"/>
            </w:tcBorders>
            <w:vAlign w:val="center"/>
          </w:tcPr>
          <w:p w14:paraId="6F34238B" w14:textId="7C93EB59"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0.71</w:t>
            </w:r>
          </w:p>
        </w:tc>
        <w:tc>
          <w:tcPr>
            <w:tcW w:w="780" w:type="dxa"/>
            <w:tcBorders>
              <w:top w:val="single" w:sz="6" w:space="0" w:color="auto"/>
              <w:left w:val="nil"/>
              <w:bottom w:val="single" w:sz="6" w:space="0" w:color="auto"/>
              <w:right w:val="nil"/>
            </w:tcBorders>
            <w:vAlign w:val="bottom"/>
          </w:tcPr>
          <w:p w14:paraId="204C130B" w14:textId="74BB1A43"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0.45</w:t>
            </w:r>
          </w:p>
        </w:tc>
        <w:tc>
          <w:tcPr>
            <w:tcW w:w="1020" w:type="dxa"/>
            <w:tcBorders>
              <w:top w:val="single" w:sz="6" w:space="0" w:color="auto"/>
              <w:left w:val="single" w:sz="6" w:space="0" w:color="auto"/>
              <w:bottom w:val="single" w:sz="6" w:space="0" w:color="auto"/>
              <w:right w:val="nil"/>
            </w:tcBorders>
            <w:vAlign w:val="bottom"/>
          </w:tcPr>
          <w:p w14:paraId="6498CAF2" w14:textId="7AAA727A"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-0.26</w:t>
            </w:r>
          </w:p>
        </w:tc>
        <w:tc>
          <w:tcPr>
            <w:tcW w:w="1020" w:type="dxa"/>
            <w:tcBorders>
              <w:top w:val="single" w:sz="6" w:space="0" w:color="auto"/>
              <w:left w:val="nil"/>
              <w:bottom w:val="single" w:sz="6" w:space="0" w:color="auto"/>
              <w:right w:val="nil"/>
            </w:tcBorders>
            <w:vAlign w:val="bottom"/>
          </w:tcPr>
          <w:p w14:paraId="51A350F8" w14:textId="1489F05C"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-37%</w:t>
            </w:r>
          </w:p>
        </w:tc>
      </w:tr>
      <w:tr w:rsidR="3ECF986A" w:rsidRPr="00C64BA4" w14:paraId="699819A8" w14:textId="77777777" w:rsidTr="3ECF986A">
        <w:trPr>
          <w:trHeight w:val="270"/>
        </w:trPr>
        <w:tc>
          <w:tcPr>
            <w:tcW w:w="1785" w:type="dxa"/>
            <w:tcBorders>
              <w:top w:val="single" w:sz="6" w:space="0" w:color="auto"/>
              <w:left w:val="nil"/>
              <w:bottom w:val="single" w:sz="6" w:space="0" w:color="auto"/>
              <w:right w:val="nil"/>
            </w:tcBorders>
            <w:shd w:val="clear" w:color="auto" w:fill="E7E6E6"/>
            <w:vAlign w:val="center"/>
          </w:tcPr>
          <w:p w14:paraId="1C8ACB39" w14:textId="0444085F"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Goffstown</w:t>
            </w:r>
          </w:p>
        </w:tc>
        <w:tc>
          <w:tcPr>
            <w:tcW w:w="780" w:type="dxa"/>
            <w:tcBorders>
              <w:top w:val="single" w:sz="6" w:space="0" w:color="auto"/>
              <w:left w:val="nil"/>
              <w:bottom w:val="nil"/>
              <w:right w:val="nil"/>
            </w:tcBorders>
            <w:shd w:val="clear" w:color="auto" w:fill="E7E6E6"/>
            <w:vAlign w:val="center"/>
          </w:tcPr>
          <w:p w14:paraId="011D352E" w14:textId="7A23843B"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0.93</w:t>
            </w:r>
          </w:p>
        </w:tc>
        <w:tc>
          <w:tcPr>
            <w:tcW w:w="780" w:type="dxa"/>
            <w:tcBorders>
              <w:top w:val="single" w:sz="6" w:space="0" w:color="auto"/>
              <w:left w:val="nil"/>
              <w:bottom w:val="nil"/>
              <w:right w:val="nil"/>
            </w:tcBorders>
            <w:shd w:val="clear" w:color="auto" w:fill="E7E6E6"/>
            <w:vAlign w:val="bottom"/>
          </w:tcPr>
          <w:p w14:paraId="6BB021E5" w14:textId="0B75561E"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0.54</w:t>
            </w:r>
          </w:p>
        </w:tc>
        <w:tc>
          <w:tcPr>
            <w:tcW w:w="1020" w:type="dxa"/>
            <w:tcBorders>
              <w:top w:val="single" w:sz="6" w:space="0" w:color="auto"/>
              <w:left w:val="single" w:sz="6" w:space="0" w:color="auto"/>
              <w:bottom w:val="nil"/>
              <w:right w:val="nil"/>
            </w:tcBorders>
            <w:shd w:val="clear" w:color="auto" w:fill="E7E6E6"/>
            <w:vAlign w:val="bottom"/>
          </w:tcPr>
          <w:p w14:paraId="6B9F5AD4" w14:textId="5936CCA2"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-0.39</w:t>
            </w:r>
          </w:p>
        </w:tc>
        <w:tc>
          <w:tcPr>
            <w:tcW w:w="1020" w:type="dxa"/>
            <w:tcBorders>
              <w:top w:val="single" w:sz="6" w:space="0" w:color="auto"/>
              <w:left w:val="nil"/>
              <w:bottom w:val="nil"/>
              <w:right w:val="nil"/>
            </w:tcBorders>
            <w:shd w:val="clear" w:color="auto" w:fill="E7E6E6"/>
            <w:vAlign w:val="bottom"/>
          </w:tcPr>
          <w:p w14:paraId="2F8B6A09" w14:textId="1834DAB3"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-42%</w:t>
            </w:r>
          </w:p>
        </w:tc>
      </w:tr>
      <w:tr w:rsidR="3ECF986A" w:rsidRPr="00C64BA4" w14:paraId="3999F353" w14:textId="77777777" w:rsidTr="3ECF986A">
        <w:trPr>
          <w:trHeight w:val="270"/>
        </w:trPr>
        <w:tc>
          <w:tcPr>
            <w:tcW w:w="1785" w:type="dxa"/>
            <w:tcBorders>
              <w:top w:val="single" w:sz="6" w:space="0" w:color="auto"/>
              <w:left w:val="nil"/>
              <w:bottom w:val="single" w:sz="6" w:space="0" w:color="auto"/>
              <w:right w:val="nil"/>
            </w:tcBorders>
            <w:vAlign w:val="center"/>
          </w:tcPr>
          <w:p w14:paraId="35E4CEA6" w14:textId="0667E46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Hooksett</w:t>
            </w:r>
          </w:p>
        </w:tc>
        <w:tc>
          <w:tcPr>
            <w:tcW w:w="780" w:type="dxa"/>
            <w:tcBorders>
              <w:top w:val="single" w:sz="6" w:space="0" w:color="auto"/>
              <w:left w:val="nil"/>
              <w:bottom w:val="single" w:sz="6" w:space="0" w:color="auto"/>
              <w:right w:val="nil"/>
            </w:tcBorders>
            <w:vAlign w:val="center"/>
          </w:tcPr>
          <w:p w14:paraId="7089CE09" w14:textId="1D844564"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0.83</w:t>
            </w:r>
          </w:p>
        </w:tc>
        <w:tc>
          <w:tcPr>
            <w:tcW w:w="780" w:type="dxa"/>
            <w:tcBorders>
              <w:top w:val="single" w:sz="6" w:space="0" w:color="auto"/>
              <w:left w:val="nil"/>
              <w:bottom w:val="single" w:sz="6" w:space="0" w:color="auto"/>
              <w:right w:val="nil"/>
            </w:tcBorders>
            <w:vAlign w:val="bottom"/>
          </w:tcPr>
          <w:p w14:paraId="572F8931" w14:textId="339E5FB5"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0.50</w:t>
            </w:r>
          </w:p>
        </w:tc>
        <w:tc>
          <w:tcPr>
            <w:tcW w:w="1020" w:type="dxa"/>
            <w:tcBorders>
              <w:top w:val="single" w:sz="6" w:space="0" w:color="auto"/>
              <w:left w:val="single" w:sz="6" w:space="0" w:color="auto"/>
              <w:bottom w:val="single" w:sz="6" w:space="0" w:color="auto"/>
              <w:right w:val="nil"/>
            </w:tcBorders>
            <w:vAlign w:val="bottom"/>
          </w:tcPr>
          <w:p w14:paraId="71A0F307" w14:textId="6A1E1CD2"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-0.33</w:t>
            </w:r>
          </w:p>
        </w:tc>
        <w:tc>
          <w:tcPr>
            <w:tcW w:w="1020" w:type="dxa"/>
            <w:tcBorders>
              <w:top w:val="single" w:sz="6" w:space="0" w:color="auto"/>
              <w:left w:val="nil"/>
              <w:bottom w:val="single" w:sz="6" w:space="0" w:color="auto"/>
              <w:right w:val="nil"/>
            </w:tcBorders>
            <w:vAlign w:val="bottom"/>
          </w:tcPr>
          <w:p w14:paraId="7C5FD93B" w14:textId="31A091D5"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-40%</w:t>
            </w:r>
          </w:p>
        </w:tc>
      </w:tr>
      <w:tr w:rsidR="3ECF986A" w:rsidRPr="00C64BA4" w14:paraId="252F99EB" w14:textId="77777777" w:rsidTr="3ECF986A">
        <w:trPr>
          <w:trHeight w:val="270"/>
        </w:trPr>
        <w:tc>
          <w:tcPr>
            <w:tcW w:w="1785" w:type="dxa"/>
            <w:tcBorders>
              <w:top w:val="single" w:sz="6" w:space="0" w:color="auto"/>
              <w:left w:val="nil"/>
              <w:bottom w:val="single" w:sz="6" w:space="0" w:color="auto"/>
              <w:right w:val="nil"/>
            </w:tcBorders>
            <w:shd w:val="clear" w:color="auto" w:fill="E7E6E6"/>
            <w:vAlign w:val="center"/>
          </w:tcPr>
          <w:p w14:paraId="09F4A225" w14:textId="1D42F90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Londonderry</w:t>
            </w:r>
          </w:p>
        </w:tc>
        <w:tc>
          <w:tcPr>
            <w:tcW w:w="780" w:type="dxa"/>
            <w:tcBorders>
              <w:top w:val="single" w:sz="6" w:space="0" w:color="auto"/>
              <w:left w:val="nil"/>
              <w:bottom w:val="nil"/>
              <w:right w:val="nil"/>
            </w:tcBorders>
            <w:shd w:val="clear" w:color="auto" w:fill="E7E6E6"/>
            <w:vAlign w:val="center"/>
          </w:tcPr>
          <w:p w14:paraId="0C390CAF" w14:textId="577091C5"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1.08</w:t>
            </w:r>
          </w:p>
        </w:tc>
        <w:tc>
          <w:tcPr>
            <w:tcW w:w="780" w:type="dxa"/>
            <w:tcBorders>
              <w:top w:val="single" w:sz="6" w:space="0" w:color="auto"/>
              <w:left w:val="nil"/>
              <w:bottom w:val="nil"/>
              <w:right w:val="nil"/>
            </w:tcBorders>
            <w:shd w:val="clear" w:color="auto" w:fill="E7E6E6"/>
            <w:vAlign w:val="bottom"/>
          </w:tcPr>
          <w:p w14:paraId="138DCA05" w14:textId="7E143689"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0.59</w:t>
            </w:r>
          </w:p>
        </w:tc>
        <w:tc>
          <w:tcPr>
            <w:tcW w:w="1020" w:type="dxa"/>
            <w:tcBorders>
              <w:top w:val="single" w:sz="6" w:space="0" w:color="auto"/>
              <w:left w:val="single" w:sz="6" w:space="0" w:color="auto"/>
              <w:bottom w:val="nil"/>
              <w:right w:val="nil"/>
            </w:tcBorders>
            <w:shd w:val="clear" w:color="auto" w:fill="E7E6E6"/>
            <w:vAlign w:val="bottom"/>
          </w:tcPr>
          <w:p w14:paraId="5BD9BB66" w14:textId="57C60429"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-0.48</w:t>
            </w:r>
          </w:p>
        </w:tc>
        <w:tc>
          <w:tcPr>
            <w:tcW w:w="1020" w:type="dxa"/>
            <w:tcBorders>
              <w:top w:val="single" w:sz="6" w:space="0" w:color="auto"/>
              <w:left w:val="nil"/>
              <w:bottom w:val="nil"/>
              <w:right w:val="nil"/>
            </w:tcBorders>
            <w:shd w:val="clear" w:color="auto" w:fill="E7E6E6"/>
            <w:vAlign w:val="bottom"/>
          </w:tcPr>
          <w:p w14:paraId="1D0A2381" w14:textId="0D1AB8CA"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-45%</w:t>
            </w:r>
          </w:p>
        </w:tc>
      </w:tr>
      <w:tr w:rsidR="3ECF986A" w:rsidRPr="00C64BA4" w14:paraId="1341ABD2" w14:textId="77777777" w:rsidTr="3ECF986A">
        <w:trPr>
          <w:trHeight w:val="270"/>
        </w:trPr>
        <w:tc>
          <w:tcPr>
            <w:tcW w:w="1785" w:type="dxa"/>
            <w:tcBorders>
              <w:top w:val="single" w:sz="6" w:space="0" w:color="auto"/>
              <w:left w:val="nil"/>
              <w:bottom w:val="single" w:sz="6" w:space="0" w:color="auto"/>
              <w:right w:val="nil"/>
            </w:tcBorders>
            <w:vAlign w:val="center"/>
          </w:tcPr>
          <w:p w14:paraId="29169162" w14:textId="3D5EA631"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Manchester</w:t>
            </w:r>
          </w:p>
        </w:tc>
        <w:tc>
          <w:tcPr>
            <w:tcW w:w="780" w:type="dxa"/>
            <w:tcBorders>
              <w:top w:val="single" w:sz="6" w:space="0" w:color="auto"/>
              <w:left w:val="nil"/>
              <w:bottom w:val="single" w:sz="6" w:space="0" w:color="auto"/>
              <w:right w:val="nil"/>
            </w:tcBorders>
            <w:vAlign w:val="center"/>
          </w:tcPr>
          <w:p w14:paraId="5D164BE6" w14:textId="248662DF"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0.68</w:t>
            </w:r>
          </w:p>
        </w:tc>
        <w:tc>
          <w:tcPr>
            <w:tcW w:w="780" w:type="dxa"/>
            <w:tcBorders>
              <w:top w:val="single" w:sz="6" w:space="0" w:color="auto"/>
              <w:left w:val="nil"/>
              <w:bottom w:val="single" w:sz="6" w:space="0" w:color="auto"/>
              <w:right w:val="nil"/>
            </w:tcBorders>
            <w:vAlign w:val="bottom"/>
          </w:tcPr>
          <w:p w14:paraId="6D1AA04B" w14:textId="1844C661"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0.44</w:t>
            </w:r>
          </w:p>
        </w:tc>
        <w:tc>
          <w:tcPr>
            <w:tcW w:w="1020" w:type="dxa"/>
            <w:tcBorders>
              <w:top w:val="single" w:sz="6" w:space="0" w:color="auto"/>
              <w:left w:val="single" w:sz="6" w:space="0" w:color="auto"/>
              <w:bottom w:val="single" w:sz="6" w:space="0" w:color="auto"/>
              <w:right w:val="nil"/>
            </w:tcBorders>
            <w:vAlign w:val="bottom"/>
          </w:tcPr>
          <w:p w14:paraId="676C3AF1" w14:textId="59759F02"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-0.24</w:t>
            </w:r>
          </w:p>
        </w:tc>
        <w:tc>
          <w:tcPr>
            <w:tcW w:w="1020" w:type="dxa"/>
            <w:tcBorders>
              <w:top w:val="single" w:sz="6" w:space="0" w:color="auto"/>
              <w:left w:val="nil"/>
              <w:bottom w:val="single" w:sz="6" w:space="0" w:color="auto"/>
              <w:right w:val="nil"/>
            </w:tcBorders>
            <w:vAlign w:val="bottom"/>
          </w:tcPr>
          <w:p w14:paraId="5B17ABB8" w14:textId="5691167D"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-36%</w:t>
            </w:r>
          </w:p>
        </w:tc>
      </w:tr>
      <w:tr w:rsidR="3ECF986A" w:rsidRPr="00C64BA4" w14:paraId="1125789C" w14:textId="77777777" w:rsidTr="3ECF986A">
        <w:trPr>
          <w:trHeight w:val="270"/>
        </w:trPr>
        <w:tc>
          <w:tcPr>
            <w:tcW w:w="1785" w:type="dxa"/>
            <w:tcBorders>
              <w:top w:val="single" w:sz="6" w:space="0" w:color="auto"/>
              <w:left w:val="nil"/>
              <w:bottom w:val="single" w:sz="6" w:space="0" w:color="auto"/>
              <w:right w:val="nil"/>
            </w:tcBorders>
            <w:shd w:val="clear" w:color="auto" w:fill="E7E6E6"/>
            <w:vAlign w:val="center"/>
          </w:tcPr>
          <w:p w14:paraId="327744C6" w14:textId="7EC1DC8E"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New Boston</w:t>
            </w:r>
          </w:p>
        </w:tc>
        <w:tc>
          <w:tcPr>
            <w:tcW w:w="780" w:type="dxa"/>
            <w:tcBorders>
              <w:top w:val="single" w:sz="6" w:space="0" w:color="auto"/>
              <w:left w:val="nil"/>
              <w:bottom w:val="nil"/>
              <w:right w:val="nil"/>
            </w:tcBorders>
            <w:shd w:val="clear" w:color="auto" w:fill="E7E6E6"/>
            <w:vAlign w:val="center"/>
          </w:tcPr>
          <w:p w14:paraId="0418217C" w14:textId="3B67B3F3"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1.05</w:t>
            </w:r>
          </w:p>
        </w:tc>
        <w:tc>
          <w:tcPr>
            <w:tcW w:w="780" w:type="dxa"/>
            <w:tcBorders>
              <w:top w:val="single" w:sz="6" w:space="0" w:color="auto"/>
              <w:left w:val="nil"/>
              <w:bottom w:val="nil"/>
              <w:right w:val="nil"/>
            </w:tcBorders>
            <w:shd w:val="clear" w:color="auto" w:fill="E7E6E6"/>
            <w:vAlign w:val="bottom"/>
          </w:tcPr>
          <w:p w14:paraId="4C673674" w14:textId="36A73C87"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0.71</w:t>
            </w:r>
          </w:p>
        </w:tc>
        <w:tc>
          <w:tcPr>
            <w:tcW w:w="1020" w:type="dxa"/>
            <w:tcBorders>
              <w:top w:val="single" w:sz="6" w:space="0" w:color="auto"/>
              <w:left w:val="single" w:sz="6" w:space="0" w:color="auto"/>
              <w:bottom w:val="nil"/>
              <w:right w:val="nil"/>
            </w:tcBorders>
            <w:shd w:val="clear" w:color="auto" w:fill="E7E6E6"/>
            <w:vAlign w:val="bottom"/>
          </w:tcPr>
          <w:p w14:paraId="1B00DCE0" w14:textId="08ADCDC2"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-0.34</w:t>
            </w:r>
          </w:p>
        </w:tc>
        <w:tc>
          <w:tcPr>
            <w:tcW w:w="1020" w:type="dxa"/>
            <w:tcBorders>
              <w:top w:val="single" w:sz="6" w:space="0" w:color="auto"/>
              <w:left w:val="nil"/>
              <w:bottom w:val="nil"/>
              <w:right w:val="nil"/>
            </w:tcBorders>
            <w:shd w:val="clear" w:color="auto" w:fill="E7E6E6"/>
            <w:vAlign w:val="bottom"/>
          </w:tcPr>
          <w:p w14:paraId="1CD23784" w14:textId="20D80819"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-32%</w:t>
            </w:r>
          </w:p>
        </w:tc>
      </w:tr>
      <w:tr w:rsidR="3ECF986A" w:rsidRPr="00C64BA4" w14:paraId="69722CD6" w14:textId="77777777" w:rsidTr="3ECF986A">
        <w:trPr>
          <w:trHeight w:val="270"/>
        </w:trPr>
        <w:tc>
          <w:tcPr>
            <w:tcW w:w="1785" w:type="dxa"/>
            <w:tcBorders>
              <w:top w:val="single" w:sz="6" w:space="0" w:color="auto"/>
              <w:left w:val="nil"/>
              <w:bottom w:val="single" w:sz="6" w:space="0" w:color="auto"/>
              <w:right w:val="nil"/>
            </w:tcBorders>
            <w:vAlign w:val="center"/>
          </w:tcPr>
          <w:p w14:paraId="7E2D8035" w14:textId="09C0A1B5" w:rsidR="3ECF986A" w:rsidRPr="00C64BA4" w:rsidRDefault="3ECF986A" w:rsidP="00206C45">
            <w:pPr>
              <w:spacing w:after="0" w:line="300" w:lineRule="auto"/>
              <w:jc w:val="center"/>
              <w:rPr>
                <w:rFonts w:eastAsia="Tw Cen MT" w:cs="Tw Cen MT"/>
                <w:color w:val="000000" w:themeColor="text1"/>
              </w:rPr>
            </w:pPr>
            <w:proofErr w:type="spellStart"/>
            <w:r w:rsidRPr="00C64BA4">
              <w:rPr>
                <w:rFonts w:eastAsia="Tw Cen MT" w:cs="Tw Cen MT"/>
                <w:color w:val="000000" w:themeColor="text1"/>
              </w:rPr>
              <w:t>Weare</w:t>
            </w:r>
            <w:proofErr w:type="spellEnd"/>
          </w:p>
        </w:tc>
        <w:tc>
          <w:tcPr>
            <w:tcW w:w="780" w:type="dxa"/>
            <w:tcBorders>
              <w:top w:val="single" w:sz="6" w:space="0" w:color="auto"/>
              <w:left w:val="nil"/>
              <w:bottom w:val="single" w:sz="6" w:space="0" w:color="auto"/>
              <w:right w:val="nil"/>
            </w:tcBorders>
            <w:vAlign w:val="center"/>
          </w:tcPr>
          <w:p w14:paraId="64609F07" w14:textId="0D75125F"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0.93</w:t>
            </w:r>
          </w:p>
        </w:tc>
        <w:tc>
          <w:tcPr>
            <w:tcW w:w="780" w:type="dxa"/>
            <w:tcBorders>
              <w:top w:val="single" w:sz="6" w:space="0" w:color="auto"/>
              <w:left w:val="nil"/>
              <w:bottom w:val="single" w:sz="6" w:space="0" w:color="auto"/>
              <w:right w:val="nil"/>
            </w:tcBorders>
            <w:vAlign w:val="bottom"/>
          </w:tcPr>
          <w:p w14:paraId="04EB5254" w14:textId="6FD0B38B"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0.60</w:t>
            </w:r>
          </w:p>
        </w:tc>
        <w:tc>
          <w:tcPr>
            <w:tcW w:w="1020" w:type="dxa"/>
            <w:tcBorders>
              <w:top w:val="single" w:sz="6" w:space="0" w:color="auto"/>
              <w:left w:val="single" w:sz="6" w:space="0" w:color="auto"/>
              <w:bottom w:val="single" w:sz="6" w:space="0" w:color="auto"/>
              <w:right w:val="nil"/>
            </w:tcBorders>
            <w:vAlign w:val="bottom"/>
          </w:tcPr>
          <w:p w14:paraId="29C2B053" w14:textId="78088A14"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-0.33</w:t>
            </w:r>
          </w:p>
        </w:tc>
        <w:tc>
          <w:tcPr>
            <w:tcW w:w="1020" w:type="dxa"/>
            <w:tcBorders>
              <w:top w:val="single" w:sz="6" w:space="0" w:color="auto"/>
              <w:left w:val="nil"/>
              <w:bottom w:val="single" w:sz="6" w:space="0" w:color="auto"/>
              <w:right w:val="nil"/>
            </w:tcBorders>
            <w:vAlign w:val="bottom"/>
          </w:tcPr>
          <w:p w14:paraId="51B0D94E" w14:textId="7DC28C03"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-36%</w:t>
            </w:r>
          </w:p>
        </w:tc>
      </w:tr>
      <w:tr w:rsidR="3ECF986A" w:rsidRPr="00C64BA4" w14:paraId="51515352" w14:textId="77777777" w:rsidTr="3ECF986A">
        <w:trPr>
          <w:trHeight w:val="270"/>
        </w:trPr>
        <w:tc>
          <w:tcPr>
            <w:tcW w:w="1785" w:type="dxa"/>
            <w:tcBorders>
              <w:top w:val="single" w:sz="6" w:space="0" w:color="auto"/>
              <w:left w:val="nil"/>
              <w:bottom w:val="single" w:sz="12" w:space="0" w:color="404040" w:themeColor="text1" w:themeTint="BF"/>
              <w:right w:val="nil"/>
            </w:tcBorders>
            <w:shd w:val="clear" w:color="auto" w:fill="E7E6E6"/>
            <w:vAlign w:val="center"/>
          </w:tcPr>
          <w:p w14:paraId="6BFA674E" w14:textId="49CDA6A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lastRenderedPageBreak/>
              <w:t>Windham</w:t>
            </w:r>
          </w:p>
        </w:tc>
        <w:tc>
          <w:tcPr>
            <w:tcW w:w="780" w:type="dxa"/>
            <w:tcBorders>
              <w:top w:val="single" w:sz="6" w:space="0" w:color="auto"/>
              <w:left w:val="nil"/>
              <w:bottom w:val="single" w:sz="12" w:space="0" w:color="404040" w:themeColor="text1" w:themeTint="BF"/>
              <w:right w:val="nil"/>
            </w:tcBorders>
            <w:shd w:val="clear" w:color="auto" w:fill="E7E6E6"/>
            <w:vAlign w:val="center"/>
          </w:tcPr>
          <w:p w14:paraId="7B6FABBA" w14:textId="06F11AEE"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1.20</w:t>
            </w:r>
          </w:p>
        </w:tc>
        <w:tc>
          <w:tcPr>
            <w:tcW w:w="780" w:type="dxa"/>
            <w:tcBorders>
              <w:top w:val="single" w:sz="6" w:space="0" w:color="auto"/>
              <w:left w:val="nil"/>
              <w:bottom w:val="single" w:sz="12" w:space="0" w:color="404040" w:themeColor="text1" w:themeTint="BF"/>
              <w:right w:val="nil"/>
            </w:tcBorders>
            <w:shd w:val="clear" w:color="auto" w:fill="E7E6E6"/>
            <w:vAlign w:val="bottom"/>
          </w:tcPr>
          <w:p w14:paraId="7E6D93A7" w14:textId="496447D4"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0.79</w:t>
            </w:r>
          </w:p>
        </w:tc>
        <w:tc>
          <w:tcPr>
            <w:tcW w:w="1020" w:type="dxa"/>
            <w:tcBorders>
              <w:top w:val="single" w:sz="6" w:space="0" w:color="auto"/>
              <w:left w:val="single" w:sz="6" w:space="0" w:color="auto"/>
              <w:bottom w:val="single" w:sz="12" w:space="0" w:color="404040" w:themeColor="text1" w:themeTint="BF"/>
              <w:right w:val="nil"/>
            </w:tcBorders>
            <w:shd w:val="clear" w:color="auto" w:fill="E7E6E6"/>
            <w:vAlign w:val="bottom"/>
          </w:tcPr>
          <w:p w14:paraId="1FD8DA55" w14:textId="29756293"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-0.41</w:t>
            </w:r>
          </w:p>
        </w:tc>
        <w:tc>
          <w:tcPr>
            <w:tcW w:w="1020" w:type="dxa"/>
            <w:tcBorders>
              <w:top w:val="single" w:sz="6" w:space="0" w:color="auto"/>
              <w:left w:val="nil"/>
              <w:bottom w:val="single" w:sz="12" w:space="0" w:color="404040" w:themeColor="text1" w:themeTint="BF"/>
              <w:right w:val="nil"/>
            </w:tcBorders>
            <w:shd w:val="clear" w:color="auto" w:fill="E7E6E6"/>
            <w:vAlign w:val="bottom"/>
          </w:tcPr>
          <w:p w14:paraId="780F99A2" w14:textId="1FCA60A6"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-35%</w:t>
            </w:r>
          </w:p>
        </w:tc>
      </w:tr>
      <w:tr w:rsidR="3ECF986A" w:rsidRPr="00C64BA4" w14:paraId="3746AC1F" w14:textId="77777777" w:rsidTr="3ECF986A">
        <w:trPr>
          <w:trHeight w:val="270"/>
        </w:trPr>
        <w:tc>
          <w:tcPr>
            <w:tcW w:w="1785" w:type="dxa"/>
            <w:tcBorders>
              <w:top w:val="single" w:sz="12" w:space="0" w:color="404040" w:themeColor="text1" w:themeTint="BF"/>
              <w:left w:val="nil"/>
              <w:bottom w:val="single" w:sz="12" w:space="0" w:color="404040" w:themeColor="text1" w:themeTint="BF"/>
              <w:right w:val="nil"/>
            </w:tcBorders>
            <w:vAlign w:val="center"/>
          </w:tcPr>
          <w:p w14:paraId="1324F729" w14:textId="111846F2"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SNHPC</w:t>
            </w:r>
          </w:p>
        </w:tc>
        <w:tc>
          <w:tcPr>
            <w:tcW w:w="780" w:type="dxa"/>
            <w:tcBorders>
              <w:top w:val="single" w:sz="12" w:space="0" w:color="404040" w:themeColor="text1" w:themeTint="BF"/>
              <w:left w:val="nil"/>
              <w:bottom w:val="single" w:sz="12" w:space="0" w:color="404040" w:themeColor="text1" w:themeTint="BF"/>
              <w:right w:val="nil"/>
            </w:tcBorders>
            <w:vAlign w:val="center"/>
          </w:tcPr>
          <w:p w14:paraId="3E06A296" w14:textId="453A92F0"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0.81</w:t>
            </w:r>
          </w:p>
        </w:tc>
        <w:tc>
          <w:tcPr>
            <w:tcW w:w="780" w:type="dxa"/>
            <w:tcBorders>
              <w:top w:val="single" w:sz="12" w:space="0" w:color="404040" w:themeColor="text1" w:themeTint="BF"/>
              <w:left w:val="nil"/>
              <w:bottom w:val="single" w:sz="12" w:space="0" w:color="404040" w:themeColor="text1" w:themeTint="BF"/>
              <w:right w:val="nil"/>
            </w:tcBorders>
            <w:vAlign w:val="bottom"/>
          </w:tcPr>
          <w:p w14:paraId="15A87EEE" w14:textId="1AFCF29B"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0.53</w:t>
            </w:r>
          </w:p>
        </w:tc>
        <w:tc>
          <w:tcPr>
            <w:tcW w:w="1020" w:type="dxa"/>
            <w:tcBorders>
              <w:top w:val="single" w:sz="12" w:space="0" w:color="404040" w:themeColor="text1" w:themeTint="BF"/>
              <w:left w:val="single" w:sz="6" w:space="0" w:color="auto"/>
              <w:bottom w:val="single" w:sz="12" w:space="0" w:color="404040" w:themeColor="text1" w:themeTint="BF"/>
              <w:right w:val="nil"/>
            </w:tcBorders>
            <w:vAlign w:val="bottom"/>
          </w:tcPr>
          <w:p w14:paraId="16A70653" w14:textId="407370A0"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-0.28</w:t>
            </w:r>
          </w:p>
        </w:tc>
        <w:tc>
          <w:tcPr>
            <w:tcW w:w="1020" w:type="dxa"/>
            <w:tcBorders>
              <w:top w:val="single" w:sz="12" w:space="0" w:color="404040" w:themeColor="text1" w:themeTint="BF"/>
              <w:left w:val="nil"/>
              <w:bottom w:val="single" w:sz="12" w:space="0" w:color="404040" w:themeColor="text1" w:themeTint="BF"/>
              <w:right w:val="nil"/>
            </w:tcBorders>
            <w:vAlign w:val="bottom"/>
          </w:tcPr>
          <w:p w14:paraId="35A8B584" w14:textId="5792AC0C"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-35%</w:t>
            </w:r>
          </w:p>
        </w:tc>
      </w:tr>
      <w:tr w:rsidR="3ECF986A" w:rsidRPr="00C64BA4" w14:paraId="04341FC5" w14:textId="77777777" w:rsidTr="3ECF986A">
        <w:trPr>
          <w:trHeight w:val="270"/>
        </w:trPr>
        <w:tc>
          <w:tcPr>
            <w:tcW w:w="1785" w:type="dxa"/>
            <w:tcBorders>
              <w:top w:val="single" w:sz="12" w:space="0" w:color="404040" w:themeColor="text1" w:themeTint="BF"/>
              <w:left w:val="nil"/>
              <w:bottom w:val="nil"/>
              <w:right w:val="nil"/>
            </w:tcBorders>
            <w:shd w:val="clear" w:color="auto" w:fill="E7E6E6"/>
            <w:vAlign w:val="center"/>
          </w:tcPr>
          <w:p w14:paraId="4E03884F" w14:textId="68D9A872"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NH</w:t>
            </w:r>
          </w:p>
        </w:tc>
        <w:tc>
          <w:tcPr>
            <w:tcW w:w="780" w:type="dxa"/>
            <w:tcBorders>
              <w:top w:val="single" w:sz="12" w:space="0" w:color="404040" w:themeColor="text1" w:themeTint="BF"/>
              <w:left w:val="nil"/>
              <w:bottom w:val="nil"/>
              <w:right w:val="nil"/>
            </w:tcBorders>
            <w:shd w:val="clear" w:color="auto" w:fill="E7E6E6"/>
            <w:vAlign w:val="center"/>
          </w:tcPr>
          <w:p w14:paraId="6F9E821D" w14:textId="13F6526C"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0.80</w:t>
            </w:r>
          </w:p>
        </w:tc>
        <w:tc>
          <w:tcPr>
            <w:tcW w:w="780" w:type="dxa"/>
            <w:tcBorders>
              <w:top w:val="single" w:sz="12" w:space="0" w:color="404040" w:themeColor="text1" w:themeTint="BF"/>
              <w:left w:val="nil"/>
              <w:bottom w:val="nil"/>
              <w:right w:val="nil"/>
            </w:tcBorders>
            <w:shd w:val="clear" w:color="auto" w:fill="E7E6E6"/>
            <w:vAlign w:val="bottom"/>
          </w:tcPr>
          <w:p w14:paraId="76E83D05" w14:textId="174A6C6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0.46</w:t>
            </w:r>
          </w:p>
        </w:tc>
        <w:tc>
          <w:tcPr>
            <w:tcW w:w="1020" w:type="dxa"/>
            <w:tcBorders>
              <w:top w:val="single" w:sz="12" w:space="0" w:color="404040" w:themeColor="text1" w:themeTint="BF"/>
              <w:left w:val="single" w:sz="6" w:space="0" w:color="auto"/>
              <w:bottom w:val="nil"/>
              <w:right w:val="nil"/>
            </w:tcBorders>
            <w:shd w:val="clear" w:color="auto" w:fill="E7E6E6"/>
            <w:vAlign w:val="bottom"/>
          </w:tcPr>
          <w:p w14:paraId="7821D8A7" w14:textId="00BB406B"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-0.34</w:t>
            </w:r>
          </w:p>
        </w:tc>
        <w:tc>
          <w:tcPr>
            <w:tcW w:w="1020" w:type="dxa"/>
            <w:tcBorders>
              <w:top w:val="single" w:sz="12" w:space="0" w:color="404040" w:themeColor="text1" w:themeTint="BF"/>
              <w:left w:val="nil"/>
              <w:bottom w:val="nil"/>
              <w:right w:val="nil"/>
            </w:tcBorders>
            <w:shd w:val="clear" w:color="auto" w:fill="E7E6E6"/>
            <w:vAlign w:val="bottom"/>
          </w:tcPr>
          <w:p w14:paraId="675F71FC" w14:textId="042976E0" w:rsidR="3ECF986A" w:rsidRPr="00C64BA4" w:rsidRDefault="3ECF986A" w:rsidP="00206C45">
            <w:pPr>
              <w:spacing w:after="0" w:line="300" w:lineRule="auto"/>
              <w:jc w:val="center"/>
              <w:rPr>
                <w:rFonts w:eastAsia="Tw Cen MT" w:cs="Tw Cen MT"/>
                <w:color w:val="C00000"/>
              </w:rPr>
            </w:pPr>
            <w:r w:rsidRPr="00C64BA4">
              <w:rPr>
                <w:rFonts w:eastAsia="Tw Cen MT" w:cs="Tw Cen MT"/>
                <w:color w:val="000000" w:themeColor="text1"/>
              </w:rPr>
              <w:t>-42%</w:t>
            </w:r>
          </w:p>
        </w:tc>
      </w:tr>
      <w:tr w:rsidR="3ECF986A" w:rsidRPr="00C64BA4" w14:paraId="2C012D3F" w14:textId="77777777" w:rsidTr="3ECF986A">
        <w:trPr>
          <w:trHeight w:val="45"/>
        </w:trPr>
        <w:tc>
          <w:tcPr>
            <w:tcW w:w="5385" w:type="dxa"/>
            <w:gridSpan w:val="5"/>
            <w:tcBorders>
              <w:top w:val="nil"/>
              <w:left w:val="nil"/>
              <w:bottom w:val="nil"/>
              <w:right w:val="nil"/>
            </w:tcBorders>
            <w:vAlign w:val="center"/>
          </w:tcPr>
          <w:p w14:paraId="59666185" w14:textId="60621500" w:rsidR="3ECF986A" w:rsidRPr="00C64BA4" w:rsidRDefault="3ECF986A" w:rsidP="00206C45">
            <w:pPr>
              <w:spacing w:after="0"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Decennial Census. Minors living in group quarters included in total.</w:t>
            </w:r>
          </w:p>
        </w:tc>
      </w:tr>
      <w:tr w:rsidR="3ECF986A" w:rsidRPr="00C64BA4" w14:paraId="01720D53" w14:textId="77777777" w:rsidTr="3ECF986A">
        <w:trPr>
          <w:trHeight w:val="45"/>
        </w:trPr>
        <w:tc>
          <w:tcPr>
            <w:tcW w:w="5385" w:type="dxa"/>
            <w:gridSpan w:val="5"/>
            <w:tcBorders>
              <w:top w:val="nil"/>
              <w:left w:val="nil"/>
              <w:bottom w:val="nil"/>
              <w:right w:val="nil"/>
            </w:tcBorders>
            <w:vAlign w:val="center"/>
          </w:tcPr>
          <w:p w14:paraId="5637900D" w14:textId="5E541F1D" w:rsidR="3ECF986A" w:rsidRPr="00C64BA4" w:rsidRDefault="3ECF986A" w:rsidP="00206C45">
            <w:pPr>
              <w:spacing w:after="0"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IPUMS National Historical Geographic Information System; US Census Bureau.</w:t>
            </w:r>
          </w:p>
        </w:tc>
      </w:tr>
    </w:tbl>
    <w:p w14:paraId="27D20560" w14:textId="77777777" w:rsidR="003E6E7A" w:rsidRDefault="003E6E7A" w:rsidP="00206C45">
      <w:pPr>
        <w:spacing w:line="300" w:lineRule="auto"/>
        <w:rPr>
          <w:lang w:val="en"/>
        </w:rPr>
      </w:pPr>
    </w:p>
    <w:p w14:paraId="45A4978F" w14:textId="3EDD213C" w:rsidR="5C33F2F1" w:rsidRPr="00C64BA4" w:rsidRDefault="5C33F2F1" w:rsidP="00206C45">
      <w:pPr>
        <w:spacing w:line="300" w:lineRule="auto"/>
        <w:rPr>
          <w:lang w:val="en"/>
        </w:rPr>
      </w:pPr>
      <w:r w:rsidRPr="00E82B08">
        <w:rPr>
          <w:lang w:val="en"/>
        </w:rPr>
        <w:t xml:space="preserve">In 2020, </w:t>
      </w:r>
      <w:r w:rsidR="00E82B08" w:rsidRPr="00E82B08">
        <w:rPr>
          <w:lang w:val="en"/>
        </w:rPr>
        <w:t xml:space="preserve">thirty-five percent </w:t>
      </w:r>
      <w:r w:rsidR="686C3F8C" w:rsidRPr="00E82B08">
        <w:rPr>
          <w:lang w:val="en"/>
        </w:rPr>
        <w:t>(35%)</w:t>
      </w:r>
      <w:r w:rsidR="2DDF536E" w:rsidRPr="00E82B08">
        <w:rPr>
          <w:lang w:val="en"/>
        </w:rPr>
        <w:t xml:space="preserve"> of households in the SNHPC region were comprised of 2 people. This remained cons</w:t>
      </w:r>
      <w:r w:rsidR="4AF919E4" w:rsidRPr="00E82B08">
        <w:rPr>
          <w:lang w:val="en"/>
        </w:rPr>
        <w:t>istent with the state</w:t>
      </w:r>
      <w:r w:rsidR="57BE6FBB" w:rsidRPr="00E82B08">
        <w:rPr>
          <w:lang w:val="en"/>
        </w:rPr>
        <w:t xml:space="preserve"> as well as each </w:t>
      </w:r>
      <w:r w:rsidR="00587F57" w:rsidRPr="00E82B08">
        <w:rPr>
          <w:lang w:val="en"/>
        </w:rPr>
        <w:t>individual</w:t>
      </w:r>
      <w:r w:rsidR="57BE6FBB" w:rsidRPr="00E82B08">
        <w:rPr>
          <w:lang w:val="en"/>
        </w:rPr>
        <w:t xml:space="preserve"> SNHPC community </w:t>
      </w:r>
      <w:r w:rsidR="00587F57" w:rsidRPr="00E82B08">
        <w:rPr>
          <w:lang w:val="en"/>
        </w:rPr>
        <w:t>except</w:t>
      </w:r>
      <w:r w:rsidR="57BE6FBB" w:rsidRPr="00E82B08">
        <w:rPr>
          <w:lang w:val="en"/>
        </w:rPr>
        <w:t xml:space="preserve"> Windham where </w:t>
      </w:r>
      <w:r w:rsidR="00E82B08">
        <w:rPr>
          <w:lang w:val="en"/>
        </w:rPr>
        <w:t xml:space="preserve">thirty-seven percent </w:t>
      </w:r>
      <w:r w:rsidR="57BE6FBB" w:rsidRPr="00E82B08">
        <w:rPr>
          <w:lang w:val="en"/>
        </w:rPr>
        <w:t>(37%</w:t>
      </w:r>
      <w:r w:rsidR="5A6E432F" w:rsidRPr="00E82B08">
        <w:rPr>
          <w:lang w:val="en"/>
        </w:rPr>
        <w:t>) of the population had 4 or more persons per household.</w:t>
      </w:r>
      <w:r w:rsidR="5A6E432F" w:rsidRPr="00C64BA4">
        <w:rPr>
          <w:lang w:val="en"/>
        </w:rPr>
        <w:t xml:space="preserve"> </w:t>
      </w:r>
      <w:r w:rsidR="009A10E3">
        <w:rPr>
          <w:lang w:val="en"/>
        </w:rPr>
        <w:br/>
      </w:r>
    </w:p>
    <w:p w14:paraId="302C4000" w14:textId="7AE0D38F" w:rsidR="003E6E7A" w:rsidRDefault="00C96C23" w:rsidP="00206C45">
      <w:pPr>
        <w:pStyle w:val="Caption"/>
        <w:keepNext/>
        <w:spacing w:line="300" w:lineRule="auto"/>
      </w:pPr>
      <w:bookmarkStart w:id="71" w:name="_Toc128137897"/>
      <w:r>
        <w:t>Table</w:t>
      </w:r>
      <w:r w:rsidR="003E6E7A">
        <w:t xml:space="preserve"> </w:t>
      </w:r>
      <w:r w:rsidR="0062538A">
        <w:fldChar w:fldCharType="begin"/>
      </w:r>
      <w:r w:rsidR="0062538A">
        <w:instrText xml:space="preserve"> SEQ Table \* ARABIC </w:instrText>
      </w:r>
      <w:r w:rsidR="0062538A">
        <w:fldChar w:fldCharType="separate"/>
      </w:r>
      <w:r w:rsidR="008B512A">
        <w:rPr>
          <w:noProof/>
        </w:rPr>
        <w:t>6</w:t>
      </w:r>
      <w:r w:rsidR="0062538A">
        <w:rPr>
          <w:noProof/>
        </w:rPr>
        <w:fldChar w:fldCharType="end"/>
      </w:r>
      <w:r w:rsidR="003E6E7A">
        <w:t>: 2020 Persons per Household</w:t>
      </w:r>
      <w:bookmarkEnd w:id="71"/>
    </w:p>
    <w:tbl>
      <w:tblPr>
        <w:tblW w:w="0" w:type="auto"/>
        <w:tblLayout w:type="fixed"/>
        <w:tblLook w:val="04A0" w:firstRow="1" w:lastRow="0" w:firstColumn="1" w:lastColumn="0" w:noHBand="0" w:noVBand="1"/>
      </w:tblPr>
      <w:tblGrid>
        <w:gridCol w:w="1440"/>
        <w:gridCol w:w="1455"/>
        <w:gridCol w:w="945"/>
        <w:gridCol w:w="945"/>
        <w:gridCol w:w="945"/>
        <w:gridCol w:w="960"/>
      </w:tblGrid>
      <w:tr w:rsidR="3ECF986A" w:rsidRPr="00C64BA4" w14:paraId="5C80F24C" w14:textId="77777777" w:rsidTr="3ECF986A">
        <w:trPr>
          <w:trHeight w:val="270"/>
        </w:trPr>
        <w:tc>
          <w:tcPr>
            <w:tcW w:w="1440" w:type="dxa"/>
            <w:tcBorders>
              <w:top w:val="nil"/>
              <w:left w:val="nil"/>
              <w:bottom w:val="nil"/>
              <w:right w:val="nil"/>
            </w:tcBorders>
            <w:vAlign w:val="bottom"/>
          </w:tcPr>
          <w:p w14:paraId="6DF49BFC" w14:textId="7E14CBF7" w:rsidR="3ECF986A" w:rsidRPr="00C64BA4" w:rsidRDefault="3ECF986A" w:rsidP="00206C45">
            <w:pPr>
              <w:spacing w:after="0" w:line="300" w:lineRule="auto"/>
              <w:rPr>
                <w:rFonts w:eastAsia="Tw Cen MT" w:cs="Tw Cen MT"/>
                <w:color w:val="595959" w:themeColor="text1" w:themeTint="A6"/>
              </w:rPr>
            </w:pPr>
          </w:p>
        </w:tc>
        <w:tc>
          <w:tcPr>
            <w:tcW w:w="5250" w:type="dxa"/>
            <w:gridSpan w:val="5"/>
            <w:tcBorders>
              <w:top w:val="nil"/>
              <w:left w:val="nil"/>
              <w:bottom w:val="nil"/>
              <w:right w:val="nil"/>
            </w:tcBorders>
            <w:vAlign w:val="bottom"/>
          </w:tcPr>
          <w:p w14:paraId="243D95BD" w14:textId="0485A72A" w:rsidR="3ECF986A" w:rsidRPr="00C64BA4" w:rsidRDefault="3ECF986A"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2020</w:t>
            </w:r>
          </w:p>
        </w:tc>
      </w:tr>
      <w:tr w:rsidR="3ECF986A" w:rsidRPr="00C64BA4" w14:paraId="17D49C98" w14:textId="77777777" w:rsidTr="3ECF986A">
        <w:trPr>
          <w:trHeight w:val="270"/>
        </w:trPr>
        <w:tc>
          <w:tcPr>
            <w:tcW w:w="1440" w:type="dxa"/>
            <w:tcBorders>
              <w:top w:val="nil"/>
              <w:left w:val="nil"/>
              <w:bottom w:val="nil"/>
              <w:right w:val="nil"/>
            </w:tcBorders>
            <w:vAlign w:val="bottom"/>
          </w:tcPr>
          <w:p w14:paraId="555A2909" w14:textId="686A3FA0" w:rsidR="3ECF986A" w:rsidRPr="00C64BA4" w:rsidRDefault="3ECF986A" w:rsidP="00206C45">
            <w:pPr>
              <w:spacing w:after="0" w:line="300" w:lineRule="auto"/>
              <w:jc w:val="center"/>
              <w:rPr>
                <w:rFonts w:eastAsia="Tw Cen MT" w:cs="Tw Cen MT"/>
                <w:color w:val="595959" w:themeColor="text1" w:themeTint="A6"/>
              </w:rPr>
            </w:pPr>
          </w:p>
        </w:tc>
        <w:tc>
          <w:tcPr>
            <w:tcW w:w="1455" w:type="dxa"/>
            <w:tcBorders>
              <w:top w:val="nil"/>
              <w:left w:val="nil"/>
              <w:bottom w:val="nil"/>
              <w:right w:val="nil"/>
            </w:tcBorders>
            <w:vAlign w:val="bottom"/>
          </w:tcPr>
          <w:p w14:paraId="3B2C8003" w14:textId="32413978" w:rsidR="3ECF986A" w:rsidRPr="00C64BA4" w:rsidRDefault="3ECF986A" w:rsidP="00206C45">
            <w:pPr>
              <w:spacing w:after="0" w:line="300" w:lineRule="auto"/>
              <w:rPr>
                <w:rFonts w:eastAsia="Times New Roman" w:cs="Times New Roman"/>
                <w:color w:val="595959" w:themeColor="text1" w:themeTint="A6"/>
                <w:sz w:val="20"/>
                <w:szCs w:val="20"/>
              </w:rPr>
            </w:pPr>
          </w:p>
        </w:tc>
        <w:tc>
          <w:tcPr>
            <w:tcW w:w="3795" w:type="dxa"/>
            <w:gridSpan w:val="4"/>
            <w:tcBorders>
              <w:top w:val="nil"/>
              <w:left w:val="nil"/>
              <w:bottom w:val="nil"/>
              <w:right w:val="nil"/>
            </w:tcBorders>
            <w:vAlign w:val="bottom"/>
          </w:tcPr>
          <w:p w14:paraId="451899E2" w14:textId="0782638D" w:rsidR="3ECF986A" w:rsidRPr="00C64BA4" w:rsidRDefault="3ECF986A"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Persons per Household</w:t>
            </w:r>
          </w:p>
        </w:tc>
      </w:tr>
      <w:tr w:rsidR="3ECF986A" w:rsidRPr="00C64BA4" w14:paraId="00A0B998" w14:textId="77777777" w:rsidTr="003E6E7A">
        <w:trPr>
          <w:trHeight w:val="387"/>
        </w:trPr>
        <w:tc>
          <w:tcPr>
            <w:tcW w:w="1440" w:type="dxa"/>
            <w:tcBorders>
              <w:top w:val="nil"/>
              <w:left w:val="nil"/>
              <w:bottom w:val="single" w:sz="6" w:space="0" w:color="auto"/>
              <w:right w:val="nil"/>
            </w:tcBorders>
            <w:vAlign w:val="bottom"/>
          </w:tcPr>
          <w:p w14:paraId="3E9259B7" w14:textId="11C4CF53" w:rsidR="3ECF986A" w:rsidRPr="00C64BA4" w:rsidRDefault="3ECF986A" w:rsidP="00206C45">
            <w:pPr>
              <w:spacing w:after="0" w:line="300" w:lineRule="auto"/>
              <w:rPr>
                <w:rFonts w:eastAsia="Tw Cen MT" w:cs="Tw Cen MT"/>
                <w:color w:val="595959" w:themeColor="text1" w:themeTint="A6"/>
              </w:rPr>
            </w:pPr>
            <w:r w:rsidRPr="00C64BA4">
              <w:rPr>
                <w:rFonts w:eastAsia="Tw Cen MT" w:cs="Tw Cen MT"/>
                <w:color w:val="595959" w:themeColor="text1" w:themeTint="A6"/>
              </w:rPr>
              <w:t> </w:t>
            </w:r>
          </w:p>
        </w:tc>
        <w:tc>
          <w:tcPr>
            <w:tcW w:w="1455" w:type="dxa"/>
            <w:tcBorders>
              <w:top w:val="nil"/>
              <w:left w:val="nil"/>
              <w:bottom w:val="single" w:sz="6" w:space="0" w:color="auto"/>
              <w:right w:val="nil"/>
            </w:tcBorders>
            <w:vAlign w:val="bottom"/>
          </w:tcPr>
          <w:p w14:paraId="60D8F95C" w14:textId="10B6B263" w:rsidR="3ECF986A" w:rsidRPr="00C64BA4" w:rsidRDefault="3ECF986A"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 xml:space="preserve"> Households</w:t>
            </w:r>
          </w:p>
        </w:tc>
        <w:tc>
          <w:tcPr>
            <w:tcW w:w="945" w:type="dxa"/>
            <w:tcBorders>
              <w:top w:val="nil"/>
              <w:left w:val="single" w:sz="6" w:space="0" w:color="auto"/>
              <w:bottom w:val="single" w:sz="6" w:space="0" w:color="auto"/>
              <w:right w:val="nil"/>
            </w:tcBorders>
            <w:vAlign w:val="bottom"/>
          </w:tcPr>
          <w:p w14:paraId="037DC41E" w14:textId="4B8F77F3" w:rsidR="3ECF986A" w:rsidRPr="00C64BA4" w:rsidRDefault="3ECF986A"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1</w:t>
            </w:r>
          </w:p>
        </w:tc>
        <w:tc>
          <w:tcPr>
            <w:tcW w:w="945" w:type="dxa"/>
            <w:tcBorders>
              <w:top w:val="nil"/>
              <w:left w:val="nil"/>
              <w:bottom w:val="single" w:sz="6" w:space="0" w:color="auto"/>
              <w:right w:val="nil"/>
            </w:tcBorders>
            <w:vAlign w:val="bottom"/>
          </w:tcPr>
          <w:p w14:paraId="4BF897F1" w14:textId="491618AE" w:rsidR="3ECF986A" w:rsidRPr="00C64BA4" w:rsidRDefault="3ECF986A"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2</w:t>
            </w:r>
          </w:p>
        </w:tc>
        <w:tc>
          <w:tcPr>
            <w:tcW w:w="945" w:type="dxa"/>
            <w:tcBorders>
              <w:top w:val="nil"/>
              <w:left w:val="nil"/>
              <w:bottom w:val="single" w:sz="6" w:space="0" w:color="auto"/>
              <w:right w:val="nil"/>
            </w:tcBorders>
            <w:vAlign w:val="bottom"/>
          </w:tcPr>
          <w:p w14:paraId="6B216F81" w14:textId="169C7AC4" w:rsidR="3ECF986A" w:rsidRPr="00C64BA4" w:rsidRDefault="3ECF986A"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3</w:t>
            </w:r>
          </w:p>
        </w:tc>
        <w:tc>
          <w:tcPr>
            <w:tcW w:w="960" w:type="dxa"/>
            <w:tcBorders>
              <w:top w:val="nil"/>
              <w:left w:val="nil"/>
              <w:bottom w:val="single" w:sz="6" w:space="0" w:color="auto"/>
              <w:right w:val="nil"/>
            </w:tcBorders>
            <w:vAlign w:val="bottom"/>
          </w:tcPr>
          <w:p w14:paraId="55630863" w14:textId="6F05C365" w:rsidR="3ECF986A" w:rsidRPr="00C64BA4" w:rsidRDefault="3ECF986A"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4 or More</w:t>
            </w:r>
          </w:p>
        </w:tc>
      </w:tr>
      <w:tr w:rsidR="3ECF986A" w:rsidRPr="00C64BA4" w14:paraId="557B6184" w14:textId="77777777" w:rsidTr="3ECF986A">
        <w:trPr>
          <w:trHeight w:val="270"/>
        </w:trPr>
        <w:tc>
          <w:tcPr>
            <w:tcW w:w="1440" w:type="dxa"/>
            <w:tcBorders>
              <w:top w:val="single" w:sz="6" w:space="0" w:color="auto"/>
              <w:left w:val="nil"/>
              <w:bottom w:val="single" w:sz="6" w:space="0" w:color="auto"/>
              <w:right w:val="nil"/>
            </w:tcBorders>
            <w:vAlign w:val="center"/>
          </w:tcPr>
          <w:p w14:paraId="34F4CB4D" w14:textId="0AFB38BD"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Auburn</w:t>
            </w:r>
          </w:p>
        </w:tc>
        <w:tc>
          <w:tcPr>
            <w:tcW w:w="1455" w:type="dxa"/>
            <w:tcBorders>
              <w:top w:val="single" w:sz="6" w:space="0" w:color="auto"/>
              <w:left w:val="nil"/>
              <w:bottom w:val="single" w:sz="6" w:space="0" w:color="auto"/>
              <w:right w:val="nil"/>
            </w:tcBorders>
            <w:vAlign w:val="center"/>
          </w:tcPr>
          <w:p w14:paraId="1E8A5900" w14:textId="4DC9B6C9"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1,920</w:t>
            </w:r>
          </w:p>
        </w:tc>
        <w:tc>
          <w:tcPr>
            <w:tcW w:w="945" w:type="dxa"/>
            <w:tcBorders>
              <w:top w:val="single" w:sz="6" w:space="0" w:color="auto"/>
              <w:left w:val="single" w:sz="6" w:space="0" w:color="auto"/>
              <w:bottom w:val="single" w:sz="6" w:space="0" w:color="auto"/>
              <w:right w:val="nil"/>
            </w:tcBorders>
            <w:shd w:val="clear" w:color="auto" w:fill="5D8CC7"/>
            <w:vAlign w:val="center"/>
          </w:tcPr>
          <w:p w14:paraId="6D798D49" w14:textId="3EE2542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11%</w:t>
            </w:r>
          </w:p>
        </w:tc>
        <w:tc>
          <w:tcPr>
            <w:tcW w:w="945" w:type="dxa"/>
            <w:tcBorders>
              <w:top w:val="single" w:sz="6" w:space="0" w:color="auto"/>
              <w:left w:val="nil"/>
              <w:bottom w:val="single" w:sz="6" w:space="0" w:color="auto"/>
              <w:right w:val="nil"/>
            </w:tcBorders>
            <w:shd w:val="clear" w:color="auto" w:fill="F97375"/>
            <w:vAlign w:val="center"/>
          </w:tcPr>
          <w:p w14:paraId="09228B5B" w14:textId="6356D3C3"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42%</w:t>
            </w:r>
          </w:p>
        </w:tc>
        <w:tc>
          <w:tcPr>
            <w:tcW w:w="945" w:type="dxa"/>
            <w:tcBorders>
              <w:top w:val="single" w:sz="6" w:space="0" w:color="auto"/>
              <w:left w:val="nil"/>
              <w:bottom w:val="single" w:sz="6" w:space="0" w:color="auto"/>
              <w:right w:val="nil"/>
            </w:tcBorders>
            <w:shd w:val="clear" w:color="auto" w:fill="E5ECF7"/>
            <w:vAlign w:val="center"/>
          </w:tcPr>
          <w:p w14:paraId="6D48CB2D" w14:textId="0969932E"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21%</w:t>
            </w:r>
          </w:p>
        </w:tc>
        <w:tc>
          <w:tcPr>
            <w:tcW w:w="960" w:type="dxa"/>
            <w:tcBorders>
              <w:top w:val="single" w:sz="6" w:space="0" w:color="auto"/>
              <w:left w:val="nil"/>
              <w:bottom w:val="single" w:sz="6" w:space="0" w:color="auto"/>
              <w:right w:val="nil"/>
            </w:tcBorders>
            <w:shd w:val="clear" w:color="auto" w:fill="FCDCDF"/>
            <w:vAlign w:val="center"/>
          </w:tcPr>
          <w:p w14:paraId="6D72F2ED" w14:textId="2481FF1D"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27%</w:t>
            </w:r>
          </w:p>
        </w:tc>
      </w:tr>
      <w:tr w:rsidR="3ECF986A" w:rsidRPr="00C64BA4" w14:paraId="3F3959D6" w14:textId="77777777" w:rsidTr="3ECF986A">
        <w:trPr>
          <w:trHeight w:val="270"/>
        </w:trPr>
        <w:tc>
          <w:tcPr>
            <w:tcW w:w="1440" w:type="dxa"/>
            <w:tcBorders>
              <w:top w:val="single" w:sz="6" w:space="0" w:color="auto"/>
              <w:left w:val="nil"/>
              <w:bottom w:val="single" w:sz="6" w:space="0" w:color="auto"/>
              <w:right w:val="nil"/>
            </w:tcBorders>
            <w:shd w:val="clear" w:color="auto" w:fill="E7E6E6"/>
            <w:vAlign w:val="center"/>
          </w:tcPr>
          <w:p w14:paraId="67BB07C6" w14:textId="2D599C2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Bedford</w:t>
            </w:r>
          </w:p>
        </w:tc>
        <w:tc>
          <w:tcPr>
            <w:tcW w:w="1455" w:type="dxa"/>
            <w:tcBorders>
              <w:top w:val="single" w:sz="6" w:space="0" w:color="auto"/>
              <w:left w:val="nil"/>
              <w:bottom w:val="single" w:sz="6" w:space="0" w:color="auto"/>
              <w:right w:val="nil"/>
            </w:tcBorders>
            <w:shd w:val="clear" w:color="auto" w:fill="E7E6E6"/>
            <w:vAlign w:val="center"/>
          </w:tcPr>
          <w:p w14:paraId="4BAA51E2" w14:textId="7D61EA85"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7,910</w:t>
            </w:r>
          </w:p>
        </w:tc>
        <w:tc>
          <w:tcPr>
            <w:tcW w:w="945" w:type="dxa"/>
            <w:tcBorders>
              <w:top w:val="single" w:sz="6" w:space="0" w:color="auto"/>
              <w:left w:val="single" w:sz="6" w:space="0" w:color="auto"/>
              <w:bottom w:val="single" w:sz="6" w:space="0" w:color="auto"/>
              <w:right w:val="nil"/>
            </w:tcBorders>
            <w:shd w:val="clear" w:color="auto" w:fill="B6CBE6"/>
            <w:vAlign w:val="center"/>
          </w:tcPr>
          <w:p w14:paraId="2B452A3A" w14:textId="6A4E69C3"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17%</w:t>
            </w:r>
          </w:p>
        </w:tc>
        <w:tc>
          <w:tcPr>
            <w:tcW w:w="945" w:type="dxa"/>
            <w:tcBorders>
              <w:top w:val="single" w:sz="6" w:space="0" w:color="auto"/>
              <w:left w:val="nil"/>
              <w:bottom w:val="single" w:sz="6" w:space="0" w:color="auto"/>
              <w:right w:val="nil"/>
            </w:tcBorders>
            <w:shd w:val="clear" w:color="auto" w:fill="FBB7BA"/>
            <w:vAlign w:val="center"/>
          </w:tcPr>
          <w:p w14:paraId="379E212A" w14:textId="21ACB313"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32%</w:t>
            </w:r>
          </w:p>
        </w:tc>
        <w:tc>
          <w:tcPr>
            <w:tcW w:w="945" w:type="dxa"/>
            <w:tcBorders>
              <w:top w:val="single" w:sz="6" w:space="0" w:color="auto"/>
              <w:left w:val="nil"/>
              <w:bottom w:val="single" w:sz="6" w:space="0" w:color="auto"/>
              <w:right w:val="nil"/>
            </w:tcBorders>
            <w:shd w:val="clear" w:color="auto" w:fill="EDF2FA"/>
            <w:vAlign w:val="center"/>
          </w:tcPr>
          <w:p w14:paraId="1E1CD411" w14:textId="6FAEFE1C"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21%</w:t>
            </w:r>
          </w:p>
        </w:tc>
        <w:tc>
          <w:tcPr>
            <w:tcW w:w="960" w:type="dxa"/>
            <w:tcBorders>
              <w:top w:val="single" w:sz="6" w:space="0" w:color="auto"/>
              <w:left w:val="nil"/>
              <w:bottom w:val="single" w:sz="6" w:space="0" w:color="auto"/>
              <w:right w:val="nil"/>
            </w:tcBorders>
            <w:shd w:val="clear" w:color="auto" w:fill="FBCACD"/>
            <w:vAlign w:val="center"/>
          </w:tcPr>
          <w:p w14:paraId="3859E805" w14:textId="688EB1F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29%</w:t>
            </w:r>
          </w:p>
        </w:tc>
      </w:tr>
      <w:tr w:rsidR="3ECF986A" w:rsidRPr="00C64BA4" w14:paraId="2A8BBD82" w14:textId="77777777" w:rsidTr="3ECF986A">
        <w:trPr>
          <w:trHeight w:val="270"/>
        </w:trPr>
        <w:tc>
          <w:tcPr>
            <w:tcW w:w="1440" w:type="dxa"/>
            <w:tcBorders>
              <w:top w:val="single" w:sz="6" w:space="0" w:color="auto"/>
              <w:left w:val="nil"/>
              <w:bottom w:val="single" w:sz="6" w:space="0" w:color="auto"/>
              <w:right w:val="nil"/>
            </w:tcBorders>
            <w:vAlign w:val="center"/>
          </w:tcPr>
          <w:p w14:paraId="1ED107AB" w14:textId="6DA88FA4"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Candia</w:t>
            </w:r>
          </w:p>
        </w:tc>
        <w:tc>
          <w:tcPr>
            <w:tcW w:w="1455" w:type="dxa"/>
            <w:tcBorders>
              <w:top w:val="single" w:sz="6" w:space="0" w:color="auto"/>
              <w:left w:val="nil"/>
              <w:bottom w:val="single" w:sz="6" w:space="0" w:color="auto"/>
              <w:right w:val="nil"/>
            </w:tcBorders>
            <w:vAlign w:val="center"/>
          </w:tcPr>
          <w:p w14:paraId="06ED1CBA" w14:textId="01AF8FB6"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1,480</w:t>
            </w:r>
          </w:p>
        </w:tc>
        <w:tc>
          <w:tcPr>
            <w:tcW w:w="945" w:type="dxa"/>
            <w:tcBorders>
              <w:top w:val="single" w:sz="6" w:space="0" w:color="auto"/>
              <w:left w:val="single" w:sz="6" w:space="0" w:color="auto"/>
              <w:bottom w:val="single" w:sz="6" w:space="0" w:color="auto"/>
              <w:right w:val="nil"/>
            </w:tcBorders>
            <w:shd w:val="clear" w:color="auto" w:fill="FBFBFE"/>
            <w:vAlign w:val="center"/>
          </w:tcPr>
          <w:p w14:paraId="469414CF" w14:textId="17A8439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22%</w:t>
            </w:r>
          </w:p>
        </w:tc>
        <w:tc>
          <w:tcPr>
            <w:tcW w:w="945" w:type="dxa"/>
            <w:tcBorders>
              <w:top w:val="single" w:sz="6" w:space="0" w:color="auto"/>
              <w:left w:val="nil"/>
              <w:bottom w:val="single" w:sz="6" w:space="0" w:color="auto"/>
              <w:right w:val="nil"/>
            </w:tcBorders>
            <w:shd w:val="clear" w:color="auto" w:fill="F97274"/>
            <w:vAlign w:val="center"/>
          </w:tcPr>
          <w:p w14:paraId="7C007E09" w14:textId="45DA7007"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42%</w:t>
            </w:r>
          </w:p>
        </w:tc>
        <w:tc>
          <w:tcPr>
            <w:tcW w:w="945" w:type="dxa"/>
            <w:tcBorders>
              <w:top w:val="single" w:sz="6" w:space="0" w:color="auto"/>
              <w:left w:val="nil"/>
              <w:bottom w:val="single" w:sz="6" w:space="0" w:color="auto"/>
              <w:right w:val="nil"/>
            </w:tcBorders>
            <w:shd w:val="clear" w:color="auto" w:fill="5F8EC8"/>
            <w:vAlign w:val="center"/>
          </w:tcPr>
          <w:p w14:paraId="5F8C2AD3" w14:textId="32B72533"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11%</w:t>
            </w:r>
          </w:p>
        </w:tc>
        <w:tc>
          <w:tcPr>
            <w:tcW w:w="960" w:type="dxa"/>
            <w:tcBorders>
              <w:top w:val="single" w:sz="6" w:space="0" w:color="auto"/>
              <w:left w:val="nil"/>
              <w:bottom w:val="single" w:sz="6" w:space="0" w:color="auto"/>
              <w:right w:val="nil"/>
            </w:tcBorders>
            <w:shd w:val="clear" w:color="auto" w:fill="FCEAED"/>
            <w:vAlign w:val="center"/>
          </w:tcPr>
          <w:p w14:paraId="44D7ACC6" w14:textId="4A9CD919"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25%</w:t>
            </w:r>
          </w:p>
        </w:tc>
      </w:tr>
      <w:tr w:rsidR="3ECF986A" w:rsidRPr="00C64BA4" w14:paraId="1E138318" w14:textId="77777777" w:rsidTr="3ECF986A">
        <w:trPr>
          <w:trHeight w:val="270"/>
        </w:trPr>
        <w:tc>
          <w:tcPr>
            <w:tcW w:w="1440" w:type="dxa"/>
            <w:tcBorders>
              <w:top w:val="single" w:sz="6" w:space="0" w:color="auto"/>
              <w:left w:val="nil"/>
              <w:bottom w:val="single" w:sz="6" w:space="0" w:color="auto"/>
              <w:right w:val="nil"/>
            </w:tcBorders>
            <w:shd w:val="clear" w:color="auto" w:fill="E7E6E6"/>
            <w:vAlign w:val="center"/>
          </w:tcPr>
          <w:p w14:paraId="5F38C182" w14:textId="2B96E0EE"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Chester</w:t>
            </w:r>
          </w:p>
        </w:tc>
        <w:tc>
          <w:tcPr>
            <w:tcW w:w="1455" w:type="dxa"/>
            <w:tcBorders>
              <w:top w:val="single" w:sz="6" w:space="0" w:color="auto"/>
              <w:left w:val="nil"/>
              <w:bottom w:val="single" w:sz="6" w:space="0" w:color="auto"/>
              <w:right w:val="nil"/>
            </w:tcBorders>
            <w:shd w:val="clear" w:color="auto" w:fill="E7E6E6"/>
            <w:vAlign w:val="center"/>
          </w:tcPr>
          <w:p w14:paraId="7B9AA460" w14:textId="668E1794"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1,740</w:t>
            </w:r>
          </w:p>
        </w:tc>
        <w:tc>
          <w:tcPr>
            <w:tcW w:w="945" w:type="dxa"/>
            <w:tcBorders>
              <w:top w:val="single" w:sz="6" w:space="0" w:color="auto"/>
              <w:left w:val="single" w:sz="6" w:space="0" w:color="auto"/>
              <w:bottom w:val="single" w:sz="6" w:space="0" w:color="auto"/>
              <w:right w:val="nil"/>
            </w:tcBorders>
            <w:shd w:val="clear" w:color="auto" w:fill="5A8AC6"/>
            <w:vAlign w:val="center"/>
          </w:tcPr>
          <w:p w14:paraId="49EC3668" w14:textId="37C5D08D"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10%</w:t>
            </w:r>
          </w:p>
        </w:tc>
        <w:tc>
          <w:tcPr>
            <w:tcW w:w="945" w:type="dxa"/>
            <w:tcBorders>
              <w:top w:val="single" w:sz="6" w:space="0" w:color="auto"/>
              <w:left w:val="nil"/>
              <w:bottom w:val="single" w:sz="6" w:space="0" w:color="auto"/>
              <w:right w:val="nil"/>
            </w:tcBorders>
            <w:shd w:val="clear" w:color="auto" w:fill="FA989A"/>
            <w:vAlign w:val="center"/>
          </w:tcPr>
          <w:p w14:paraId="7917BC30" w14:textId="03091DA7"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37%</w:t>
            </w:r>
          </w:p>
        </w:tc>
        <w:tc>
          <w:tcPr>
            <w:tcW w:w="945" w:type="dxa"/>
            <w:tcBorders>
              <w:top w:val="single" w:sz="6" w:space="0" w:color="auto"/>
              <w:left w:val="nil"/>
              <w:bottom w:val="single" w:sz="6" w:space="0" w:color="auto"/>
              <w:right w:val="nil"/>
            </w:tcBorders>
            <w:shd w:val="clear" w:color="auto" w:fill="D3DFF0"/>
            <w:vAlign w:val="center"/>
          </w:tcPr>
          <w:p w14:paraId="334CC5F0" w14:textId="4453ED0D"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19%</w:t>
            </w:r>
          </w:p>
        </w:tc>
        <w:tc>
          <w:tcPr>
            <w:tcW w:w="960" w:type="dxa"/>
            <w:tcBorders>
              <w:top w:val="single" w:sz="6" w:space="0" w:color="auto"/>
              <w:left w:val="nil"/>
              <w:bottom w:val="single" w:sz="6" w:space="0" w:color="auto"/>
              <w:right w:val="nil"/>
            </w:tcBorders>
            <w:shd w:val="clear" w:color="auto" w:fill="FAACAE"/>
            <w:vAlign w:val="center"/>
          </w:tcPr>
          <w:p w14:paraId="2AC3C850" w14:textId="6E559F6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34%</w:t>
            </w:r>
          </w:p>
        </w:tc>
      </w:tr>
      <w:tr w:rsidR="3ECF986A" w:rsidRPr="00C64BA4" w14:paraId="74899E80" w14:textId="77777777" w:rsidTr="3ECF986A">
        <w:trPr>
          <w:trHeight w:val="270"/>
        </w:trPr>
        <w:tc>
          <w:tcPr>
            <w:tcW w:w="1440" w:type="dxa"/>
            <w:tcBorders>
              <w:top w:val="single" w:sz="6" w:space="0" w:color="auto"/>
              <w:left w:val="nil"/>
              <w:bottom w:val="single" w:sz="6" w:space="0" w:color="auto"/>
              <w:right w:val="nil"/>
            </w:tcBorders>
            <w:vAlign w:val="center"/>
          </w:tcPr>
          <w:p w14:paraId="24590B67" w14:textId="47A0B3D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Deerfield</w:t>
            </w:r>
          </w:p>
        </w:tc>
        <w:tc>
          <w:tcPr>
            <w:tcW w:w="1455" w:type="dxa"/>
            <w:tcBorders>
              <w:top w:val="single" w:sz="6" w:space="0" w:color="auto"/>
              <w:left w:val="nil"/>
              <w:bottom w:val="single" w:sz="6" w:space="0" w:color="auto"/>
              <w:right w:val="nil"/>
            </w:tcBorders>
            <w:vAlign w:val="center"/>
          </w:tcPr>
          <w:p w14:paraId="4F081343" w14:textId="5EEE264B"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1,650</w:t>
            </w:r>
          </w:p>
        </w:tc>
        <w:tc>
          <w:tcPr>
            <w:tcW w:w="945" w:type="dxa"/>
            <w:tcBorders>
              <w:top w:val="single" w:sz="6" w:space="0" w:color="auto"/>
              <w:left w:val="single" w:sz="6" w:space="0" w:color="auto"/>
              <w:bottom w:val="single" w:sz="6" w:space="0" w:color="auto"/>
              <w:right w:val="nil"/>
            </w:tcBorders>
            <w:shd w:val="clear" w:color="auto" w:fill="81A5D3"/>
            <w:vAlign w:val="center"/>
          </w:tcPr>
          <w:p w14:paraId="777E8106" w14:textId="75331A99"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13%</w:t>
            </w:r>
          </w:p>
        </w:tc>
        <w:tc>
          <w:tcPr>
            <w:tcW w:w="945" w:type="dxa"/>
            <w:tcBorders>
              <w:top w:val="single" w:sz="6" w:space="0" w:color="auto"/>
              <w:left w:val="nil"/>
              <w:bottom w:val="single" w:sz="6" w:space="0" w:color="auto"/>
              <w:right w:val="nil"/>
            </w:tcBorders>
            <w:shd w:val="clear" w:color="auto" w:fill="F97C7E"/>
            <w:vAlign w:val="center"/>
          </w:tcPr>
          <w:p w14:paraId="2D25896B" w14:textId="3AEC1F5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41%</w:t>
            </w:r>
          </w:p>
        </w:tc>
        <w:tc>
          <w:tcPr>
            <w:tcW w:w="945" w:type="dxa"/>
            <w:tcBorders>
              <w:top w:val="single" w:sz="6" w:space="0" w:color="auto"/>
              <w:left w:val="nil"/>
              <w:bottom w:val="single" w:sz="6" w:space="0" w:color="auto"/>
              <w:right w:val="nil"/>
            </w:tcBorders>
            <w:shd w:val="clear" w:color="auto" w:fill="B3C8E5"/>
            <w:vAlign w:val="center"/>
          </w:tcPr>
          <w:p w14:paraId="705E4500" w14:textId="274CCED1"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17%</w:t>
            </w:r>
          </w:p>
        </w:tc>
        <w:tc>
          <w:tcPr>
            <w:tcW w:w="960" w:type="dxa"/>
            <w:tcBorders>
              <w:top w:val="single" w:sz="6" w:space="0" w:color="auto"/>
              <w:left w:val="nil"/>
              <w:bottom w:val="single" w:sz="6" w:space="0" w:color="auto"/>
              <w:right w:val="nil"/>
            </w:tcBorders>
            <w:shd w:val="clear" w:color="auto" w:fill="FBCBCE"/>
            <w:vAlign w:val="center"/>
          </w:tcPr>
          <w:p w14:paraId="4D795BA4" w14:textId="036DE3B0"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29%</w:t>
            </w:r>
          </w:p>
        </w:tc>
      </w:tr>
      <w:tr w:rsidR="3ECF986A" w:rsidRPr="00C64BA4" w14:paraId="6D143D0F" w14:textId="77777777" w:rsidTr="3ECF986A">
        <w:trPr>
          <w:trHeight w:val="270"/>
        </w:trPr>
        <w:tc>
          <w:tcPr>
            <w:tcW w:w="1440" w:type="dxa"/>
            <w:tcBorders>
              <w:top w:val="single" w:sz="6" w:space="0" w:color="auto"/>
              <w:left w:val="nil"/>
              <w:bottom w:val="single" w:sz="6" w:space="0" w:color="auto"/>
              <w:right w:val="nil"/>
            </w:tcBorders>
            <w:shd w:val="clear" w:color="auto" w:fill="E7E6E6"/>
            <w:vAlign w:val="center"/>
          </w:tcPr>
          <w:p w14:paraId="086F0BA0" w14:textId="6C133177"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Derry</w:t>
            </w:r>
          </w:p>
        </w:tc>
        <w:tc>
          <w:tcPr>
            <w:tcW w:w="1455" w:type="dxa"/>
            <w:tcBorders>
              <w:top w:val="single" w:sz="6" w:space="0" w:color="auto"/>
              <w:left w:val="nil"/>
              <w:bottom w:val="single" w:sz="6" w:space="0" w:color="auto"/>
              <w:right w:val="nil"/>
            </w:tcBorders>
            <w:shd w:val="clear" w:color="auto" w:fill="E7E6E6"/>
            <w:vAlign w:val="center"/>
          </w:tcPr>
          <w:p w14:paraId="6EC9DF55" w14:textId="2038F1B1"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12,710</w:t>
            </w:r>
          </w:p>
        </w:tc>
        <w:tc>
          <w:tcPr>
            <w:tcW w:w="945" w:type="dxa"/>
            <w:tcBorders>
              <w:top w:val="single" w:sz="6" w:space="0" w:color="auto"/>
              <w:left w:val="single" w:sz="6" w:space="0" w:color="auto"/>
              <w:bottom w:val="single" w:sz="6" w:space="0" w:color="auto"/>
              <w:right w:val="nil"/>
            </w:tcBorders>
            <w:shd w:val="clear" w:color="auto" w:fill="FCFCFF"/>
            <w:vAlign w:val="center"/>
          </w:tcPr>
          <w:p w14:paraId="27230706" w14:textId="5E80E23D"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22%</w:t>
            </w:r>
          </w:p>
        </w:tc>
        <w:tc>
          <w:tcPr>
            <w:tcW w:w="945" w:type="dxa"/>
            <w:tcBorders>
              <w:top w:val="single" w:sz="6" w:space="0" w:color="auto"/>
              <w:left w:val="nil"/>
              <w:bottom w:val="single" w:sz="6" w:space="0" w:color="auto"/>
              <w:right w:val="nil"/>
            </w:tcBorders>
            <w:shd w:val="clear" w:color="auto" w:fill="FA999B"/>
            <w:vAlign w:val="center"/>
          </w:tcPr>
          <w:p w14:paraId="6B7F90A0" w14:textId="269E5A9E"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36%</w:t>
            </w:r>
          </w:p>
        </w:tc>
        <w:tc>
          <w:tcPr>
            <w:tcW w:w="945" w:type="dxa"/>
            <w:tcBorders>
              <w:top w:val="single" w:sz="6" w:space="0" w:color="auto"/>
              <w:left w:val="nil"/>
              <w:bottom w:val="single" w:sz="6" w:space="0" w:color="auto"/>
              <w:right w:val="nil"/>
            </w:tcBorders>
            <w:shd w:val="clear" w:color="auto" w:fill="D7E2F2"/>
            <w:vAlign w:val="center"/>
          </w:tcPr>
          <w:p w14:paraId="43B182C6" w14:textId="451B5682"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20%</w:t>
            </w:r>
          </w:p>
        </w:tc>
        <w:tc>
          <w:tcPr>
            <w:tcW w:w="960" w:type="dxa"/>
            <w:tcBorders>
              <w:top w:val="single" w:sz="6" w:space="0" w:color="auto"/>
              <w:left w:val="nil"/>
              <w:bottom w:val="single" w:sz="6" w:space="0" w:color="auto"/>
              <w:right w:val="nil"/>
            </w:tcBorders>
            <w:shd w:val="clear" w:color="auto" w:fill="F4F6FC"/>
            <w:vAlign w:val="center"/>
          </w:tcPr>
          <w:p w14:paraId="41899DBD" w14:textId="1F6CF2F7"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22%</w:t>
            </w:r>
          </w:p>
        </w:tc>
      </w:tr>
      <w:tr w:rsidR="3ECF986A" w:rsidRPr="00C64BA4" w14:paraId="7B12D1C5" w14:textId="77777777" w:rsidTr="3ECF986A">
        <w:trPr>
          <w:trHeight w:val="270"/>
        </w:trPr>
        <w:tc>
          <w:tcPr>
            <w:tcW w:w="1440" w:type="dxa"/>
            <w:tcBorders>
              <w:top w:val="single" w:sz="6" w:space="0" w:color="auto"/>
              <w:left w:val="nil"/>
              <w:bottom w:val="single" w:sz="6" w:space="0" w:color="auto"/>
              <w:right w:val="nil"/>
            </w:tcBorders>
            <w:vAlign w:val="center"/>
          </w:tcPr>
          <w:p w14:paraId="21AE714F" w14:textId="695ECCC2" w:rsidR="3ECF986A" w:rsidRPr="00C64BA4" w:rsidRDefault="3ECF986A" w:rsidP="00206C45">
            <w:pPr>
              <w:spacing w:after="0" w:line="300" w:lineRule="auto"/>
              <w:jc w:val="center"/>
              <w:rPr>
                <w:rFonts w:eastAsia="Tw Cen MT" w:cs="Tw Cen MT"/>
                <w:color w:val="000000" w:themeColor="text1"/>
              </w:rPr>
            </w:pPr>
            <w:proofErr w:type="spellStart"/>
            <w:r w:rsidRPr="00C64BA4">
              <w:rPr>
                <w:rFonts w:eastAsia="Tw Cen MT" w:cs="Tw Cen MT"/>
                <w:color w:val="000000" w:themeColor="text1"/>
              </w:rPr>
              <w:t>Francestown</w:t>
            </w:r>
            <w:proofErr w:type="spellEnd"/>
          </w:p>
        </w:tc>
        <w:tc>
          <w:tcPr>
            <w:tcW w:w="1455" w:type="dxa"/>
            <w:tcBorders>
              <w:top w:val="single" w:sz="6" w:space="0" w:color="auto"/>
              <w:left w:val="nil"/>
              <w:bottom w:val="single" w:sz="6" w:space="0" w:color="auto"/>
              <w:right w:val="nil"/>
            </w:tcBorders>
            <w:vAlign w:val="center"/>
          </w:tcPr>
          <w:p w14:paraId="776B77D3" w14:textId="6ACF2EBE"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620</w:t>
            </w:r>
          </w:p>
        </w:tc>
        <w:tc>
          <w:tcPr>
            <w:tcW w:w="945" w:type="dxa"/>
            <w:tcBorders>
              <w:top w:val="single" w:sz="6" w:space="0" w:color="auto"/>
              <w:left w:val="single" w:sz="6" w:space="0" w:color="auto"/>
              <w:bottom w:val="single" w:sz="6" w:space="0" w:color="auto"/>
              <w:right w:val="nil"/>
            </w:tcBorders>
            <w:shd w:val="clear" w:color="auto" w:fill="E5EBF6"/>
            <w:vAlign w:val="center"/>
          </w:tcPr>
          <w:p w14:paraId="11F1D132" w14:textId="3E3AD080"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21%</w:t>
            </w:r>
          </w:p>
        </w:tc>
        <w:tc>
          <w:tcPr>
            <w:tcW w:w="945" w:type="dxa"/>
            <w:tcBorders>
              <w:top w:val="single" w:sz="6" w:space="0" w:color="auto"/>
              <w:left w:val="nil"/>
              <w:bottom w:val="single" w:sz="6" w:space="0" w:color="auto"/>
              <w:right w:val="nil"/>
            </w:tcBorders>
            <w:shd w:val="clear" w:color="auto" w:fill="F8696B"/>
            <w:vAlign w:val="center"/>
          </w:tcPr>
          <w:p w14:paraId="4FBF71BE" w14:textId="66504F5B"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43%</w:t>
            </w:r>
          </w:p>
        </w:tc>
        <w:tc>
          <w:tcPr>
            <w:tcW w:w="945" w:type="dxa"/>
            <w:tcBorders>
              <w:top w:val="single" w:sz="6" w:space="0" w:color="auto"/>
              <w:left w:val="nil"/>
              <w:bottom w:val="single" w:sz="6" w:space="0" w:color="auto"/>
              <w:right w:val="nil"/>
            </w:tcBorders>
            <w:shd w:val="clear" w:color="auto" w:fill="99B6DC"/>
            <w:vAlign w:val="center"/>
          </w:tcPr>
          <w:p w14:paraId="340DD33C" w14:textId="300910F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15%</w:t>
            </w:r>
          </w:p>
        </w:tc>
        <w:tc>
          <w:tcPr>
            <w:tcW w:w="960" w:type="dxa"/>
            <w:tcBorders>
              <w:top w:val="single" w:sz="6" w:space="0" w:color="auto"/>
              <w:left w:val="nil"/>
              <w:bottom w:val="single" w:sz="6" w:space="0" w:color="auto"/>
              <w:right w:val="nil"/>
            </w:tcBorders>
            <w:shd w:val="clear" w:color="auto" w:fill="EDF1F9"/>
            <w:vAlign w:val="center"/>
          </w:tcPr>
          <w:p w14:paraId="5F9BB742" w14:textId="05BB86A9"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21%</w:t>
            </w:r>
          </w:p>
        </w:tc>
      </w:tr>
      <w:tr w:rsidR="3ECF986A" w:rsidRPr="00C64BA4" w14:paraId="3CC0A356" w14:textId="77777777" w:rsidTr="3ECF986A">
        <w:trPr>
          <w:trHeight w:val="270"/>
        </w:trPr>
        <w:tc>
          <w:tcPr>
            <w:tcW w:w="1440" w:type="dxa"/>
            <w:tcBorders>
              <w:top w:val="single" w:sz="6" w:space="0" w:color="auto"/>
              <w:left w:val="nil"/>
              <w:bottom w:val="single" w:sz="6" w:space="0" w:color="auto"/>
              <w:right w:val="nil"/>
            </w:tcBorders>
            <w:shd w:val="clear" w:color="auto" w:fill="E7E6E6"/>
            <w:vAlign w:val="center"/>
          </w:tcPr>
          <w:p w14:paraId="5CF6C265" w14:textId="28446D0D"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Goffstown</w:t>
            </w:r>
          </w:p>
        </w:tc>
        <w:tc>
          <w:tcPr>
            <w:tcW w:w="1455" w:type="dxa"/>
            <w:tcBorders>
              <w:top w:val="single" w:sz="6" w:space="0" w:color="auto"/>
              <w:left w:val="nil"/>
              <w:bottom w:val="single" w:sz="6" w:space="0" w:color="auto"/>
              <w:right w:val="nil"/>
            </w:tcBorders>
            <w:shd w:val="clear" w:color="auto" w:fill="E7E6E6"/>
            <w:vAlign w:val="center"/>
          </w:tcPr>
          <w:p w14:paraId="26278636" w14:textId="4A41971C"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6,290</w:t>
            </w:r>
          </w:p>
        </w:tc>
        <w:tc>
          <w:tcPr>
            <w:tcW w:w="945" w:type="dxa"/>
            <w:tcBorders>
              <w:top w:val="single" w:sz="6" w:space="0" w:color="auto"/>
              <w:left w:val="single" w:sz="6" w:space="0" w:color="auto"/>
              <w:bottom w:val="single" w:sz="6" w:space="0" w:color="auto"/>
              <w:right w:val="nil"/>
            </w:tcBorders>
            <w:shd w:val="clear" w:color="auto" w:fill="FCF8FB"/>
            <w:vAlign w:val="center"/>
          </w:tcPr>
          <w:p w14:paraId="2B9D9FA3" w14:textId="3B236CDB"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23%</w:t>
            </w:r>
          </w:p>
        </w:tc>
        <w:tc>
          <w:tcPr>
            <w:tcW w:w="945" w:type="dxa"/>
            <w:tcBorders>
              <w:top w:val="single" w:sz="6" w:space="0" w:color="auto"/>
              <w:left w:val="nil"/>
              <w:bottom w:val="single" w:sz="6" w:space="0" w:color="auto"/>
              <w:right w:val="nil"/>
            </w:tcBorders>
            <w:shd w:val="clear" w:color="auto" w:fill="F9787A"/>
            <w:vAlign w:val="center"/>
          </w:tcPr>
          <w:p w14:paraId="454B0D8B" w14:textId="3201097C"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41%</w:t>
            </w:r>
          </w:p>
        </w:tc>
        <w:tc>
          <w:tcPr>
            <w:tcW w:w="945" w:type="dxa"/>
            <w:tcBorders>
              <w:top w:val="single" w:sz="6" w:space="0" w:color="auto"/>
              <w:left w:val="nil"/>
              <w:bottom w:val="single" w:sz="6" w:space="0" w:color="auto"/>
              <w:right w:val="nil"/>
            </w:tcBorders>
            <w:shd w:val="clear" w:color="auto" w:fill="A7C0E1"/>
            <w:vAlign w:val="center"/>
          </w:tcPr>
          <w:p w14:paraId="0113DFAE" w14:textId="65B5192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16%</w:t>
            </w:r>
          </w:p>
        </w:tc>
        <w:tc>
          <w:tcPr>
            <w:tcW w:w="960" w:type="dxa"/>
            <w:tcBorders>
              <w:top w:val="single" w:sz="6" w:space="0" w:color="auto"/>
              <w:left w:val="nil"/>
              <w:bottom w:val="single" w:sz="6" w:space="0" w:color="auto"/>
              <w:right w:val="nil"/>
            </w:tcBorders>
            <w:shd w:val="clear" w:color="auto" w:fill="DCE5F3"/>
            <w:vAlign w:val="center"/>
          </w:tcPr>
          <w:p w14:paraId="11FB9310" w14:textId="01801C3B"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20%</w:t>
            </w:r>
          </w:p>
        </w:tc>
      </w:tr>
      <w:tr w:rsidR="3ECF986A" w:rsidRPr="00C64BA4" w14:paraId="165602A3" w14:textId="77777777" w:rsidTr="3ECF986A">
        <w:trPr>
          <w:trHeight w:val="270"/>
        </w:trPr>
        <w:tc>
          <w:tcPr>
            <w:tcW w:w="1440" w:type="dxa"/>
            <w:tcBorders>
              <w:top w:val="single" w:sz="6" w:space="0" w:color="auto"/>
              <w:left w:val="nil"/>
              <w:bottom w:val="single" w:sz="6" w:space="0" w:color="auto"/>
              <w:right w:val="nil"/>
            </w:tcBorders>
            <w:vAlign w:val="center"/>
          </w:tcPr>
          <w:p w14:paraId="147FE28A" w14:textId="15E811A1"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Hooksett</w:t>
            </w:r>
          </w:p>
        </w:tc>
        <w:tc>
          <w:tcPr>
            <w:tcW w:w="1455" w:type="dxa"/>
            <w:tcBorders>
              <w:top w:val="single" w:sz="6" w:space="0" w:color="auto"/>
              <w:left w:val="nil"/>
              <w:bottom w:val="single" w:sz="6" w:space="0" w:color="auto"/>
              <w:right w:val="nil"/>
            </w:tcBorders>
            <w:vAlign w:val="center"/>
          </w:tcPr>
          <w:p w14:paraId="1883C405" w14:textId="75851713"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5,160</w:t>
            </w:r>
          </w:p>
        </w:tc>
        <w:tc>
          <w:tcPr>
            <w:tcW w:w="945" w:type="dxa"/>
            <w:tcBorders>
              <w:top w:val="single" w:sz="6" w:space="0" w:color="auto"/>
              <w:left w:val="single" w:sz="6" w:space="0" w:color="auto"/>
              <w:bottom w:val="single" w:sz="6" w:space="0" w:color="auto"/>
              <w:right w:val="nil"/>
            </w:tcBorders>
            <w:shd w:val="clear" w:color="auto" w:fill="D1DEF0"/>
            <w:vAlign w:val="center"/>
          </w:tcPr>
          <w:p w14:paraId="18C337D2" w14:textId="53F9931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19%</w:t>
            </w:r>
          </w:p>
        </w:tc>
        <w:tc>
          <w:tcPr>
            <w:tcW w:w="945" w:type="dxa"/>
            <w:tcBorders>
              <w:top w:val="single" w:sz="6" w:space="0" w:color="auto"/>
              <w:left w:val="nil"/>
              <w:bottom w:val="single" w:sz="6" w:space="0" w:color="auto"/>
              <w:right w:val="nil"/>
            </w:tcBorders>
            <w:shd w:val="clear" w:color="auto" w:fill="FAA2A5"/>
            <w:vAlign w:val="center"/>
          </w:tcPr>
          <w:p w14:paraId="35BEA3DA" w14:textId="6836C54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35%</w:t>
            </w:r>
          </w:p>
        </w:tc>
        <w:tc>
          <w:tcPr>
            <w:tcW w:w="945" w:type="dxa"/>
            <w:tcBorders>
              <w:top w:val="single" w:sz="6" w:space="0" w:color="auto"/>
              <w:left w:val="nil"/>
              <w:bottom w:val="single" w:sz="6" w:space="0" w:color="auto"/>
              <w:right w:val="nil"/>
            </w:tcBorders>
            <w:shd w:val="clear" w:color="auto" w:fill="FCF8FB"/>
            <w:vAlign w:val="center"/>
          </w:tcPr>
          <w:p w14:paraId="16C7CBC5" w14:textId="0FC29062"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23%</w:t>
            </w:r>
          </w:p>
        </w:tc>
        <w:tc>
          <w:tcPr>
            <w:tcW w:w="960" w:type="dxa"/>
            <w:tcBorders>
              <w:top w:val="single" w:sz="6" w:space="0" w:color="auto"/>
              <w:left w:val="nil"/>
              <w:bottom w:val="single" w:sz="6" w:space="0" w:color="auto"/>
              <w:right w:val="nil"/>
            </w:tcBorders>
            <w:shd w:val="clear" w:color="auto" w:fill="FCF9FC"/>
            <w:vAlign w:val="center"/>
          </w:tcPr>
          <w:p w14:paraId="62C4BB05" w14:textId="3FE8350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23%</w:t>
            </w:r>
          </w:p>
        </w:tc>
      </w:tr>
      <w:tr w:rsidR="3ECF986A" w:rsidRPr="00C64BA4" w14:paraId="7E202DA9" w14:textId="77777777" w:rsidTr="3ECF986A">
        <w:trPr>
          <w:trHeight w:val="270"/>
        </w:trPr>
        <w:tc>
          <w:tcPr>
            <w:tcW w:w="1440" w:type="dxa"/>
            <w:tcBorders>
              <w:top w:val="single" w:sz="6" w:space="0" w:color="auto"/>
              <w:left w:val="nil"/>
              <w:bottom w:val="single" w:sz="6" w:space="0" w:color="auto"/>
              <w:right w:val="nil"/>
            </w:tcBorders>
            <w:shd w:val="clear" w:color="auto" w:fill="E7E6E6"/>
            <w:vAlign w:val="center"/>
          </w:tcPr>
          <w:p w14:paraId="4E9BE783" w14:textId="2A58F3DF"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Londonderry</w:t>
            </w:r>
          </w:p>
        </w:tc>
        <w:tc>
          <w:tcPr>
            <w:tcW w:w="1455" w:type="dxa"/>
            <w:tcBorders>
              <w:top w:val="single" w:sz="6" w:space="0" w:color="auto"/>
              <w:left w:val="nil"/>
              <w:bottom w:val="single" w:sz="6" w:space="0" w:color="auto"/>
              <w:right w:val="nil"/>
            </w:tcBorders>
            <w:shd w:val="clear" w:color="auto" w:fill="E7E6E6"/>
            <w:vAlign w:val="center"/>
          </w:tcPr>
          <w:p w14:paraId="5463B08D" w14:textId="03C43319"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9,570</w:t>
            </w:r>
          </w:p>
        </w:tc>
        <w:tc>
          <w:tcPr>
            <w:tcW w:w="945" w:type="dxa"/>
            <w:tcBorders>
              <w:top w:val="single" w:sz="6" w:space="0" w:color="auto"/>
              <w:left w:val="single" w:sz="6" w:space="0" w:color="auto"/>
              <w:bottom w:val="single" w:sz="6" w:space="0" w:color="auto"/>
              <w:right w:val="nil"/>
            </w:tcBorders>
            <w:shd w:val="clear" w:color="auto" w:fill="C4D4EB"/>
            <w:vAlign w:val="center"/>
          </w:tcPr>
          <w:p w14:paraId="754EE1CF" w14:textId="26361B83"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18%</w:t>
            </w:r>
          </w:p>
        </w:tc>
        <w:tc>
          <w:tcPr>
            <w:tcW w:w="945" w:type="dxa"/>
            <w:tcBorders>
              <w:top w:val="single" w:sz="6" w:space="0" w:color="auto"/>
              <w:left w:val="nil"/>
              <w:bottom w:val="single" w:sz="6" w:space="0" w:color="auto"/>
              <w:right w:val="nil"/>
            </w:tcBorders>
            <w:shd w:val="clear" w:color="auto" w:fill="FAA9AB"/>
            <w:vAlign w:val="center"/>
          </w:tcPr>
          <w:p w14:paraId="12E92EB6" w14:textId="783CCB6F"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34%</w:t>
            </w:r>
          </w:p>
        </w:tc>
        <w:tc>
          <w:tcPr>
            <w:tcW w:w="945" w:type="dxa"/>
            <w:tcBorders>
              <w:top w:val="single" w:sz="6" w:space="0" w:color="auto"/>
              <w:left w:val="nil"/>
              <w:bottom w:val="single" w:sz="6" w:space="0" w:color="auto"/>
              <w:right w:val="nil"/>
            </w:tcBorders>
            <w:shd w:val="clear" w:color="auto" w:fill="D5E0F1"/>
            <w:vAlign w:val="center"/>
          </w:tcPr>
          <w:p w14:paraId="00CC575E" w14:textId="7CF25B6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19%</w:t>
            </w:r>
          </w:p>
        </w:tc>
        <w:tc>
          <w:tcPr>
            <w:tcW w:w="960" w:type="dxa"/>
            <w:tcBorders>
              <w:top w:val="single" w:sz="6" w:space="0" w:color="auto"/>
              <w:left w:val="nil"/>
              <w:bottom w:val="single" w:sz="6" w:space="0" w:color="auto"/>
              <w:right w:val="nil"/>
            </w:tcBorders>
            <w:shd w:val="clear" w:color="auto" w:fill="FBD3D6"/>
            <w:vAlign w:val="center"/>
          </w:tcPr>
          <w:p w14:paraId="0103B57F" w14:textId="2980F72C"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28%</w:t>
            </w:r>
          </w:p>
        </w:tc>
      </w:tr>
      <w:tr w:rsidR="3ECF986A" w:rsidRPr="00C64BA4" w14:paraId="1BC3BFE8" w14:textId="77777777" w:rsidTr="3ECF986A">
        <w:trPr>
          <w:trHeight w:val="270"/>
        </w:trPr>
        <w:tc>
          <w:tcPr>
            <w:tcW w:w="1440" w:type="dxa"/>
            <w:tcBorders>
              <w:top w:val="single" w:sz="6" w:space="0" w:color="auto"/>
              <w:left w:val="nil"/>
              <w:bottom w:val="single" w:sz="6" w:space="0" w:color="auto"/>
              <w:right w:val="nil"/>
            </w:tcBorders>
            <w:vAlign w:val="center"/>
          </w:tcPr>
          <w:p w14:paraId="4D6300B8" w14:textId="5CB2081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Manchester</w:t>
            </w:r>
          </w:p>
        </w:tc>
        <w:tc>
          <w:tcPr>
            <w:tcW w:w="1455" w:type="dxa"/>
            <w:tcBorders>
              <w:top w:val="single" w:sz="6" w:space="0" w:color="auto"/>
              <w:left w:val="nil"/>
              <w:bottom w:val="single" w:sz="6" w:space="0" w:color="auto"/>
              <w:right w:val="nil"/>
            </w:tcBorders>
            <w:vAlign w:val="center"/>
          </w:tcPr>
          <w:p w14:paraId="1CBAA505" w14:textId="2C12434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47,240</w:t>
            </w:r>
          </w:p>
        </w:tc>
        <w:tc>
          <w:tcPr>
            <w:tcW w:w="945" w:type="dxa"/>
            <w:tcBorders>
              <w:top w:val="single" w:sz="6" w:space="0" w:color="auto"/>
              <w:left w:val="single" w:sz="6" w:space="0" w:color="auto"/>
              <w:bottom w:val="single" w:sz="6" w:space="0" w:color="auto"/>
              <w:right w:val="nil"/>
            </w:tcBorders>
            <w:shd w:val="clear" w:color="auto" w:fill="FAACAE"/>
            <w:vAlign w:val="center"/>
          </w:tcPr>
          <w:p w14:paraId="08600134" w14:textId="1CB13B27"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34%</w:t>
            </w:r>
          </w:p>
        </w:tc>
        <w:tc>
          <w:tcPr>
            <w:tcW w:w="945" w:type="dxa"/>
            <w:tcBorders>
              <w:top w:val="single" w:sz="6" w:space="0" w:color="auto"/>
              <w:left w:val="nil"/>
              <w:bottom w:val="single" w:sz="6" w:space="0" w:color="auto"/>
              <w:right w:val="nil"/>
            </w:tcBorders>
            <w:shd w:val="clear" w:color="auto" w:fill="FAADAF"/>
            <w:vAlign w:val="center"/>
          </w:tcPr>
          <w:p w14:paraId="3840005B" w14:textId="7755A040"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34%</w:t>
            </w:r>
          </w:p>
        </w:tc>
        <w:tc>
          <w:tcPr>
            <w:tcW w:w="945" w:type="dxa"/>
            <w:tcBorders>
              <w:top w:val="single" w:sz="6" w:space="0" w:color="auto"/>
              <w:left w:val="nil"/>
              <w:bottom w:val="single" w:sz="6" w:space="0" w:color="auto"/>
              <w:right w:val="nil"/>
            </w:tcBorders>
            <w:shd w:val="clear" w:color="auto" w:fill="A5BEE0"/>
            <w:vAlign w:val="center"/>
          </w:tcPr>
          <w:p w14:paraId="702681F3" w14:textId="5CE5FE07"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16%</w:t>
            </w:r>
          </w:p>
        </w:tc>
        <w:tc>
          <w:tcPr>
            <w:tcW w:w="960" w:type="dxa"/>
            <w:tcBorders>
              <w:top w:val="single" w:sz="6" w:space="0" w:color="auto"/>
              <w:left w:val="nil"/>
              <w:bottom w:val="single" w:sz="6" w:space="0" w:color="auto"/>
              <w:right w:val="nil"/>
            </w:tcBorders>
            <w:shd w:val="clear" w:color="auto" w:fill="B1C7E4"/>
            <w:vAlign w:val="center"/>
          </w:tcPr>
          <w:p w14:paraId="789A9F2C" w14:textId="18E94613"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17%</w:t>
            </w:r>
          </w:p>
        </w:tc>
      </w:tr>
      <w:tr w:rsidR="3ECF986A" w:rsidRPr="00C64BA4" w14:paraId="0F89A4D5" w14:textId="77777777" w:rsidTr="3ECF986A">
        <w:trPr>
          <w:trHeight w:val="270"/>
        </w:trPr>
        <w:tc>
          <w:tcPr>
            <w:tcW w:w="1440" w:type="dxa"/>
            <w:tcBorders>
              <w:top w:val="single" w:sz="6" w:space="0" w:color="auto"/>
              <w:left w:val="nil"/>
              <w:bottom w:val="single" w:sz="6" w:space="0" w:color="auto"/>
              <w:right w:val="nil"/>
            </w:tcBorders>
            <w:shd w:val="clear" w:color="auto" w:fill="E7E6E6"/>
            <w:vAlign w:val="center"/>
          </w:tcPr>
          <w:p w14:paraId="3FCFA799" w14:textId="3B37F28C"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New Boston</w:t>
            </w:r>
          </w:p>
        </w:tc>
        <w:tc>
          <w:tcPr>
            <w:tcW w:w="1455" w:type="dxa"/>
            <w:tcBorders>
              <w:top w:val="single" w:sz="6" w:space="0" w:color="auto"/>
              <w:left w:val="nil"/>
              <w:bottom w:val="single" w:sz="6" w:space="0" w:color="auto"/>
              <w:right w:val="nil"/>
            </w:tcBorders>
            <w:shd w:val="clear" w:color="auto" w:fill="E7E6E6"/>
            <w:vAlign w:val="center"/>
          </w:tcPr>
          <w:p w14:paraId="462CEA06" w14:textId="2D7E4AA7"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2,120</w:t>
            </w:r>
          </w:p>
        </w:tc>
        <w:tc>
          <w:tcPr>
            <w:tcW w:w="945" w:type="dxa"/>
            <w:tcBorders>
              <w:top w:val="single" w:sz="6" w:space="0" w:color="auto"/>
              <w:left w:val="single" w:sz="6" w:space="0" w:color="auto"/>
              <w:bottom w:val="single" w:sz="6" w:space="0" w:color="auto"/>
              <w:right w:val="nil"/>
            </w:tcBorders>
            <w:shd w:val="clear" w:color="auto" w:fill="729BCE"/>
            <w:vAlign w:val="center"/>
          </w:tcPr>
          <w:p w14:paraId="55CBDD39" w14:textId="029A5D6F"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12%</w:t>
            </w:r>
          </w:p>
        </w:tc>
        <w:tc>
          <w:tcPr>
            <w:tcW w:w="945" w:type="dxa"/>
            <w:tcBorders>
              <w:top w:val="single" w:sz="6" w:space="0" w:color="auto"/>
              <w:left w:val="nil"/>
              <w:bottom w:val="single" w:sz="6" w:space="0" w:color="auto"/>
              <w:right w:val="nil"/>
            </w:tcBorders>
            <w:shd w:val="clear" w:color="auto" w:fill="F96C6E"/>
            <w:vAlign w:val="center"/>
          </w:tcPr>
          <w:p w14:paraId="354A5D4D" w14:textId="05BD594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43%</w:t>
            </w:r>
          </w:p>
        </w:tc>
        <w:tc>
          <w:tcPr>
            <w:tcW w:w="945" w:type="dxa"/>
            <w:tcBorders>
              <w:top w:val="single" w:sz="6" w:space="0" w:color="auto"/>
              <w:left w:val="nil"/>
              <w:bottom w:val="single" w:sz="6" w:space="0" w:color="auto"/>
              <w:right w:val="nil"/>
            </w:tcBorders>
            <w:shd w:val="clear" w:color="auto" w:fill="719ACE"/>
            <w:vAlign w:val="center"/>
          </w:tcPr>
          <w:p w14:paraId="784ECCB2" w14:textId="039A959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12%</w:t>
            </w:r>
          </w:p>
        </w:tc>
        <w:tc>
          <w:tcPr>
            <w:tcW w:w="960" w:type="dxa"/>
            <w:tcBorders>
              <w:top w:val="single" w:sz="6" w:space="0" w:color="auto"/>
              <w:left w:val="nil"/>
              <w:bottom w:val="single" w:sz="6" w:space="0" w:color="auto"/>
              <w:right w:val="nil"/>
            </w:tcBorders>
            <w:shd w:val="clear" w:color="auto" w:fill="FAB2B4"/>
            <w:vAlign w:val="center"/>
          </w:tcPr>
          <w:p w14:paraId="71663A18" w14:textId="537557BB"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33%</w:t>
            </w:r>
          </w:p>
        </w:tc>
      </w:tr>
      <w:tr w:rsidR="3ECF986A" w:rsidRPr="00C64BA4" w14:paraId="2B25007F" w14:textId="77777777" w:rsidTr="3ECF986A">
        <w:trPr>
          <w:trHeight w:val="270"/>
        </w:trPr>
        <w:tc>
          <w:tcPr>
            <w:tcW w:w="1440" w:type="dxa"/>
            <w:tcBorders>
              <w:top w:val="single" w:sz="6" w:space="0" w:color="auto"/>
              <w:left w:val="nil"/>
              <w:bottom w:val="single" w:sz="6" w:space="0" w:color="auto"/>
              <w:right w:val="nil"/>
            </w:tcBorders>
            <w:vAlign w:val="center"/>
          </w:tcPr>
          <w:p w14:paraId="0CC5CB65" w14:textId="094ADC2E" w:rsidR="3ECF986A" w:rsidRPr="00C64BA4" w:rsidRDefault="3ECF986A" w:rsidP="00206C45">
            <w:pPr>
              <w:spacing w:after="0" w:line="300" w:lineRule="auto"/>
              <w:jc w:val="center"/>
              <w:rPr>
                <w:rFonts w:eastAsia="Tw Cen MT" w:cs="Tw Cen MT"/>
                <w:color w:val="000000" w:themeColor="text1"/>
              </w:rPr>
            </w:pPr>
            <w:proofErr w:type="spellStart"/>
            <w:r w:rsidRPr="00C64BA4">
              <w:rPr>
                <w:rFonts w:eastAsia="Tw Cen MT" w:cs="Tw Cen MT"/>
                <w:color w:val="000000" w:themeColor="text1"/>
              </w:rPr>
              <w:t>Weare</w:t>
            </w:r>
            <w:proofErr w:type="spellEnd"/>
          </w:p>
        </w:tc>
        <w:tc>
          <w:tcPr>
            <w:tcW w:w="1455" w:type="dxa"/>
            <w:tcBorders>
              <w:top w:val="single" w:sz="6" w:space="0" w:color="auto"/>
              <w:left w:val="nil"/>
              <w:bottom w:val="single" w:sz="6" w:space="0" w:color="auto"/>
              <w:right w:val="nil"/>
            </w:tcBorders>
            <w:vAlign w:val="center"/>
          </w:tcPr>
          <w:p w14:paraId="34D72C33" w14:textId="4E9BBBD5"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3,280</w:t>
            </w:r>
          </w:p>
        </w:tc>
        <w:tc>
          <w:tcPr>
            <w:tcW w:w="945" w:type="dxa"/>
            <w:tcBorders>
              <w:top w:val="single" w:sz="6" w:space="0" w:color="auto"/>
              <w:left w:val="single" w:sz="6" w:space="0" w:color="auto"/>
              <w:bottom w:val="single" w:sz="6" w:space="0" w:color="auto"/>
              <w:right w:val="nil"/>
            </w:tcBorders>
            <w:shd w:val="clear" w:color="auto" w:fill="B8CCE7"/>
            <w:vAlign w:val="center"/>
          </w:tcPr>
          <w:p w14:paraId="5989E89A" w14:textId="0906814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17%</w:t>
            </w:r>
          </w:p>
        </w:tc>
        <w:tc>
          <w:tcPr>
            <w:tcW w:w="945" w:type="dxa"/>
            <w:tcBorders>
              <w:top w:val="single" w:sz="6" w:space="0" w:color="auto"/>
              <w:left w:val="nil"/>
              <w:bottom w:val="single" w:sz="6" w:space="0" w:color="auto"/>
              <w:right w:val="nil"/>
            </w:tcBorders>
            <w:shd w:val="clear" w:color="auto" w:fill="F98284"/>
            <w:vAlign w:val="center"/>
          </w:tcPr>
          <w:p w14:paraId="2B2C3CD9" w14:textId="492E0285"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40%</w:t>
            </w:r>
          </w:p>
        </w:tc>
        <w:tc>
          <w:tcPr>
            <w:tcW w:w="945" w:type="dxa"/>
            <w:tcBorders>
              <w:top w:val="single" w:sz="6" w:space="0" w:color="auto"/>
              <w:left w:val="nil"/>
              <w:bottom w:val="single" w:sz="6" w:space="0" w:color="auto"/>
              <w:right w:val="nil"/>
            </w:tcBorders>
            <w:shd w:val="clear" w:color="auto" w:fill="A4BEE0"/>
            <w:vAlign w:val="center"/>
          </w:tcPr>
          <w:p w14:paraId="482B9B1F" w14:textId="31F2D68D"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16%</w:t>
            </w:r>
          </w:p>
        </w:tc>
        <w:tc>
          <w:tcPr>
            <w:tcW w:w="960" w:type="dxa"/>
            <w:tcBorders>
              <w:top w:val="single" w:sz="6" w:space="0" w:color="auto"/>
              <w:left w:val="nil"/>
              <w:bottom w:val="single" w:sz="6" w:space="0" w:color="auto"/>
              <w:right w:val="nil"/>
            </w:tcBorders>
            <w:shd w:val="clear" w:color="auto" w:fill="FCDBDD"/>
            <w:vAlign w:val="center"/>
          </w:tcPr>
          <w:p w14:paraId="3283DA19" w14:textId="57229C30"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27%</w:t>
            </w:r>
          </w:p>
        </w:tc>
      </w:tr>
      <w:tr w:rsidR="3ECF986A" w:rsidRPr="00C64BA4" w14:paraId="0833DE5A" w14:textId="77777777" w:rsidTr="3ECF986A">
        <w:trPr>
          <w:trHeight w:val="285"/>
        </w:trPr>
        <w:tc>
          <w:tcPr>
            <w:tcW w:w="1440" w:type="dxa"/>
            <w:tcBorders>
              <w:top w:val="single" w:sz="6" w:space="0" w:color="auto"/>
              <w:left w:val="nil"/>
              <w:bottom w:val="single" w:sz="12" w:space="0" w:color="404040" w:themeColor="text1" w:themeTint="BF"/>
              <w:right w:val="nil"/>
            </w:tcBorders>
            <w:shd w:val="clear" w:color="auto" w:fill="E7E6E6"/>
            <w:vAlign w:val="center"/>
          </w:tcPr>
          <w:p w14:paraId="69B8CFA8" w14:textId="021BCB5C"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Windham</w:t>
            </w:r>
          </w:p>
        </w:tc>
        <w:tc>
          <w:tcPr>
            <w:tcW w:w="1455" w:type="dxa"/>
            <w:tcBorders>
              <w:top w:val="single" w:sz="6" w:space="0" w:color="auto"/>
              <w:left w:val="nil"/>
              <w:bottom w:val="single" w:sz="12" w:space="0" w:color="404040" w:themeColor="text1" w:themeTint="BF"/>
              <w:right w:val="nil"/>
            </w:tcBorders>
            <w:shd w:val="clear" w:color="auto" w:fill="E7E6E6"/>
            <w:vAlign w:val="center"/>
          </w:tcPr>
          <w:p w14:paraId="41BDDB6D" w14:textId="0568B4F6"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5,020</w:t>
            </w:r>
          </w:p>
        </w:tc>
        <w:tc>
          <w:tcPr>
            <w:tcW w:w="945" w:type="dxa"/>
            <w:tcBorders>
              <w:top w:val="single" w:sz="6" w:space="0" w:color="auto"/>
              <w:left w:val="single" w:sz="6" w:space="0" w:color="auto"/>
              <w:bottom w:val="single" w:sz="12" w:space="0" w:color="404040" w:themeColor="text1" w:themeTint="BF"/>
              <w:right w:val="nil"/>
            </w:tcBorders>
            <w:shd w:val="clear" w:color="auto" w:fill="80A5D3"/>
            <w:vAlign w:val="center"/>
          </w:tcPr>
          <w:p w14:paraId="7090A583" w14:textId="529FA492"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13%</w:t>
            </w:r>
          </w:p>
        </w:tc>
        <w:tc>
          <w:tcPr>
            <w:tcW w:w="945" w:type="dxa"/>
            <w:tcBorders>
              <w:top w:val="single" w:sz="6" w:space="0" w:color="auto"/>
              <w:left w:val="nil"/>
              <w:bottom w:val="single" w:sz="12" w:space="0" w:color="404040" w:themeColor="text1" w:themeTint="BF"/>
              <w:right w:val="nil"/>
            </w:tcBorders>
            <w:shd w:val="clear" w:color="auto" w:fill="FBC0C3"/>
            <w:vAlign w:val="center"/>
          </w:tcPr>
          <w:p w14:paraId="3BE34262" w14:textId="3D693696"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31%</w:t>
            </w:r>
          </w:p>
        </w:tc>
        <w:tc>
          <w:tcPr>
            <w:tcW w:w="945" w:type="dxa"/>
            <w:tcBorders>
              <w:top w:val="single" w:sz="6" w:space="0" w:color="auto"/>
              <w:left w:val="nil"/>
              <w:bottom w:val="single" w:sz="12" w:space="0" w:color="404040" w:themeColor="text1" w:themeTint="BF"/>
              <w:right w:val="nil"/>
            </w:tcBorders>
            <w:shd w:val="clear" w:color="auto" w:fill="D6E1F1"/>
            <w:vAlign w:val="center"/>
          </w:tcPr>
          <w:p w14:paraId="19930FF5" w14:textId="53F5621C"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20%</w:t>
            </w:r>
          </w:p>
        </w:tc>
        <w:tc>
          <w:tcPr>
            <w:tcW w:w="960" w:type="dxa"/>
            <w:tcBorders>
              <w:top w:val="single" w:sz="6" w:space="0" w:color="auto"/>
              <w:left w:val="nil"/>
              <w:bottom w:val="single" w:sz="12" w:space="0" w:color="404040" w:themeColor="text1" w:themeTint="BF"/>
              <w:right w:val="nil"/>
            </w:tcBorders>
            <w:shd w:val="clear" w:color="auto" w:fill="FA999B"/>
            <w:vAlign w:val="center"/>
          </w:tcPr>
          <w:p w14:paraId="3FFF0E70" w14:textId="6B640B63"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37%</w:t>
            </w:r>
          </w:p>
        </w:tc>
      </w:tr>
      <w:tr w:rsidR="3ECF986A" w:rsidRPr="00C64BA4" w14:paraId="22AC0604" w14:textId="77777777" w:rsidTr="3ECF986A">
        <w:trPr>
          <w:trHeight w:val="285"/>
        </w:trPr>
        <w:tc>
          <w:tcPr>
            <w:tcW w:w="1440" w:type="dxa"/>
            <w:tcBorders>
              <w:top w:val="single" w:sz="12" w:space="0" w:color="404040" w:themeColor="text1" w:themeTint="BF"/>
              <w:left w:val="nil"/>
              <w:bottom w:val="single" w:sz="12" w:space="0" w:color="404040" w:themeColor="text1" w:themeTint="BF"/>
              <w:right w:val="nil"/>
            </w:tcBorders>
            <w:vAlign w:val="center"/>
          </w:tcPr>
          <w:p w14:paraId="6C3E9545" w14:textId="242408BB"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SNHPC</w:t>
            </w:r>
          </w:p>
        </w:tc>
        <w:tc>
          <w:tcPr>
            <w:tcW w:w="1455" w:type="dxa"/>
            <w:tcBorders>
              <w:top w:val="single" w:sz="12" w:space="0" w:color="404040" w:themeColor="text1" w:themeTint="BF"/>
              <w:left w:val="nil"/>
              <w:bottom w:val="single" w:sz="12" w:space="0" w:color="404040" w:themeColor="text1" w:themeTint="BF"/>
              <w:right w:val="nil"/>
            </w:tcBorders>
            <w:vAlign w:val="center"/>
          </w:tcPr>
          <w:p w14:paraId="0AE28178" w14:textId="70EB0684"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106,710</w:t>
            </w:r>
          </w:p>
        </w:tc>
        <w:tc>
          <w:tcPr>
            <w:tcW w:w="945" w:type="dxa"/>
            <w:tcBorders>
              <w:top w:val="single" w:sz="12" w:space="0" w:color="404040" w:themeColor="text1" w:themeTint="BF"/>
              <w:left w:val="single" w:sz="6" w:space="0" w:color="auto"/>
              <w:bottom w:val="single" w:sz="12" w:space="0" w:color="404040" w:themeColor="text1" w:themeTint="BF"/>
              <w:right w:val="nil"/>
            </w:tcBorders>
            <w:shd w:val="clear" w:color="auto" w:fill="FCE8EB"/>
            <w:vAlign w:val="center"/>
          </w:tcPr>
          <w:p w14:paraId="3DBBB2A0" w14:textId="0BABAAE0"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25%</w:t>
            </w:r>
          </w:p>
        </w:tc>
        <w:tc>
          <w:tcPr>
            <w:tcW w:w="945" w:type="dxa"/>
            <w:tcBorders>
              <w:top w:val="single" w:sz="12" w:space="0" w:color="404040" w:themeColor="text1" w:themeTint="BF"/>
              <w:left w:val="nil"/>
              <w:bottom w:val="single" w:sz="12" w:space="0" w:color="404040" w:themeColor="text1" w:themeTint="BF"/>
              <w:right w:val="nil"/>
            </w:tcBorders>
            <w:shd w:val="clear" w:color="auto" w:fill="FAA2A4"/>
            <w:vAlign w:val="center"/>
          </w:tcPr>
          <w:p w14:paraId="1C158489" w14:textId="382087D4"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35%</w:t>
            </w:r>
          </w:p>
        </w:tc>
        <w:tc>
          <w:tcPr>
            <w:tcW w:w="945" w:type="dxa"/>
            <w:tcBorders>
              <w:top w:val="single" w:sz="12" w:space="0" w:color="404040" w:themeColor="text1" w:themeTint="BF"/>
              <w:left w:val="nil"/>
              <w:bottom w:val="single" w:sz="12" w:space="0" w:color="404040" w:themeColor="text1" w:themeTint="BF"/>
              <w:right w:val="nil"/>
            </w:tcBorders>
            <w:shd w:val="clear" w:color="auto" w:fill="BBCEE8"/>
            <w:vAlign w:val="center"/>
          </w:tcPr>
          <w:p w14:paraId="4F255686" w14:textId="51BFDA27"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18%</w:t>
            </w:r>
          </w:p>
        </w:tc>
        <w:tc>
          <w:tcPr>
            <w:tcW w:w="960" w:type="dxa"/>
            <w:tcBorders>
              <w:top w:val="single" w:sz="12" w:space="0" w:color="404040" w:themeColor="text1" w:themeTint="BF"/>
              <w:left w:val="nil"/>
              <w:bottom w:val="single" w:sz="12" w:space="0" w:color="404040" w:themeColor="text1" w:themeTint="BF"/>
              <w:right w:val="nil"/>
            </w:tcBorders>
            <w:shd w:val="clear" w:color="auto" w:fill="FAFAFE"/>
            <w:vAlign w:val="center"/>
          </w:tcPr>
          <w:p w14:paraId="7CEE4CDA" w14:textId="5641CF27"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22%</w:t>
            </w:r>
          </w:p>
        </w:tc>
      </w:tr>
      <w:tr w:rsidR="3ECF986A" w:rsidRPr="00C64BA4" w14:paraId="65DE0B9E" w14:textId="77777777" w:rsidTr="3ECF986A">
        <w:trPr>
          <w:trHeight w:val="270"/>
        </w:trPr>
        <w:tc>
          <w:tcPr>
            <w:tcW w:w="1440" w:type="dxa"/>
            <w:tcBorders>
              <w:top w:val="single" w:sz="12" w:space="0" w:color="404040" w:themeColor="text1" w:themeTint="BF"/>
              <w:left w:val="nil"/>
              <w:bottom w:val="nil"/>
              <w:right w:val="nil"/>
            </w:tcBorders>
            <w:shd w:val="clear" w:color="auto" w:fill="E7E6E6"/>
            <w:vAlign w:val="center"/>
          </w:tcPr>
          <w:p w14:paraId="6DBF936B" w14:textId="02B5EBD4"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NH</w:t>
            </w:r>
          </w:p>
        </w:tc>
        <w:tc>
          <w:tcPr>
            <w:tcW w:w="1455" w:type="dxa"/>
            <w:tcBorders>
              <w:top w:val="single" w:sz="12" w:space="0" w:color="404040" w:themeColor="text1" w:themeTint="BF"/>
              <w:left w:val="nil"/>
              <w:bottom w:val="nil"/>
              <w:right w:val="nil"/>
            </w:tcBorders>
            <w:shd w:val="clear" w:color="auto" w:fill="E7E6E6"/>
            <w:vAlign w:val="center"/>
          </w:tcPr>
          <w:p w14:paraId="7A28209F" w14:textId="0469CAAA"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539,120</w:t>
            </w:r>
          </w:p>
        </w:tc>
        <w:tc>
          <w:tcPr>
            <w:tcW w:w="945" w:type="dxa"/>
            <w:tcBorders>
              <w:top w:val="single" w:sz="12" w:space="0" w:color="404040" w:themeColor="text1" w:themeTint="BF"/>
              <w:left w:val="single" w:sz="6" w:space="0" w:color="auto"/>
              <w:bottom w:val="nil"/>
              <w:right w:val="nil"/>
            </w:tcBorders>
            <w:shd w:val="clear" w:color="auto" w:fill="FCDEE1"/>
            <w:vAlign w:val="center"/>
          </w:tcPr>
          <w:p w14:paraId="5F03FAAA" w14:textId="53538B59"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27%</w:t>
            </w:r>
          </w:p>
        </w:tc>
        <w:tc>
          <w:tcPr>
            <w:tcW w:w="945" w:type="dxa"/>
            <w:tcBorders>
              <w:top w:val="single" w:sz="12" w:space="0" w:color="404040" w:themeColor="text1" w:themeTint="BF"/>
              <w:left w:val="nil"/>
              <w:bottom w:val="nil"/>
              <w:right w:val="nil"/>
            </w:tcBorders>
            <w:shd w:val="clear" w:color="auto" w:fill="F98C8E"/>
            <w:vAlign w:val="center"/>
          </w:tcPr>
          <w:p w14:paraId="338BD8A1" w14:textId="5F2506C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38%</w:t>
            </w:r>
          </w:p>
        </w:tc>
        <w:tc>
          <w:tcPr>
            <w:tcW w:w="945" w:type="dxa"/>
            <w:tcBorders>
              <w:top w:val="single" w:sz="12" w:space="0" w:color="404040" w:themeColor="text1" w:themeTint="BF"/>
              <w:left w:val="nil"/>
              <w:bottom w:val="nil"/>
              <w:right w:val="nil"/>
            </w:tcBorders>
            <w:shd w:val="clear" w:color="auto" w:fill="9CB9DD"/>
            <w:vAlign w:val="center"/>
          </w:tcPr>
          <w:p w14:paraId="78323EE6" w14:textId="4F458318"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15%</w:t>
            </w:r>
          </w:p>
        </w:tc>
        <w:tc>
          <w:tcPr>
            <w:tcW w:w="960" w:type="dxa"/>
            <w:tcBorders>
              <w:top w:val="single" w:sz="12" w:space="0" w:color="404040" w:themeColor="text1" w:themeTint="BF"/>
              <w:left w:val="nil"/>
              <w:bottom w:val="nil"/>
              <w:right w:val="nil"/>
            </w:tcBorders>
            <w:shd w:val="clear" w:color="auto" w:fill="D9E3F2"/>
            <w:vAlign w:val="center"/>
          </w:tcPr>
          <w:p w14:paraId="64D805B5" w14:textId="2219723C" w:rsidR="3ECF986A" w:rsidRPr="00C64BA4" w:rsidRDefault="3ECF986A" w:rsidP="00206C45">
            <w:pPr>
              <w:spacing w:after="0" w:line="300" w:lineRule="auto"/>
              <w:jc w:val="center"/>
              <w:rPr>
                <w:rFonts w:eastAsia="Tw Cen MT" w:cs="Tw Cen MT"/>
                <w:color w:val="000000" w:themeColor="text1"/>
              </w:rPr>
            </w:pPr>
            <w:r w:rsidRPr="00C64BA4">
              <w:rPr>
                <w:rFonts w:eastAsia="Tw Cen MT" w:cs="Tw Cen MT"/>
                <w:color w:val="000000" w:themeColor="text1"/>
              </w:rPr>
              <w:t>20%</w:t>
            </w:r>
          </w:p>
        </w:tc>
      </w:tr>
      <w:tr w:rsidR="3ECF986A" w:rsidRPr="00C64BA4" w14:paraId="45BC8F06" w14:textId="77777777" w:rsidTr="3ECF986A">
        <w:trPr>
          <w:trHeight w:val="75"/>
        </w:trPr>
        <w:tc>
          <w:tcPr>
            <w:tcW w:w="6690" w:type="dxa"/>
            <w:gridSpan w:val="6"/>
            <w:tcBorders>
              <w:top w:val="nil"/>
              <w:left w:val="nil"/>
              <w:bottom w:val="nil"/>
              <w:right w:val="nil"/>
            </w:tcBorders>
            <w:vAlign w:val="center"/>
          </w:tcPr>
          <w:p w14:paraId="49A5FA9A" w14:textId="156556DC" w:rsidR="3ECF986A" w:rsidRPr="00C64BA4" w:rsidRDefault="3ECF986A" w:rsidP="00206C45">
            <w:pPr>
              <w:spacing w:after="0"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5-Year American Community Survey</w:t>
            </w:r>
          </w:p>
        </w:tc>
      </w:tr>
      <w:tr w:rsidR="3ECF986A" w:rsidRPr="00C64BA4" w14:paraId="3717EC2F" w14:textId="77777777" w:rsidTr="3ECF986A">
        <w:trPr>
          <w:trHeight w:val="75"/>
        </w:trPr>
        <w:tc>
          <w:tcPr>
            <w:tcW w:w="6690" w:type="dxa"/>
            <w:gridSpan w:val="6"/>
            <w:tcBorders>
              <w:top w:val="nil"/>
              <w:left w:val="nil"/>
              <w:bottom w:val="nil"/>
              <w:right w:val="nil"/>
            </w:tcBorders>
            <w:vAlign w:val="center"/>
          </w:tcPr>
          <w:p w14:paraId="5C74DF6E" w14:textId="7572623B" w:rsidR="3ECF986A" w:rsidRPr="00C64BA4" w:rsidRDefault="3ECF986A" w:rsidP="00206C45">
            <w:pPr>
              <w:spacing w:after="0"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US Census Bureau</w:t>
            </w:r>
          </w:p>
        </w:tc>
      </w:tr>
    </w:tbl>
    <w:p w14:paraId="625520C6" w14:textId="77777777" w:rsidR="00EF64A3" w:rsidRPr="00C64BA4" w:rsidRDefault="00EF64A3" w:rsidP="00206C45">
      <w:pPr>
        <w:spacing w:line="300" w:lineRule="auto"/>
        <w:rPr>
          <w:lang w:val="en"/>
        </w:rPr>
      </w:pPr>
    </w:p>
    <w:p w14:paraId="2B0F51E1" w14:textId="458C7784" w:rsidR="754A69A3" w:rsidRDefault="754A69A3" w:rsidP="00206C45">
      <w:pPr>
        <w:spacing w:line="300" w:lineRule="auto"/>
        <w:rPr>
          <w:lang w:val="en"/>
        </w:rPr>
      </w:pPr>
      <w:r w:rsidRPr="00C64BA4">
        <w:rPr>
          <w:lang w:val="en"/>
        </w:rPr>
        <w:t xml:space="preserve">In 2020, </w:t>
      </w:r>
      <w:proofErr w:type="gramStart"/>
      <w:r w:rsidRPr="00C64BA4">
        <w:rPr>
          <w:lang w:val="en"/>
        </w:rPr>
        <w:t>t</w:t>
      </w:r>
      <w:r w:rsidR="29698F00" w:rsidRPr="00C64BA4">
        <w:rPr>
          <w:lang w:val="en"/>
        </w:rPr>
        <w:t>he majority of</w:t>
      </w:r>
      <w:proofErr w:type="gramEnd"/>
      <w:r w:rsidR="29698F00" w:rsidRPr="00C64BA4">
        <w:rPr>
          <w:lang w:val="en"/>
        </w:rPr>
        <w:t xml:space="preserve"> housing units in the SNHPC region </w:t>
      </w:r>
      <w:r w:rsidR="2B4F8498" w:rsidRPr="00C64BA4">
        <w:rPr>
          <w:lang w:val="en"/>
        </w:rPr>
        <w:t>were</w:t>
      </w:r>
      <w:r w:rsidR="29698F00" w:rsidRPr="00C64BA4">
        <w:rPr>
          <w:lang w:val="en"/>
        </w:rPr>
        <w:t xml:space="preserve"> owner-occupied (6</w:t>
      </w:r>
      <w:r w:rsidR="3511A888" w:rsidRPr="00C64BA4">
        <w:rPr>
          <w:lang w:val="en"/>
        </w:rPr>
        <w:t>2</w:t>
      </w:r>
      <w:r w:rsidR="29698F00" w:rsidRPr="00C64BA4">
        <w:rPr>
          <w:lang w:val="en"/>
        </w:rPr>
        <w:t>%).</w:t>
      </w:r>
      <w:r w:rsidR="198BD41B" w:rsidRPr="00C64BA4">
        <w:rPr>
          <w:lang w:val="en"/>
        </w:rPr>
        <w:t xml:space="preserve"> </w:t>
      </w:r>
      <w:r w:rsidR="1B6B92A3" w:rsidRPr="00C64BA4">
        <w:rPr>
          <w:lang w:val="en"/>
        </w:rPr>
        <w:t>Candia and Chester ha</w:t>
      </w:r>
      <w:r w:rsidR="43EF214A" w:rsidRPr="00C64BA4">
        <w:rPr>
          <w:lang w:val="en"/>
        </w:rPr>
        <w:t>d</w:t>
      </w:r>
      <w:r w:rsidR="1B6B92A3" w:rsidRPr="00C64BA4">
        <w:rPr>
          <w:lang w:val="en"/>
        </w:rPr>
        <w:t xml:space="preserve"> the highest percent of owner-occupied housing units with 95% and 94% respectively. </w:t>
      </w:r>
      <w:r w:rsidR="2763589A" w:rsidRPr="00C64BA4">
        <w:rPr>
          <w:lang w:val="en"/>
        </w:rPr>
        <w:t>71% of owner-occupied households in the SNHPC in 2020 had a mortgage. This percentage has dropped from 7</w:t>
      </w:r>
      <w:r w:rsidR="23FD23C6" w:rsidRPr="00C64BA4">
        <w:rPr>
          <w:lang w:val="en"/>
        </w:rPr>
        <w:t>8% in 2010 and 75% in 2015.</w:t>
      </w:r>
      <w:r w:rsidR="415EC149" w:rsidRPr="00C64BA4">
        <w:rPr>
          <w:lang w:val="en"/>
        </w:rPr>
        <w:t xml:space="preserve"> The communities with the greatest decreases since 2010 were</w:t>
      </w:r>
      <w:r w:rsidR="42ABDAE7" w:rsidRPr="00C64BA4">
        <w:rPr>
          <w:lang w:val="en"/>
        </w:rPr>
        <w:t xml:space="preserve"> </w:t>
      </w:r>
      <w:proofErr w:type="spellStart"/>
      <w:r w:rsidR="42ABDAE7" w:rsidRPr="00C64BA4">
        <w:rPr>
          <w:lang w:val="en"/>
        </w:rPr>
        <w:t>Weare</w:t>
      </w:r>
      <w:proofErr w:type="spellEnd"/>
      <w:r w:rsidR="42ABDAE7" w:rsidRPr="00C64BA4">
        <w:rPr>
          <w:lang w:val="en"/>
        </w:rPr>
        <w:t xml:space="preserve"> </w:t>
      </w:r>
      <w:r w:rsidR="42ABDAE7" w:rsidRPr="00C64BA4">
        <w:rPr>
          <w:lang w:val="en"/>
        </w:rPr>
        <w:lastRenderedPageBreak/>
        <w:t xml:space="preserve">(20%), </w:t>
      </w:r>
      <w:proofErr w:type="spellStart"/>
      <w:r w:rsidR="42ABDAE7" w:rsidRPr="00C64BA4">
        <w:rPr>
          <w:lang w:val="en"/>
        </w:rPr>
        <w:t>Francestown</w:t>
      </w:r>
      <w:proofErr w:type="spellEnd"/>
      <w:r w:rsidR="42ABDAE7" w:rsidRPr="00C64BA4">
        <w:rPr>
          <w:lang w:val="en"/>
        </w:rPr>
        <w:t xml:space="preserve"> (16%) and Hooksett (11%). </w:t>
      </w:r>
      <w:r w:rsidR="3A00D762" w:rsidRPr="00C64BA4">
        <w:rPr>
          <w:lang w:val="en"/>
        </w:rPr>
        <w:t>The City of Manchester had the greatest number of renter-occupied housing units in 2020 with 52%</w:t>
      </w:r>
      <w:r w:rsidR="53705E02" w:rsidRPr="00C64BA4">
        <w:rPr>
          <w:lang w:val="en"/>
        </w:rPr>
        <w:t xml:space="preserve"> and Chester had the least with just 1%.</w:t>
      </w:r>
    </w:p>
    <w:p w14:paraId="38D1CB69" w14:textId="7A8CF1E5" w:rsidR="00BD1366" w:rsidRDefault="00BD1366" w:rsidP="00206C45">
      <w:pPr>
        <w:spacing w:line="300" w:lineRule="auto"/>
        <w:rPr>
          <w:lang w:val="en"/>
        </w:rPr>
      </w:pPr>
      <w:r w:rsidRPr="00C64BA4">
        <w:rPr>
          <w:lang w:val="en"/>
        </w:rPr>
        <w:t xml:space="preserve">On average, owner-occupied housing units have a larger average household size than renter-occupied units (2.71 vs. 2.21 in the SNHPC region). </w:t>
      </w:r>
    </w:p>
    <w:p w14:paraId="4790A2FE" w14:textId="77777777" w:rsidR="00BD1366" w:rsidRPr="00C64BA4" w:rsidRDefault="00BD1366" w:rsidP="00BD1366">
      <w:pPr>
        <w:pStyle w:val="Heading3"/>
        <w:spacing w:line="300" w:lineRule="auto"/>
        <w:rPr>
          <w:rFonts w:eastAsia="Tw Cen MT" w:cs="Tw Cen MT"/>
          <w:lang w:val="en"/>
        </w:rPr>
      </w:pPr>
      <w:bookmarkStart w:id="72" w:name="_Toc128137956"/>
      <w:r>
        <w:rPr>
          <w:lang w:val="en"/>
        </w:rPr>
        <w:t>E</w:t>
      </w:r>
      <w:r w:rsidRPr="00C64BA4">
        <w:rPr>
          <w:lang w:val="en"/>
        </w:rPr>
        <w:t>mployment by Industry and Location</w:t>
      </w:r>
      <w:bookmarkEnd w:id="72"/>
    </w:p>
    <w:p w14:paraId="12C9CDA2" w14:textId="77777777" w:rsidR="00BD1366" w:rsidRPr="00C64BA4" w:rsidRDefault="00BD1366" w:rsidP="00BD1366">
      <w:pPr>
        <w:pStyle w:val="Body"/>
        <w:spacing w:line="300" w:lineRule="auto"/>
        <w:rPr>
          <w:color w:val="000000" w:themeColor="text1"/>
        </w:rPr>
      </w:pPr>
      <w:r w:rsidRPr="00C64BA4">
        <w:rPr>
          <w:lang w:val="en"/>
        </w:rPr>
        <w:t xml:space="preserve">The SNHPC region’s biggest industries from 2015-2019 were Health Care &amp; Social Assistance (15.6%), Retail Trade (12.8%) and Educational Services (9.7%) followed by Accommodations &amp; Food Services (7.9%), Manufacturing (7.9%), </w:t>
      </w:r>
      <w:r>
        <w:rPr>
          <w:lang w:val="en"/>
        </w:rPr>
        <w:t>Administrative</w:t>
      </w:r>
      <w:r w:rsidRPr="00917539">
        <w:rPr>
          <w:lang w:val="en"/>
        </w:rPr>
        <w:t xml:space="preserve"> and Support and Waste Management and Remediation </w:t>
      </w:r>
      <w:proofErr w:type="gramStart"/>
      <w:r w:rsidRPr="00917539">
        <w:rPr>
          <w:lang w:val="en"/>
        </w:rPr>
        <w:t>Services</w:t>
      </w:r>
      <w:r w:rsidRPr="00C64BA4">
        <w:rPr>
          <w:lang w:val="en"/>
        </w:rPr>
        <w:t>(</w:t>
      </w:r>
      <w:proofErr w:type="gramEnd"/>
      <w:r w:rsidRPr="00C64BA4">
        <w:rPr>
          <w:lang w:val="en"/>
        </w:rPr>
        <w:t xml:space="preserve">7.5%), and Professional, Scientific, &amp; Technical Services (6.7%). The industries that experienced the largest growth during this period were </w:t>
      </w:r>
      <w:r w:rsidRPr="00C64BA4">
        <w:rPr>
          <w:color w:val="000000" w:themeColor="text1"/>
        </w:rPr>
        <w:t>Health Care &amp; Social Assistance (+2.4%) and Administration &amp; Support, Waste Management &amp; Remediation (+1.5%).</w:t>
      </w:r>
    </w:p>
    <w:p w14:paraId="62E26DC8" w14:textId="77777777" w:rsidR="00BD1366" w:rsidRPr="00C64BA4" w:rsidRDefault="00BD1366" w:rsidP="00BD1366">
      <w:pPr>
        <w:pStyle w:val="Heading4"/>
        <w:spacing w:line="300" w:lineRule="auto"/>
        <w:rPr>
          <w:lang w:val="en"/>
        </w:rPr>
      </w:pPr>
      <w:r w:rsidRPr="00C64BA4">
        <w:rPr>
          <w:lang w:val="en"/>
        </w:rPr>
        <w:t xml:space="preserve">Top Employers </w:t>
      </w:r>
    </w:p>
    <w:p w14:paraId="239A78C2" w14:textId="77777777" w:rsidR="00BD1366" w:rsidRPr="00C64BA4" w:rsidRDefault="00BD1366" w:rsidP="00BD1366">
      <w:pPr>
        <w:pStyle w:val="Body"/>
        <w:spacing w:line="300" w:lineRule="auto"/>
        <w:rPr>
          <w:lang w:val="en"/>
        </w:rPr>
      </w:pPr>
      <w:r w:rsidRPr="00C64BA4">
        <w:rPr>
          <w:lang w:val="en"/>
        </w:rPr>
        <w:t>According to the NH Employment Security Economic &amp; Labor Market Information Bureau, the region’s largest employers are Elliot Hospital, Catholic Medical Center, and Easter Seals (Social Service &amp; Welfare Organization). These employers are all located in Manchester and employ between 1,000-4,999 people.</w:t>
      </w:r>
    </w:p>
    <w:p w14:paraId="781781EA" w14:textId="77777777" w:rsidR="00BD1366" w:rsidRPr="00C64BA4" w:rsidRDefault="00BD1366" w:rsidP="00BD1366">
      <w:pPr>
        <w:pStyle w:val="Heading4"/>
        <w:spacing w:line="300" w:lineRule="auto"/>
        <w:rPr>
          <w:lang w:val="en"/>
        </w:rPr>
      </w:pPr>
      <w:r w:rsidRPr="00C64BA4">
        <w:rPr>
          <w:lang w:val="en"/>
        </w:rPr>
        <w:t xml:space="preserve">Change in labor force/employment </w:t>
      </w:r>
    </w:p>
    <w:p w14:paraId="38DFED3D" w14:textId="77777777" w:rsidR="00BD1366" w:rsidRPr="00C64BA4" w:rsidRDefault="00BD1366" w:rsidP="00BD1366">
      <w:pPr>
        <w:spacing w:line="300" w:lineRule="auto"/>
        <w:rPr>
          <w:lang w:val="en"/>
        </w:rPr>
      </w:pPr>
      <w:r w:rsidRPr="00C64BA4">
        <w:rPr>
          <w:lang w:val="en"/>
        </w:rPr>
        <w:t xml:space="preserve">In the SNHPC region, the civilian labor force experienced steady growth over the past 20 years. There was a period of decline during the </w:t>
      </w:r>
      <w:r>
        <w:rPr>
          <w:lang w:val="en"/>
        </w:rPr>
        <w:t>G</w:t>
      </w:r>
      <w:r w:rsidRPr="00C64BA4">
        <w:rPr>
          <w:lang w:val="en"/>
        </w:rPr>
        <w:t xml:space="preserve">reat </w:t>
      </w:r>
      <w:r>
        <w:rPr>
          <w:lang w:val="en"/>
        </w:rPr>
        <w:t>R</w:t>
      </w:r>
      <w:r w:rsidRPr="00C64BA4">
        <w:rPr>
          <w:lang w:val="en"/>
        </w:rPr>
        <w:t>ecession from 2008 (154,320 people) to 2011 (151,850 people). The workforce began to grow again in 2012 but saw another decline in 2020 at the beginning of the COVID-19 pandemic.</w:t>
      </w:r>
    </w:p>
    <w:p w14:paraId="0C28D1A9" w14:textId="77777777" w:rsidR="00BD1366" w:rsidRPr="00C64BA4" w:rsidRDefault="00BD1366" w:rsidP="00206C45">
      <w:pPr>
        <w:spacing w:line="300" w:lineRule="auto"/>
        <w:rPr>
          <w:lang w:val="en"/>
        </w:rPr>
      </w:pPr>
    </w:p>
    <w:p w14:paraId="525E6879" w14:textId="77777777" w:rsidR="00EF64A3" w:rsidRPr="00C64BA4" w:rsidRDefault="00EF64A3" w:rsidP="00206C45">
      <w:pPr>
        <w:spacing w:line="300" w:lineRule="auto"/>
      </w:pPr>
      <w:r w:rsidRPr="00C64BA4">
        <w:br w:type="page"/>
      </w:r>
    </w:p>
    <w:p w14:paraId="57229D8D" w14:textId="77777777" w:rsidR="00710C53" w:rsidRPr="00C64BA4" w:rsidRDefault="00710C53" w:rsidP="00206C45">
      <w:pPr>
        <w:spacing w:after="0" w:line="300" w:lineRule="auto"/>
        <w:rPr>
          <w:rFonts w:eastAsia="Tw Cen MT" w:cs="Tw Cen MT"/>
          <w:color w:val="000000" w:themeColor="text1"/>
        </w:rPr>
        <w:sectPr w:rsidR="00710C53" w:rsidRPr="00C64BA4" w:rsidSect="005159B9">
          <w:type w:val="continuous"/>
          <w:pgSz w:w="12240" w:h="15840" w:code="1"/>
          <w:pgMar w:top="900" w:right="1440" w:bottom="1080" w:left="1440" w:header="432" w:footer="288" w:gutter="0"/>
          <w:cols w:space="720"/>
          <w:docGrid w:linePitch="360"/>
        </w:sectPr>
      </w:pPr>
    </w:p>
    <w:p w14:paraId="6CE06A07" w14:textId="07DDE59C" w:rsidR="003E6E7A" w:rsidRDefault="00C96C23" w:rsidP="00206C45">
      <w:pPr>
        <w:pStyle w:val="Caption"/>
        <w:spacing w:line="300" w:lineRule="auto"/>
      </w:pPr>
      <w:bookmarkStart w:id="73" w:name="_Toc128137898"/>
      <w:r>
        <w:lastRenderedPageBreak/>
        <w:t>Table</w:t>
      </w:r>
      <w:r w:rsidR="003E6E7A">
        <w:t xml:space="preserve"> </w:t>
      </w:r>
      <w:r w:rsidR="0062538A">
        <w:fldChar w:fldCharType="begin"/>
      </w:r>
      <w:r w:rsidR="0062538A">
        <w:instrText xml:space="preserve"> SEQ Table \* ARABIC </w:instrText>
      </w:r>
      <w:r w:rsidR="0062538A">
        <w:fldChar w:fldCharType="separate"/>
      </w:r>
      <w:r w:rsidR="008B512A">
        <w:rPr>
          <w:noProof/>
        </w:rPr>
        <w:t>7</w:t>
      </w:r>
      <w:r w:rsidR="0062538A">
        <w:rPr>
          <w:noProof/>
        </w:rPr>
        <w:fldChar w:fldCharType="end"/>
      </w:r>
      <w:r w:rsidR="003E6E7A">
        <w:t>: Owner V</w:t>
      </w:r>
      <w:r w:rsidR="00921975">
        <w:t>ersus</w:t>
      </w:r>
      <w:r w:rsidR="003E6E7A">
        <w:t xml:space="preserve"> Renter</w:t>
      </w:r>
      <w:bookmarkEnd w:id="73"/>
    </w:p>
    <w:tbl>
      <w:tblPr>
        <w:tblW w:w="14058" w:type="dxa"/>
        <w:tblLayout w:type="fixed"/>
        <w:tblLook w:val="04A0" w:firstRow="1" w:lastRow="0" w:firstColumn="1" w:lastColumn="0" w:noHBand="0" w:noVBand="1"/>
      </w:tblPr>
      <w:tblGrid>
        <w:gridCol w:w="1278"/>
        <w:gridCol w:w="1080"/>
        <w:gridCol w:w="1055"/>
        <w:gridCol w:w="995"/>
        <w:gridCol w:w="1010"/>
        <w:gridCol w:w="1080"/>
        <w:gridCol w:w="1080"/>
        <w:gridCol w:w="1080"/>
        <w:gridCol w:w="1080"/>
        <w:gridCol w:w="1080"/>
        <w:gridCol w:w="1080"/>
        <w:gridCol w:w="1080"/>
        <w:gridCol w:w="1080"/>
      </w:tblGrid>
      <w:tr w:rsidR="00710C53" w:rsidRPr="00C64BA4" w14:paraId="26A2BEDF" w14:textId="77777777" w:rsidTr="00710C53">
        <w:trPr>
          <w:trHeight w:val="269"/>
        </w:trPr>
        <w:tc>
          <w:tcPr>
            <w:tcW w:w="1278" w:type="dxa"/>
            <w:tcBorders>
              <w:top w:val="nil"/>
              <w:left w:val="nil"/>
              <w:bottom w:val="nil"/>
              <w:right w:val="nil"/>
            </w:tcBorders>
            <w:vAlign w:val="bottom"/>
          </w:tcPr>
          <w:p w14:paraId="06C94983" w14:textId="543E8C0F" w:rsidR="3ECF986A" w:rsidRPr="00C64BA4" w:rsidRDefault="3ECF986A" w:rsidP="00206C45">
            <w:pPr>
              <w:spacing w:after="0" w:line="300" w:lineRule="auto"/>
              <w:rPr>
                <w:rFonts w:eastAsia="Tw Cen MT" w:cs="Tw Cen MT"/>
                <w:color w:val="000000" w:themeColor="text1"/>
                <w:sz w:val="20"/>
                <w:szCs w:val="20"/>
              </w:rPr>
            </w:pPr>
          </w:p>
        </w:tc>
        <w:tc>
          <w:tcPr>
            <w:tcW w:w="4140" w:type="dxa"/>
            <w:gridSpan w:val="4"/>
            <w:tcBorders>
              <w:top w:val="nil"/>
              <w:left w:val="single" w:sz="6" w:space="0" w:color="auto"/>
              <w:bottom w:val="nil"/>
              <w:right w:val="nil"/>
            </w:tcBorders>
            <w:vAlign w:val="bottom"/>
          </w:tcPr>
          <w:p w14:paraId="43642847" w14:textId="5AF2ED5E"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2010</w:t>
            </w:r>
          </w:p>
        </w:tc>
        <w:tc>
          <w:tcPr>
            <w:tcW w:w="4320" w:type="dxa"/>
            <w:gridSpan w:val="4"/>
            <w:tcBorders>
              <w:top w:val="nil"/>
              <w:left w:val="single" w:sz="6" w:space="0" w:color="auto"/>
              <w:bottom w:val="nil"/>
              <w:right w:val="nil"/>
            </w:tcBorders>
            <w:vAlign w:val="bottom"/>
          </w:tcPr>
          <w:p w14:paraId="41D9F715" w14:textId="1C7C7853"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2015</w:t>
            </w:r>
          </w:p>
        </w:tc>
        <w:tc>
          <w:tcPr>
            <w:tcW w:w="4320" w:type="dxa"/>
            <w:gridSpan w:val="4"/>
            <w:tcBorders>
              <w:top w:val="nil"/>
              <w:left w:val="single" w:sz="6" w:space="0" w:color="auto"/>
              <w:bottom w:val="nil"/>
              <w:right w:val="nil"/>
            </w:tcBorders>
            <w:vAlign w:val="bottom"/>
          </w:tcPr>
          <w:p w14:paraId="60D80D02" w14:textId="505E6895"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2020</w:t>
            </w:r>
          </w:p>
        </w:tc>
      </w:tr>
      <w:tr w:rsidR="00710C53" w:rsidRPr="00C64BA4" w14:paraId="2643F982" w14:textId="77777777" w:rsidTr="00710C53">
        <w:trPr>
          <w:trHeight w:val="1379"/>
        </w:trPr>
        <w:tc>
          <w:tcPr>
            <w:tcW w:w="1278" w:type="dxa"/>
            <w:tcBorders>
              <w:top w:val="nil"/>
              <w:left w:val="nil"/>
              <w:bottom w:val="single" w:sz="6" w:space="0" w:color="auto"/>
              <w:right w:val="nil"/>
            </w:tcBorders>
            <w:vAlign w:val="bottom"/>
          </w:tcPr>
          <w:p w14:paraId="0C65C505" w14:textId="3A8E68A8" w:rsidR="3ECF986A" w:rsidRPr="00C64BA4" w:rsidRDefault="3ECF986A" w:rsidP="00206C45">
            <w:pPr>
              <w:spacing w:after="0" w:line="300" w:lineRule="auto"/>
              <w:rPr>
                <w:rFonts w:eastAsia="Tw Cen MT" w:cs="Tw Cen MT"/>
                <w:color w:val="000000" w:themeColor="text1"/>
                <w:sz w:val="20"/>
                <w:szCs w:val="20"/>
              </w:rPr>
            </w:pPr>
            <w:r w:rsidRPr="00C64BA4">
              <w:rPr>
                <w:rFonts w:eastAsia="Tw Cen MT" w:cs="Tw Cen MT"/>
                <w:color w:val="000000" w:themeColor="text1"/>
                <w:sz w:val="20"/>
                <w:szCs w:val="20"/>
              </w:rPr>
              <w:t> </w:t>
            </w:r>
          </w:p>
        </w:tc>
        <w:tc>
          <w:tcPr>
            <w:tcW w:w="1080" w:type="dxa"/>
            <w:tcBorders>
              <w:top w:val="nil"/>
              <w:left w:val="single" w:sz="6" w:space="0" w:color="auto"/>
              <w:bottom w:val="single" w:sz="6" w:space="0" w:color="auto"/>
              <w:right w:val="nil"/>
            </w:tcBorders>
            <w:vAlign w:val="bottom"/>
          </w:tcPr>
          <w:p w14:paraId="1267619B" w14:textId="7B5C343A"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Total Occupied Housing Units</w:t>
            </w:r>
          </w:p>
        </w:tc>
        <w:tc>
          <w:tcPr>
            <w:tcW w:w="1055" w:type="dxa"/>
            <w:tcBorders>
              <w:top w:val="nil"/>
              <w:left w:val="nil"/>
              <w:bottom w:val="single" w:sz="6" w:space="0" w:color="auto"/>
              <w:right w:val="nil"/>
            </w:tcBorders>
            <w:vAlign w:val="bottom"/>
          </w:tcPr>
          <w:p w14:paraId="4EDA50C5" w14:textId="591E04C7"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 xml:space="preserve">Owner-Occupied </w:t>
            </w:r>
          </w:p>
        </w:tc>
        <w:tc>
          <w:tcPr>
            <w:tcW w:w="995" w:type="dxa"/>
            <w:tcBorders>
              <w:top w:val="nil"/>
              <w:left w:val="nil"/>
              <w:bottom w:val="single" w:sz="6" w:space="0" w:color="auto"/>
              <w:right w:val="nil"/>
            </w:tcBorders>
            <w:vAlign w:val="bottom"/>
          </w:tcPr>
          <w:p w14:paraId="782F0A8F" w14:textId="6FAA3C74"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 xml:space="preserve">Renter-Occupied </w:t>
            </w:r>
          </w:p>
        </w:tc>
        <w:tc>
          <w:tcPr>
            <w:tcW w:w="1010" w:type="dxa"/>
            <w:tcBorders>
              <w:top w:val="nil"/>
              <w:left w:val="nil"/>
              <w:bottom w:val="single" w:sz="6" w:space="0" w:color="auto"/>
              <w:right w:val="nil"/>
            </w:tcBorders>
            <w:vAlign w:val="bottom"/>
          </w:tcPr>
          <w:p w14:paraId="642BEB5F" w14:textId="70DE1923"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 xml:space="preserve">% </w:t>
            </w:r>
            <w:proofErr w:type="gramStart"/>
            <w:r w:rsidRPr="00C64BA4">
              <w:rPr>
                <w:rFonts w:eastAsia="Tw Cen MT" w:cs="Tw Cen MT"/>
                <w:b/>
                <w:bCs/>
                <w:color w:val="404040" w:themeColor="text1" w:themeTint="BF"/>
                <w:sz w:val="20"/>
                <w:szCs w:val="20"/>
              </w:rPr>
              <w:t>of</w:t>
            </w:r>
            <w:proofErr w:type="gramEnd"/>
            <w:r w:rsidRPr="00C64BA4">
              <w:rPr>
                <w:rFonts w:eastAsia="Tw Cen MT" w:cs="Tw Cen MT"/>
                <w:b/>
                <w:bCs/>
                <w:color w:val="404040" w:themeColor="text1" w:themeTint="BF"/>
                <w:sz w:val="20"/>
                <w:szCs w:val="20"/>
              </w:rPr>
              <w:t xml:space="preserve"> Owner-Occupied w/ a Mortgage</w:t>
            </w:r>
          </w:p>
        </w:tc>
        <w:tc>
          <w:tcPr>
            <w:tcW w:w="1080" w:type="dxa"/>
            <w:tcBorders>
              <w:top w:val="nil"/>
              <w:left w:val="single" w:sz="6" w:space="0" w:color="auto"/>
              <w:bottom w:val="single" w:sz="6" w:space="0" w:color="auto"/>
              <w:right w:val="nil"/>
            </w:tcBorders>
            <w:vAlign w:val="bottom"/>
          </w:tcPr>
          <w:p w14:paraId="27B6DB60" w14:textId="28A93873"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Total Occupied Housing Units</w:t>
            </w:r>
          </w:p>
        </w:tc>
        <w:tc>
          <w:tcPr>
            <w:tcW w:w="1080" w:type="dxa"/>
            <w:tcBorders>
              <w:top w:val="nil"/>
              <w:left w:val="nil"/>
              <w:bottom w:val="single" w:sz="6" w:space="0" w:color="auto"/>
              <w:right w:val="nil"/>
            </w:tcBorders>
            <w:vAlign w:val="bottom"/>
          </w:tcPr>
          <w:p w14:paraId="66D756EC" w14:textId="34FBD807"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 xml:space="preserve">Owner-Occupied </w:t>
            </w:r>
          </w:p>
        </w:tc>
        <w:tc>
          <w:tcPr>
            <w:tcW w:w="1080" w:type="dxa"/>
            <w:tcBorders>
              <w:top w:val="nil"/>
              <w:left w:val="nil"/>
              <w:bottom w:val="single" w:sz="6" w:space="0" w:color="auto"/>
              <w:right w:val="nil"/>
            </w:tcBorders>
            <w:vAlign w:val="bottom"/>
          </w:tcPr>
          <w:p w14:paraId="21BAF88F" w14:textId="2E3EB5C2"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Renter-Occupied</w:t>
            </w:r>
          </w:p>
        </w:tc>
        <w:tc>
          <w:tcPr>
            <w:tcW w:w="1080" w:type="dxa"/>
            <w:tcBorders>
              <w:top w:val="nil"/>
              <w:left w:val="nil"/>
              <w:bottom w:val="single" w:sz="6" w:space="0" w:color="auto"/>
              <w:right w:val="nil"/>
            </w:tcBorders>
            <w:vAlign w:val="bottom"/>
          </w:tcPr>
          <w:p w14:paraId="62DF204E" w14:textId="36CFAE11"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 xml:space="preserve">% </w:t>
            </w:r>
            <w:proofErr w:type="gramStart"/>
            <w:r w:rsidRPr="00C64BA4">
              <w:rPr>
                <w:rFonts w:eastAsia="Tw Cen MT" w:cs="Tw Cen MT"/>
                <w:b/>
                <w:bCs/>
                <w:color w:val="404040" w:themeColor="text1" w:themeTint="BF"/>
                <w:sz w:val="20"/>
                <w:szCs w:val="20"/>
              </w:rPr>
              <w:t>of</w:t>
            </w:r>
            <w:proofErr w:type="gramEnd"/>
            <w:r w:rsidRPr="00C64BA4">
              <w:rPr>
                <w:rFonts w:eastAsia="Tw Cen MT" w:cs="Tw Cen MT"/>
                <w:b/>
                <w:bCs/>
                <w:color w:val="404040" w:themeColor="text1" w:themeTint="BF"/>
                <w:sz w:val="20"/>
                <w:szCs w:val="20"/>
              </w:rPr>
              <w:t xml:space="preserve"> Owner-Occupied w/ a Mortgage</w:t>
            </w:r>
          </w:p>
        </w:tc>
        <w:tc>
          <w:tcPr>
            <w:tcW w:w="1080" w:type="dxa"/>
            <w:tcBorders>
              <w:top w:val="nil"/>
              <w:left w:val="single" w:sz="6" w:space="0" w:color="auto"/>
              <w:bottom w:val="single" w:sz="6" w:space="0" w:color="auto"/>
              <w:right w:val="nil"/>
            </w:tcBorders>
            <w:vAlign w:val="bottom"/>
          </w:tcPr>
          <w:p w14:paraId="7E276704" w14:textId="69D9C8AC"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Total Occupied Housing Units</w:t>
            </w:r>
          </w:p>
        </w:tc>
        <w:tc>
          <w:tcPr>
            <w:tcW w:w="1080" w:type="dxa"/>
            <w:tcBorders>
              <w:top w:val="nil"/>
              <w:left w:val="nil"/>
              <w:bottom w:val="single" w:sz="6" w:space="0" w:color="auto"/>
              <w:right w:val="nil"/>
            </w:tcBorders>
            <w:vAlign w:val="bottom"/>
          </w:tcPr>
          <w:p w14:paraId="661EA60B" w14:textId="58558CCE"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Owner-Occupied</w:t>
            </w:r>
          </w:p>
        </w:tc>
        <w:tc>
          <w:tcPr>
            <w:tcW w:w="1080" w:type="dxa"/>
            <w:tcBorders>
              <w:top w:val="nil"/>
              <w:left w:val="nil"/>
              <w:bottom w:val="single" w:sz="6" w:space="0" w:color="auto"/>
              <w:right w:val="nil"/>
            </w:tcBorders>
            <w:vAlign w:val="bottom"/>
          </w:tcPr>
          <w:p w14:paraId="7F89829D" w14:textId="65079160"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 xml:space="preserve">Renter-Occupied </w:t>
            </w:r>
          </w:p>
        </w:tc>
        <w:tc>
          <w:tcPr>
            <w:tcW w:w="1080" w:type="dxa"/>
            <w:tcBorders>
              <w:top w:val="nil"/>
              <w:left w:val="nil"/>
              <w:bottom w:val="single" w:sz="6" w:space="0" w:color="auto"/>
              <w:right w:val="nil"/>
            </w:tcBorders>
            <w:vAlign w:val="bottom"/>
          </w:tcPr>
          <w:p w14:paraId="5FCEAADA" w14:textId="6E610835" w:rsidR="3ECF986A" w:rsidRPr="00C64BA4" w:rsidRDefault="3ECF986A" w:rsidP="00206C45">
            <w:pPr>
              <w:spacing w:after="0" w:line="300" w:lineRule="auto"/>
              <w:jc w:val="center"/>
              <w:rPr>
                <w:rFonts w:eastAsia="Tw Cen MT" w:cs="Tw Cen MT"/>
                <w:color w:val="404040" w:themeColor="text1" w:themeTint="BF"/>
                <w:sz w:val="20"/>
                <w:szCs w:val="20"/>
              </w:rPr>
            </w:pPr>
            <w:r w:rsidRPr="00C64BA4">
              <w:rPr>
                <w:rFonts w:eastAsia="Tw Cen MT" w:cs="Tw Cen MT"/>
                <w:b/>
                <w:bCs/>
                <w:color w:val="404040" w:themeColor="text1" w:themeTint="BF"/>
                <w:sz w:val="20"/>
                <w:szCs w:val="20"/>
              </w:rPr>
              <w:t xml:space="preserve">% </w:t>
            </w:r>
            <w:proofErr w:type="gramStart"/>
            <w:r w:rsidRPr="00C64BA4">
              <w:rPr>
                <w:rFonts w:eastAsia="Tw Cen MT" w:cs="Tw Cen MT"/>
                <w:b/>
                <w:bCs/>
                <w:color w:val="404040" w:themeColor="text1" w:themeTint="BF"/>
                <w:sz w:val="20"/>
                <w:szCs w:val="20"/>
              </w:rPr>
              <w:t>of</w:t>
            </w:r>
            <w:proofErr w:type="gramEnd"/>
            <w:r w:rsidRPr="00C64BA4">
              <w:rPr>
                <w:rFonts w:eastAsia="Tw Cen MT" w:cs="Tw Cen MT"/>
                <w:b/>
                <w:bCs/>
                <w:color w:val="404040" w:themeColor="text1" w:themeTint="BF"/>
                <w:sz w:val="20"/>
                <w:szCs w:val="20"/>
              </w:rPr>
              <w:t xml:space="preserve"> Owner-Occupied w/ a Mortgage</w:t>
            </w:r>
          </w:p>
        </w:tc>
      </w:tr>
      <w:tr w:rsidR="00710C53" w:rsidRPr="00C64BA4" w14:paraId="26B5954D" w14:textId="77777777" w:rsidTr="00710C53">
        <w:trPr>
          <w:trHeight w:val="269"/>
        </w:trPr>
        <w:tc>
          <w:tcPr>
            <w:tcW w:w="1278" w:type="dxa"/>
            <w:tcBorders>
              <w:top w:val="single" w:sz="6" w:space="0" w:color="auto"/>
              <w:left w:val="nil"/>
              <w:bottom w:val="single" w:sz="6" w:space="0" w:color="auto"/>
              <w:right w:val="nil"/>
            </w:tcBorders>
            <w:vAlign w:val="center"/>
          </w:tcPr>
          <w:p w14:paraId="64ABFC5C" w14:textId="470D361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Auburn</w:t>
            </w:r>
          </w:p>
        </w:tc>
        <w:tc>
          <w:tcPr>
            <w:tcW w:w="1080" w:type="dxa"/>
            <w:tcBorders>
              <w:top w:val="single" w:sz="6" w:space="0" w:color="auto"/>
              <w:left w:val="single" w:sz="6" w:space="0" w:color="auto"/>
              <w:bottom w:val="single" w:sz="6" w:space="0" w:color="auto"/>
              <w:right w:val="nil"/>
            </w:tcBorders>
            <w:vAlign w:val="center"/>
          </w:tcPr>
          <w:p w14:paraId="7D89C79C" w14:textId="19C1A1A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1,840</w:t>
            </w:r>
          </w:p>
        </w:tc>
        <w:tc>
          <w:tcPr>
            <w:tcW w:w="1055" w:type="dxa"/>
            <w:tcBorders>
              <w:top w:val="single" w:sz="6" w:space="0" w:color="auto"/>
              <w:left w:val="nil"/>
              <w:bottom w:val="single" w:sz="6" w:space="0" w:color="auto"/>
              <w:right w:val="nil"/>
            </w:tcBorders>
            <w:vAlign w:val="center"/>
          </w:tcPr>
          <w:p w14:paraId="5DF2E4D4" w14:textId="612D244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87%</w:t>
            </w:r>
          </w:p>
        </w:tc>
        <w:tc>
          <w:tcPr>
            <w:tcW w:w="995" w:type="dxa"/>
            <w:tcBorders>
              <w:top w:val="single" w:sz="6" w:space="0" w:color="auto"/>
              <w:left w:val="nil"/>
              <w:bottom w:val="single" w:sz="6" w:space="0" w:color="auto"/>
              <w:right w:val="nil"/>
            </w:tcBorders>
            <w:vAlign w:val="center"/>
          </w:tcPr>
          <w:p w14:paraId="61D98454" w14:textId="69F3E2D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5%</w:t>
            </w:r>
          </w:p>
        </w:tc>
        <w:tc>
          <w:tcPr>
            <w:tcW w:w="1010" w:type="dxa"/>
            <w:tcBorders>
              <w:top w:val="single" w:sz="6" w:space="0" w:color="auto"/>
              <w:left w:val="nil"/>
              <w:bottom w:val="single" w:sz="6" w:space="0" w:color="auto"/>
              <w:right w:val="nil"/>
            </w:tcBorders>
            <w:vAlign w:val="center"/>
          </w:tcPr>
          <w:p w14:paraId="6E5053D8" w14:textId="086401E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81%</w:t>
            </w:r>
          </w:p>
        </w:tc>
        <w:tc>
          <w:tcPr>
            <w:tcW w:w="1080" w:type="dxa"/>
            <w:tcBorders>
              <w:top w:val="single" w:sz="6" w:space="0" w:color="auto"/>
              <w:left w:val="single" w:sz="6" w:space="0" w:color="auto"/>
              <w:bottom w:val="single" w:sz="6" w:space="0" w:color="auto"/>
              <w:right w:val="nil"/>
            </w:tcBorders>
            <w:vAlign w:val="center"/>
          </w:tcPr>
          <w:p w14:paraId="4CF98FA8" w14:textId="2E5988DA"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2,020</w:t>
            </w:r>
          </w:p>
        </w:tc>
        <w:tc>
          <w:tcPr>
            <w:tcW w:w="1080" w:type="dxa"/>
            <w:tcBorders>
              <w:top w:val="single" w:sz="6" w:space="0" w:color="auto"/>
              <w:left w:val="nil"/>
              <w:bottom w:val="single" w:sz="6" w:space="0" w:color="auto"/>
              <w:right w:val="nil"/>
            </w:tcBorders>
            <w:vAlign w:val="center"/>
          </w:tcPr>
          <w:p w14:paraId="19BB910A" w14:textId="506801A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86%</w:t>
            </w:r>
          </w:p>
        </w:tc>
        <w:tc>
          <w:tcPr>
            <w:tcW w:w="1080" w:type="dxa"/>
            <w:tcBorders>
              <w:top w:val="single" w:sz="6" w:space="0" w:color="auto"/>
              <w:left w:val="nil"/>
              <w:bottom w:val="single" w:sz="6" w:space="0" w:color="auto"/>
              <w:right w:val="nil"/>
            </w:tcBorders>
            <w:vAlign w:val="center"/>
          </w:tcPr>
          <w:p w14:paraId="2C6B5888" w14:textId="6460A75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9%</w:t>
            </w:r>
          </w:p>
        </w:tc>
        <w:tc>
          <w:tcPr>
            <w:tcW w:w="1080" w:type="dxa"/>
            <w:tcBorders>
              <w:top w:val="single" w:sz="6" w:space="0" w:color="auto"/>
              <w:left w:val="nil"/>
              <w:bottom w:val="single" w:sz="6" w:space="0" w:color="auto"/>
              <w:right w:val="nil"/>
            </w:tcBorders>
            <w:vAlign w:val="center"/>
          </w:tcPr>
          <w:p w14:paraId="6C044A57" w14:textId="6C375A5A"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78%</w:t>
            </w:r>
          </w:p>
        </w:tc>
        <w:tc>
          <w:tcPr>
            <w:tcW w:w="1080" w:type="dxa"/>
            <w:tcBorders>
              <w:top w:val="single" w:sz="6" w:space="0" w:color="auto"/>
              <w:left w:val="single" w:sz="6" w:space="0" w:color="auto"/>
              <w:bottom w:val="single" w:sz="6" w:space="0" w:color="auto"/>
              <w:right w:val="nil"/>
            </w:tcBorders>
            <w:vAlign w:val="center"/>
          </w:tcPr>
          <w:p w14:paraId="046957D1" w14:textId="6E43907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1,920</w:t>
            </w:r>
          </w:p>
        </w:tc>
        <w:tc>
          <w:tcPr>
            <w:tcW w:w="1080" w:type="dxa"/>
            <w:tcBorders>
              <w:top w:val="single" w:sz="6" w:space="0" w:color="auto"/>
              <w:left w:val="nil"/>
              <w:bottom w:val="single" w:sz="6" w:space="0" w:color="auto"/>
              <w:right w:val="nil"/>
            </w:tcBorders>
            <w:vAlign w:val="center"/>
          </w:tcPr>
          <w:p w14:paraId="7790DEE5" w14:textId="50D17E9A"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91%</w:t>
            </w:r>
          </w:p>
        </w:tc>
        <w:tc>
          <w:tcPr>
            <w:tcW w:w="1080" w:type="dxa"/>
            <w:tcBorders>
              <w:top w:val="single" w:sz="6" w:space="0" w:color="auto"/>
              <w:left w:val="nil"/>
              <w:bottom w:val="single" w:sz="6" w:space="0" w:color="auto"/>
              <w:right w:val="nil"/>
            </w:tcBorders>
            <w:vAlign w:val="center"/>
          </w:tcPr>
          <w:p w14:paraId="6EDBAAC3" w14:textId="04C6456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9%</w:t>
            </w:r>
          </w:p>
        </w:tc>
        <w:tc>
          <w:tcPr>
            <w:tcW w:w="1080" w:type="dxa"/>
            <w:tcBorders>
              <w:top w:val="single" w:sz="6" w:space="0" w:color="auto"/>
              <w:left w:val="nil"/>
              <w:bottom w:val="single" w:sz="6" w:space="0" w:color="auto"/>
              <w:right w:val="nil"/>
            </w:tcBorders>
            <w:vAlign w:val="center"/>
          </w:tcPr>
          <w:p w14:paraId="5C8D2E1B" w14:textId="778CC56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74%</w:t>
            </w:r>
          </w:p>
        </w:tc>
      </w:tr>
      <w:tr w:rsidR="00710C53" w:rsidRPr="00C64BA4" w14:paraId="01316D04" w14:textId="77777777" w:rsidTr="00710C53">
        <w:trPr>
          <w:trHeight w:val="269"/>
        </w:trPr>
        <w:tc>
          <w:tcPr>
            <w:tcW w:w="1278" w:type="dxa"/>
            <w:tcBorders>
              <w:top w:val="single" w:sz="6" w:space="0" w:color="auto"/>
              <w:left w:val="nil"/>
              <w:bottom w:val="single" w:sz="6" w:space="0" w:color="auto"/>
              <w:right w:val="nil"/>
            </w:tcBorders>
            <w:shd w:val="clear" w:color="auto" w:fill="E7E6E6"/>
            <w:vAlign w:val="center"/>
          </w:tcPr>
          <w:p w14:paraId="742BF3EC" w14:textId="1B8348EB"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Bedford</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3024F4C4" w14:textId="6119CAC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7,480</w:t>
            </w:r>
          </w:p>
        </w:tc>
        <w:tc>
          <w:tcPr>
            <w:tcW w:w="1055" w:type="dxa"/>
            <w:tcBorders>
              <w:top w:val="single" w:sz="6" w:space="0" w:color="auto"/>
              <w:left w:val="nil"/>
              <w:bottom w:val="single" w:sz="6" w:space="0" w:color="auto"/>
              <w:right w:val="nil"/>
            </w:tcBorders>
            <w:shd w:val="clear" w:color="auto" w:fill="E7E6E6"/>
            <w:vAlign w:val="center"/>
          </w:tcPr>
          <w:p w14:paraId="7FAE6A96" w14:textId="316B72C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84%</w:t>
            </w:r>
          </w:p>
        </w:tc>
        <w:tc>
          <w:tcPr>
            <w:tcW w:w="995" w:type="dxa"/>
            <w:tcBorders>
              <w:top w:val="single" w:sz="6" w:space="0" w:color="auto"/>
              <w:left w:val="nil"/>
              <w:bottom w:val="single" w:sz="6" w:space="0" w:color="auto"/>
              <w:right w:val="nil"/>
            </w:tcBorders>
            <w:shd w:val="clear" w:color="auto" w:fill="E7E6E6"/>
            <w:vAlign w:val="center"/>
          </w:tcPr>
          <w:p w14:paraId="593C79B8" w14:textId="53304CE5"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13%</w:t>
            </w:r>
          </w:p>
        </w:tc>
        <w:tc>
          <w:tcPr>
            <w:tcW w:w="1010" w:type="dxa"/>
            <w:tcBorders>
              <w:top w:val="single" w:sz="6" w:space="0" w:color="auto"/>
              <w:left w:val="nil"/>
              <w:bottom w:val="single" w:sz="6" w:space="0" w:color="auto"/>
              <w:right w:val="nil"/>
            </w:tcBorders>
            <w:shd w:val="clear" w:color="auto" w:fill="E7E6E6"/>
            <w:vAlign w:val="center"/>
          </w:tcPr>
          <w:p w14:paraId="2D0341C6" w14:textId="75E8427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73%</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0530AAA0" w14:textId="5B11A16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7,630</w:t>
            </w:r>
          </w:p>
        </w:tc>
        <w:tc>
          <w:tcPr>
            <w:tcW w:w="1080" w:type="dxa"/>
            <w:tcBorders>
              <w:top w:val="single" w:sz="6" w:space="0" w:color="auto"/>
              <w:left w:val="nil"/>
              <w:bottom w:val="single" w:sz="6" w:space="0" w:color="auto"/>
              <w:right w:val="nil"/>
            </w:tcBorders>
            <w:shd w:val="clear" w:color="auto" w:fill="E7E6E6"/>
            <w:vAlign w:val="center"/>
          </w:tcPr>
          <w:p w14:paraId="3EC6479E" w14:textId="157AC8CE"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86%</w:t>
            </w:r>
          </w:p>
        </w:tc>
        <w:tc>
          <w:tcPr>
            <w:tcW w:w="1080" w:type="dxa"/>
            <w:tcBorders>
              <w:top w:val="single" w:sz="6" w:space="0" w:color="auto"/>
              <w:left w:val="nil"/>
              <w:bottom w:val="single" w:sz="6" w:space="0" w:color="auto"/>
              <w:right w:val="nil"/>
            </w:tcBorders>
            <w:shd w:val="clear" w:color="auto" w:fill="E7E6E6"/>
            <w:vAlign w:val="center"/>
          </w:tcPr>
          <w:p w14:paraId="0BA16B4C" w14:textId="38BFF48A"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11%</w:t>
            </w:r>
          </w:p>
        </w:tc>
        <w:tc>
          <w:tcPr>
            <w:tcW w:w="1080" w:type="dxa"/>
            <w:tcBorders>
              <w:top w:val="single" w:sz="6" w:space="0" w:color="auto"/>
              <w:left w:val="nil"/>
              <w:bottom w:val="single" w:sz="6" w:space="0" w:color="auto"/>
              <w:right w:val="nil"/>
            </w:tcBorders>
            <w:shd w:val="clear" w:color="auto" w:fill="E7E6E6"/>
            <w:vAlign w:val="center"/>
          </w:tcPr>
          <w:p w14:paraId="6BB0B688" w14:textId="71BDDAE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75%</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634F7FA7" w14:textId="4FE37AA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8,160</w:t>
            </w:r>
          </w:p>
        </w:tc>
        <w:tc>
          <w:tcPr>
            <w:tcW w:w="1080" w:type="dxa"/>
            <w:tcBorders>
              <w:top w:val="single" w:sz="6" w:space="0" w:color="auto"/>
              <w:left w:val="nil"/>
              <w:bottom w:val="single" w:sz="6" w:space="0" w:color="auto"/>
              <w:right w:val="nil"/>
            </w:tcBorders>
            <w:shd w:val="clear" w:color="auto" w:fill="E7E6E6"/>
            <w:vAlign w:val="center"/>
          </w:tcPr>
          <w:p w14:paraId="1BB45498" w14:textId="17F22ED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83%</w:t>
            </w:r>
          </w:p>
        </w:tc>
        <w:tc>
          <w:tcPr>
            <w:tcW w:w="1080" w:type="dxa"/>
            <w:tcBorders>
              <w:top w:val="single" w:sz="6" w:space="0" w:color="auto"/>
              <w:left w:val="nil"/>
              <w:bottom w:val="single" w:sz="6" w:space="0" w:color="auto"/>
              <w:right w:val="nil"/>
            </w:tcBorders>
            <w:shd w:val="clear" w:color="auto" w:fill="E7E6E6"/>
            <w:vAlign w:val="center"/>
          </w:tcPr>
          <w:p w14:paraId="3AD3FF53" w14:textId="049444EA"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14%</w:t>
            </w:r>
          </w:p>
        </w:tc>
        <w:tc>
          <w:tcPr>
            <w:tcW w:w="1080" w:type="dxa"/>
            <w:tcBorders>
              <w:top w:val="single" w:sz="6" w:space="0" w:color="auto"/>
              <w:left w:val="nil"/>
              <w:bottom w:val="single" w:sz="6" w:space="0" w:color="auto"/>
              <w:right w:val="nil"/>
            </w:tcBorders>
            <w:shd w:val="clear" w:color="auto" w:fill="E7E6E6"/>
            <w:vAlign w:val="center"/>
          </w:tcPr>
          <w:p w14:paraId="0C85C7FD" w14:textId="6687DBC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68%</w:t>
            </w:r>
          </w:p>
        </w:tc>
      </w:tr>
      <w:tr w:rsidR="00710C53" w:rsidRPr="00C64BA4" w14:paraId="797756BD" w14:textId="77777777" w:rsidTr="00710C53">
        <w:trPr>
          <w:trHeight w:val="269"/>
        </w:trPr>
        <w:tc>
          <w:tcPr>
            <w:tcW w:w="1278" w:type="dxa"/>
            <w:tcBorders>
              <w:top w:val="single" w:sz="6" w:space="0" w:color="auto"/>
              <w:left w:val="nil"/>
              <w:bottom w:val="single" w:sz="6" w:space="0" w:color="auto"/>
              <w:right w:val="nil"/>
            </w:tcBorders>
            <w:vAlign w:val="center"/>
          </w:tcPr>
          <w:p w14:paraId="13494050" w14:textId="3D7CBD8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Candia</w:t>
            </w:r>
          </w:p>
        </w:tc>
        <w:tc>
          <w:tcPr>
            <w:tcW w:w="1080" w:type="dxa"/>
            <w:tcBorders>
              <w:top w:val="single" w:sz="6" w:space="0" w:color="auto"/>
              <w:left w:val="single" w:sz="6" w:space="0" w:color="auto"/>
              <w:bottom w:val="single" w:sz="6" w:space="0" w:color="auto"/>
              <w:right w:val="nil"/>
            </w:tcBorders>
            <w:vAlign w:val="center"/>
          </w:tcPr>
          <w:p w14:paraId="6FE6E385" w14:textId="4240783C"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1,510</w:t>
            </w:r>
          </w:p>
        </w:tc>
        <w:tc>
          <w:tcPr>
            <w:tcW w:w="1055" w:type="dxa"/>
            <w:tcBorders>
              <w:top w:val="single" w:sz="6" w:space="0" w:color="auto"/>
              <w:left w:val="nil"/>
              <w:bottom w:val="single" w:sz="6" w:space="0" w:color="auto"/>
              <w:right w:val="nil"/>
            </w:tcBorders>
            <w:vAlign w:val="center"/>
          </w:tcPr>
          <w:p w14:paraId="2C5A4DB0" w14:textId="5F5044E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95%</w:t>
            </w:r>
          </w:p>
        </w:tc>
        <w:tc>
          <w:tcPr>
            <w:tcW w:w="995" w:type="dxa"/>
            <w:tcBorders>
              <w:top w:val="single" w:sz="6" w:space="0" w:color="auto"/>
              <w:left w:val="nil"/>
              <w:bottom w:val="single" w:sz="6" w:space="0" w:color="auto"/>
              <w:right w:val="nil"/>
            </w:tcBorders>
            <w:vAlign w:val="center"/>
          </w:tcPr>
          <w:p w14:paraId="165B7CFD" w14:textId="73241FC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5%</w:t>
            </w:r>
          </w:p>
        </w:tc>
        <w:tc>
          <w:tcPr>
            <w:tcW w:w="1010" w:type="dxa"/>
            <w:tcBorders>
              <w:top w:val="single" w:sz="6" w:space="0" w:color="auto"/>
              <w:left w:val="nil"/>
              <w:bottom w:val="single" w:sz="6" w:space="0" w:color="auto"/>
              <w:right w:val="nil"/>
            </w:tcBorders>
            <w:vAlign w:val="center"/>
          </w:tcPr>
          <w:p w14:paraId="7E9F1E28" w14:textId="3A92A593"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74%</w:t>
            </w:r>
          </w:p>
        </w:tc>
        <w:tc>
          <w:tcPr>
            <w:tcW w:w="1080" w:type="dxa"/>
            <w:tcBorders>
              <w:top w:val="single" w:sz="6" w:space="0" w:color="auto"/>
              <w:left w:val="single" w:sz="6" w:space="0" w:color="auto"/>
              <w:bottom w:val="single" w:sz="6" w:space="0" w:color="auto"/>
              <w:right w:val="nil"/>
            </w:tcBorders>
            <w:vAlign w:val="center"/>
          </w:tcPr>
          <w:p w14:paraId="41069DE8" w14:textId="3E9C325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1,560</w:t>
            </w:r>
          </w:p>
        </w:tc>
        <w:tc>
          <w:tcPr>
            <w:tcW w:w="1080" w:type="dxa"/>
            <w:tcBorders>
              <w:top w:val="single" w:sz="6" w:space="0" w:color="auto"/>
              <w:left w:val="nil"/>
              <w:bottom w:val="single" w:sz="6" w:space="0" w:color="auto"/>
              <w:right w:val="nil"/>
            </w:tcBorders>
            <w:vAlign w:val="center"/>
          </w:tcPr>
          <w:p w14:paraId="150FFC1A" w14:textId="49FADD3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92%</w:t>
            </w:r>
          </w:p>
        </w:tc>
        <w:tc>
          <w:tcPr>
            <w:tcW w:w="1080" w:type="dxa"/>
            <w:tcBorders>
              <w:top w:val="single" w:sz="6" w:space="0" w:color="auto"/>
              <w:left w:val="nil"/>
              <w:bottom w:val="single" w:sz="6" w:space="0" w:color="auto"/>
              <w:right w:val="nil"/>
            </w:tcBorders>
            <w:vAlign w:val="center"/>
          </w:tcPr>
          <w:p w14:paraId="6B59F630" w14:textId="2F80D4E5"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5%</w:t>
            </w:r>
          </w:p>
        </w:tc>
        <w:tc>
          <w:tcPr>
            <w:tcW w:w="1080" w:type="dxa"/>
            <w:tcBorders>
              <w:top w:val="single" w:sz="6" w:space="0" w:color="auto"/>
              <w:left w:val="nil"/>
              <w:bottom w:val="single" w:sz="6" w:space="0" w:color="auto"/>
              <w:right w:val="nil"/>
            </w:tcBorders>
            <w:vAlign w:val="center"/>
          </w:tcPr>
          <w:p w14:paraId="7F4BBD72" w14:textId="2FB18D6E"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71%</w:t>
            </w:r>
          </w:p>
        </w:tc>
        <w:tc>
          <w:tcPr>
            <w:tcW w:w="1080" w:type="dxa"/>
            <w:tcBorders>
              <w:top w:val="single" w:sz="6" w:space="0" w:color="auto"/>
              <w:left w:val="single" w:sz="6" w:space="0" w:color="auto"/>
              <w:bottom w:val="single" w:sz="6" w:space="0" w:color="auto"/>
              <w:right w:val="nil"/>
            </w:tcBorders>
            <w:vAlign w:val="center"/>
          </w:tcPr>
          <w:p w14:paraId="60FF3034" w14:textId="33FF837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1,510</w:t>
            </w:r>
          </w:p>
        </w:tc>
        <w:tc>
          <w:tcPr>
            <w:tcW w:w="1080" w:type="dxa"/>
            <w:tcBorders>
              <w:top w:val="single" w:sz="6" w:space="0" w:color="auto"/>
              <w:left w:val="nil"/>
              <w:bottom w:val="single" w:sz="6" w:space="0" w:color="auto"/>
              <w:right w:val="nil"/>
            </w:tcBorders>
            <w:vAlign w:val="center"/>
          </w:tcPr>
          <w:p w14:paraId="76EDEECC" w14:textId="4455326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95%</w:t>
            </w:r>
          </w:p>
        </w:tc>
        <w:tc>
          <w:tcPr>
            <w:tcW w:w="1080" w:type="dxa"/>
            <w:tcBorders>
              <w:top w:val="single" w:sz="6" w:space="0" w:color="auto"/>
              <w:left w:val="nil"/>
              <w:bottom w:val="single" w:sz="6" w:space="0" w:color="auto"/>
              <w:right w:val="nil"/>
            </w:tcBorders>
            <w:vAlign w:val="center"/>
          </w:tcPr>
          <w:p w14:paraId="065D60E9" w14:textId="6A2D023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3%</w:t>
            </w:r>
          </w:p>
        </w:tc>
        <w:tc>
          <w:tcPr>
            <w:tcW w:w="1080" w:type="dxa"/>
            <w:tcBorders>
              <w:top w:val="single" w:sz="6" w:space="0" w:color="auto"/>
              <w:left w:val="nil"/>
              <w:bottom w:val="single" w:sz="6" w:space="0" w:color="auto"/>
              <w:right w:val="nil"/>
            </w:tcBorders>
            <w:vAlign w:val="center"/>
          </w:tcPr>
          <w:p w14:paraId="5AAF2B1F" w14:textId="6867AA86"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70%</w:t>
            </w:r>
          </w:p>
        </w:tc>
      </w:tr>
      <w:tr w:rsidR="00710C53" w:rsidRPr="00C64BA4" w14:paraId="72F8D115" w14:textId="77777777" w:rsidTr="00710C53">
        <w:trPr>
          <w:trHeight w:val="269"/>
        </w:trPr>
        <w:tc>
          <w:tcPr>
            <w:tcW w:w="1278" w:type="dxa"/>
            <w:tcBorders>
              <w:top w:val="single" w:sz="6" w:space="0" w:color="auto"/>
              <w:left w:val="nil"/>
              <w:bottom w:val="single" w:sz="6" w:space="0" w:color="auto"/>
              <w:right w:val="nil"/>
            </w:tcBorders>
            <w:shd w:val="clear" w:color="auto" w:fill="E7E6E6"/>
            <w:vAlign w:val="center"/>
          </w:tcPr>
          <w:p w14:paraId="6DE43AA2" w14:textId="131DBE66"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Chester</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0A6928EC" w14:textId="5759DF5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1,620</w:t>
            </w:r>
          </w:p>
        </w:tc>
        <w:tc>
          <w:tcPr>
            <w:tcW w:w="1055" w:type="dxa"/>
            <w:tcBorders>
              <w:top w:val="single" w:sz="6" w:space="0" w:color="auto"/>
              <w:left w:val="nil"/>
              <w:bottom w:val="single" w:sz="6" w:space="0" w:color="auto"/>
              <w:right w:val="nil"/>
            </w:tcBorders>
            <w:shd w:val="clear" w:color="auto" w:fill="E7E6E6"/>
            <w:vAlign w:val="center"/>
          </w:tcPr>
          <w:p w14:paraId="6D39AA39" w14:textId="1E0978FB"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94%</w:t>
            </w:r>
          </w:p>
        </w:tc>
        <w:tc>
          <w:tcPr>
            <w:tcW w:w="995" w:type="dxa"/>
            <w:tcBorders>
              <w:top w:val="single" w:sz="6" w:space="0" w:color="auto"/>
              <w:left w:val="nil"/>
              <w:bottom w:val="single" w:sz="6" w:space="0" w:color="auto"/>
              <w:right w:val="nil"/>
            </w:tcBorders>
            <w:shd w:val="clear" w:color="auto" w:fill="E7E6E6"/>
            <w:vAlign w:val="center"/>
          </w:tcPr>
          <w:p w14:paraId="785A37A6" w14:textId="4C49EDA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w:t>
            </w:r>
          </w:p>
        </w:tc>
        <w:tc>
          <w:tcPr>
            <w:tcW w:w="1010" w:type="dxa"/>
            <w:tcBorders>
              <w:top w:val="single" w:sz="6" w:space="0" w:color="auto"/>
              <w:left w:val="nil"/>
              <w:bottom w:val="single" w:sz="6" w:space="0" w:color="auto"/>
              <w:right w:val="nil"/>
            </w:tcBorders>
            <w:shd w:val="clear" w:color="auto" w:fill="E7E6E6"/>
            <w:vAlign w:val="center"/>
          </w:tcPr>
          <w:p w14:paraId="024F79EE" w14:textId="411DBCC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85%</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06818C92" w14:textId="51476C4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1,680</w:t>
            </w:r>
          </w:p>
        </w:tc>
        <w:tc>
          <w:tcPr>
            <w:tcW w:w="1080" w:type="dxa"/>
            <w:tcBorders>
              <w:top w:val="single" w:sz="6" w:space="0" w:color="auto"/>
              <w:left w:val="nil"/>
              <w:bottom w:val="single" w:sz="6" w:space="0" w:color="auto"/>
              <w:right w:val="nil"/>
            </w:tcBorders>
            <w:shd w:val="clear" w:color="auto" w:fill="E7E6E6"/>
            <w:vAlign w:val="center"/>
          </w:tcPr>
          <w:p w14:paraId="37832C7F" w14:textId="6A393DD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89%</w:t>
            </w:r>
          </w:p>
        </w:tc>
        <w:tc>
          <w:tcPr>
            <w:tcW w:w="1080" w:type="dxa"/>
            <w:tcBorders>
              <w:top w:val="single" w:sz="6" w:space="0" w:color="auto"/>
              <w:left w:val="nil"/>
              <w:bottom w:val="single" w:sz="6" w:space="0" w:color="auto"/>
              <w:right w:val="nil"/>
            </w:tcBorders>
            <w:shd w:val="clear" w:color="auto" w:fill="E7E6E6"/>
            <w:vAlign w:val="center"/>
          </w:tcPr>
          <w:p w14:paraId="6A9BD64F" w14:textId="2C88CE2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w:t>
            </w:r>
          </w:p>
        </w:tc>
        <w:tc>
          <w:tcPr>
            <w:tcW w:w="1080" w:type="dxa"/>
            <w:tcBorders>
              <w:top w:val="single" w:sz="6" w:space="0" w:color="auto"/>
              <w:left w:val="nil"/>
              <w:bottom w:val="single" w:sz="6" w:space="0" w:color="auto"/>
              <w:right w:val="nil"/>
            </w:tcBorders>
            <w:shd w:val="clear" w:color="auto" w:fill="E7E6E6"/>
            <w:vAlign w:val="center"/>
          </w:tcPr>
          <w:p w14:paraId="2D0A4141" w14:textId="18AAFC0A"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78%</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5F1ACC07" w14:textId="3FB0EA2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1,850</w:t>
            </w:r>
          </w:p>
        </w:tc>
        <w:tc>
          <w:tcPr>
            <w:tcW w:w="1080" w:type="dxa"/>
            <w:tcBorders>
              <w:top w:val="single" w:sz="6" w:space="0" w:color="auto"/>
              <w:left w:val="nil"/>
              <w:bottom w:val="single" w:sz="6" w:space="0" w:color="auto"/>
              <w:right w:val="nil"/>
            </w:tcBorders>
            <w:shd w:val="clear" w:color="auto" w:fill="E7E6E6"/>
            <w:vAlign w:val="center"/>
          </w:tcPr>
          <w:p w14:paraId="16248F4B" w14:textId="40245B6A"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94%</w:t>
            </w:r>
          </w:p>
        </w:tc>
        <w:tc>
          <w:tcPr>
            <w:tcW w:w="1080" w:type="dxa"/>
            <w:tcBorders>
              <w:top w:val="single" w:sz="6" w:space="0" w:color="auto"/>
              <w:left w:val="nil"/>
              <w:bottom w:val="single" w:sz="6" w:space="0" w:color="auto"/>
              <w:right w:val="nil"/>
            </w:tcBorders>
            <w:shd w:val="clear" w:color="auto" w:fill="E7E6E6"/>
            <w:vAlign w:val="center"/>
          </w:tcPr>
          <w:p w14:paraId="1B739DAB" w14:textId="50026F7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w:t>
            </w:r>
          </w:p>
        </w:tc>
        <w:tc>
          <w:tcPr>
            <w:tcW w:w="1080" w:type="dxa"/>
            <w:tcBorders>
              <w:top w:val="single" w:sz="6" w:space="0" w:color="auto"/>
              <w:left w:val="nil"/>
              <w:bottom w:val="single" w:sz="6" w:space="0" w:color="auto"/>
              <w:right w:val="nil"/>
            </w:tcBorders>
            <w:shd w:val="clear" w:color="auto" w:fill="E7E6E6"/>
            <w:vAlign w:val="center"/>
          </w:tcPr>
          <w:p w14:paraId="022D0D54" w14:textId="3DD7E15E"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75%</w:t>
            </w:r>
          </w:p>
        </w:tc>
      </w:tr>
      <w:tr w:rsidR="00710C53" w:rsidRPr="00C64BA4" w14:paraId="0CC82F0F" w14:textId="77777777" w:rsidTr="00710C53">
        <w:trPr>
          <w:trHeight w:val="269"/>
        </w:trPr>
        <w:tc>
          <w:tcPr>
            <w:tcW w:w="1278" w:type="dxa"/>
            <w:tcBorders>
              <w:top w:val="single" w:sz="6" w:space="0" w:color="auto"/>
              <w:left w:val="nil"/>
              <w:bottom w:val="single" w:sz="6" w:space="0" w:color="auto"/>
              <w:right w:val="nil"/>
            </w:tcBorders>
            <w:vAlign w:val="center"/>
          </w:tcPr>
          <w:p w14:paraId="07C234D9" w14:textId="1A80140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Deerfield</w:t>
            </w:r>
          </w:p>
        </w:tc>
        <w:tc>
          <w:tcPr>
            <w:tcW w:w="1080" w:type="dxa"/>
            <w:tcBorders>
              <w:top w:val="single" w:sz="6" w:space="0" w:color="auto"/>
              <w:left w:val="single" w:sz="6" w:space="0" w:color="auto"/>
              <w:bottom w:val="single" w:sz="6" w:space="0" w:color="auto"/>
              <w:right w:val="nil"/>
            </w:tcBorders>
            <w:vAlign w:val="center"/>
          </w:tcPr>
          <w:p w14:paraId="1DB6CC09" w14:textId="219E397E"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1,630</w:t>
            </w:r>
          </w:p>
        </w:tc>
        <w:tc>
          <w:tcPr>
            <w:tcW w:w="1055" w:type="dxa"/>
            <w:tcBorders>
              <w:top w:val="single" w:sz="6" w:space="0" w:color="auto"/>
              <w:left w:val="nil"/>
              <w:bottom w:val="single" w:sz="6" w:space="0" w:color="auto"/>
              <w:right w:val="nil"/>
            </w:tcBorders>
            <w:vAlign w:val="center"/>
          </w:tcPr>
          <w:p w14:paraId="0C791B1A" w14:textId="6F062EB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79%</w:t>
            </w:r>
          </w:p>
        </w:tc>
        <w:tc>
          <w:tcPr>
            <w:tcW w:w="995" w:type="dxa"/>
            <w:tcBorders>
              <w:top w:val="single" w:sz="6" w:space="0" w:color="auto"/>
              <w:left w:val="nil"/>
              <w:bottom w:val="single" w:sz="6" w:space="0" w:color="auto"/>
              <w:right w:val="nil"/>
            </w:tcBorders>
            <w:vAlign w:val="center"/>
          </w:tcPr>
          <w:p w14:paraId="2F2DC050" w14:textId="1067592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10%</w:t>
            </w:r>
          </w:p>
        </w:tc>
        <w:tc>
          <w:tcPr>
            <w:tcW w:w="1010" w:type="dxa"/>
            <w:tcBorders>
              <w:top w:val="single" w:sz="6" w:space="0" w:color="auto"/>
              <w:left w:val="nil"/>
              <w:bottom w:val="single" w:sz="6" w:space="0" w:color="auto"/>
              <w:right w:val="nil"/>
            </w:tcBorders>
            <w:vAlign w:val="center"/>
          </w:tcPr>
          <w:p w14:paraId="531358E0" w14:textId="3E737F9B"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74%</w:t>
            </w:r>
          </w:p>
        </w:tc>
        <w:tc>
          <w:tcPr>
            <w:tcW w:w="1080" w:type="dxa"/>
            <w:tcBorders>
              <w:top w:val="single" w:sz="6" w:space="0" w:color="auto"/>
              <w:left w:val="single" w:sz="6" w:space="0" w:color="auto"/>
              <w:bottom w:val="single" w:sz="6" w:space="0" w:color="auto"/>
              <w:right w:val="nil"/>
            </w:tcBorders>
            <w:vAlign w:val="center"/>
          </w:tcPr>
          <w:p w14:paraId="5B117D0D" w14:textId="568706C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1,720</w:t>
            </w:r>
          </w:p>
        </w:tc>
        <w:tc>
          <w:tcPr>
            <w:tcW w:w="1080" w:type="dxa"/>
            <w:tcBorders>
              <w:top w:val="single" w:sz="6" w:space="0" w:color="auto"/>
              <w:left w:val="nil"/>
              <w:bottom w:val="single" w:sz="6" w:space="0" w:color="auto"/>
              <w:right w:val="nil"/>
            </w:tcBorders>
            <w:vAlign w:val="center"/>
          </w:tcPr>
          <w:p w14:paraId="10001076" w14:textId="73C37DA6"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84%</w:t>
            </w:r>
          </w:p>
        </w:tc>
        <w:tc>
          <w:tcPr>
            <w:tcW w:w="1080" w:type="dxa"/>
            <w:tcBorders>
              <w:top w:val="single" w:sz="6" w:space="0" w:color="auto"/>
              <w:left w:val="nil"/>
              <w:bottom w:val="single" w:sz="6" w:space="0" w:color="auto"/>
              <w:right w:val="nil"/>
            </w:tcBorders>
            <w:vAlign w:val="center"/>
          </w:tcPr>
          <w:p w14:paraId="63629E63" w14:textId="438FAAD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w:t>
            </w:r>
          </w:p>
        </w:tc>
        <w:tc>
          <w:tcPr>
            <w:tcW w:w="1080" w:type="dxa"/>
            <w:tcBorders>
              <w:top w:val="single" w:sz="6" w:space="0" w:color="auto"/>
              <w:left w:val="nil"/>
              <w:bottom w:val="single" w:sz="6" w:space="0" w:color="auto"/>
              <w:right w:val="nil"/>
            </w:tcBorders>
            <w:vAlign w:val="center"/>
          </w:tcPr>
          <w:p w14:paraId="6A9A27F5" w14:textId="3E7E95E5"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73%</w:t>
            </w:r>
          </w:p>
        </w:tc>
        <w:tc>
          <w:tcPr>
            <w:tcW w:w="1080" w:type="dxa"/>
            <w:tcBorders>
              <w:top w:val="single" w:sz="6" w:space="0" w:color="auto"/>
              <w:left w:val="single" w:sz="6" w:space="0" w:color="auto"/>
              <w:bottom w:val="single" w:sz="6" w:space="0" w:color="auto"/>
              <w:right w:val="nil"/>
            </w:tcBorders>
            <w:vAlign w:val="center"/>
          </w:tcPr>
          <w:p w14:paraId="1A605983" w14:textId="18681DD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1,890</w:t>
            </w:r>
          </w:p>
        </w:tc>
        <w:tc>
          <w:tcPr>
            <w:tcW w:w="1080" w:type="dxa"/>
            <w:tcBorders>
              <w:top w:val="single" w:sz="6" w:space="0" w:color="auto"/>
              <w:left w:val="nil"/>
              <w:bottom w:val="single" w:sz="6" w:space="0" w:color="auto"/>
              <w:right w:val="nil"/>
            </w:tcBorders>
            <w:vAlign w:val="center"/>
          </w:tcPr>
          <w:p w14:paraId="3852F537" w14:textId="1CE1EC0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75%</w:t>
            </w:r>
          </w:p>
        </w:tc>
        <w:tc>
          <w:tcPr>
            <w:tcW w:w="1080" w:type="dxa"/>
            <w:tcBorders>
              <w:top w:val="single" w:sz="6" w:space="0" w:color="auto"/>
              <w:left w:val="nil"/>
              <w:bottom w:val="single" w:sz="6" w:space="0" w:color="auto"/>
              <w:right w:val="nil"/>
            </w:tcBorders>
            <w:vAlign w:val="center"/>
          </w:tcPr>
          <w:p w14:paraId="3384706A" w14:textId="0462732B"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13%</w:t>
            </w:r>
          </w:p>
        </w:tc>
        <w:tc>
          <w:tcPr>
            <w:tcW w:w="1080" w:type="dxa"/>
            <w:tcBorders>
              <w:top w:val="single" w:sz="6" w:space="0" w:color="auto"/>
              <w:left w:val="nil"/>
              <w:bottom w:val="single" w:sz="6" w:space="0" w:color="auto"/>
              <w:right w:val="nil"/>
            </w:tcBorders>
            <w:vAlign w:val="center"/>
          </w:tcPr>
          <w:p w14:paraId="44D42017" w14:textId="10242A2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76%</w:t>
            </w:r>
          </w:p>
        </w:tc>
      </w:tr>
      <w:tr w:rsidR="00710C53" w:rsidRPr="00C64BA4" w14:paraId="6F17BF22" w14:textId="77777777" w:rsidTr="00710C53">
        <w:trPr>
          <w:trHeight w:val="269"/>
        </w:trPr>
        <w:tc>
          <w:tcPr>
            <w:tcW w:w="1278" w:type="dxa"/>
            <w:tcBorders>
              <w:top w:val="single" w:sz="6" w:space="0" w:color="auto"/>
              <w:left w:val="nil"/>
              <w:bottom w:val="single" w:sz="6" w:space="0" w:color="auto"/>
              <w:right w:val="nil"/>
            </w:tcBorders>
            <w:shd w:val="clear" w:color="auto" w:fill="E7E6E6"/>
            <w:vAlign w:val="center"/>
          </w:tcPr>
          <w:p w14:paraId="5B028F4C" w14:textId="0E89D5AE"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Derry</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403E1BFD" w14:textId="7E29467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13,240</w:t>
            </w:r>
          </w:p>
        </w:tc>
        <w:tc>
          <w:tcPr>
            <w:tcW w:w="1055" w:type="dxa"/>
            <w:tcBorders>
              <w:top w:val="single" w:sz="6" w:space="0" w:color="auto"/>
              <w:left w:val="nil"/>
              <w:bottom w:val="single" w:sz="6" w:space="0" w:color="auto"/>
              <w:right w:val="nil"/>
            </w:tcBorders>
            <w:shd w:val="clear" w:color="auto" w:fill="E7E6E6"/>
            <w:vAlign w:val="center"/>
          </w:tcPr>
          <w:p w14:paraId="7FF0AC9C" w14:textId="0D93A0FB"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66%</w:t>
            </w:r>
          </w:p>
        </w:tc>
        <w:tc>
          <w:tcPr>
            <w:tcW w:w="995" w:type="dxa"/>
            <w:tcBorders>
              <w:top w:val="single" w:sz="6" w:space="0" w:color="auto"/>
              <w:left w:val="nil"/>
              <w:bottom w:val="single" w:sz="6" w:space="0" w:color="auto"/>
              <w:right w:val="nil"/>
            </w:tcBorders>
            <w:shd w:val="clear" w:color="auto" w:fill="E7E6E6"/>
            <w:vAlign w:val="center"/>
          </w:tcPr>
          <w:p w14:paraId="60FE0B31" w14:textId="2750D55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29%</w:t>
            </w:r>
          </w:p>
        </w:tc>
        <w:tc>
          <w:tcPr>
            <w:tcW w:w="1010" w:type="dxa"/>
            <w:tcBorders>
              <w:top w:val="single" w:sz="6" w:space="0" w:color="auto"/>
              <w:left w:val="nil"/>
              <w:bottom w:val="single" w:sz="6" w:space="0" w:color="auto"/>
              <w:right w:val="nil"/>
            </w:tcBorders>
            <w:shd w:val="clear" w:color="auto" w:fill="E7E6E6"/>
            <w:vAlign w:val="center"/>
          </w:tcPr>
          <w:p w14:paraId="3B379EDE" w14:textId="17AA58A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80%</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2273B7F5" w14:textId="2FDEFDD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13,610</w:t>
            </w:r>
          </w:p>
        </w:tc>
        <w:tc>
          <w:tcPr>
            <w:tcW w:w="1080" w:type="dxa"/>
            <w:tcBorders>
              <w:top w:val="single" w:sz="6" w:space="0" w:color="auto"/>
              <w:left w:val="nil"/>
              <w:bottom w:val="single" w:sz="6" w:space="0" w:color="auto"/>
              <w:right w:val="nil"/>
            </w:tcBorders>
            <w:shd w:val="clear" w:color="auto" w:fill="E7E6E6"/>
            <w:vAlign w:val="center"/>
          </w:tcPr>
          <w:p w14:paraId="0D8AA073" w14:textId="7804A45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60%</w:t>
            </w:r>
          </w:p>
        </w:tc>
        <w:tc>
          <w:tcPr>
            <w:tcW w:w="1080" w:type="dxa"/>
            <w:tcBorders>
              <w:top w:val="single" w:sz="6" w:space="0" w:color="auto"/>
              <w:left w:val="nil"/>
              <w:bottom w:val="single" w:sz="6" w:space="0" w:color="auto"/>
              <w:right w:val="nil"/>
            </w:tcBorders>
            <w:shd w:val="clear" w:color="auto" w:fill="E7E6E6"/>
            <w:vAlign w:val="center"/>
          </w:tcPr>
          <w:p w14:paraId="55D2B216" w14:textId="0E4641B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35%</w:t>
            </w:r>
          </w:p>
        </w:tc>
        <w:tc>
          <w:tcPr>
            <w:tcW w:w="1080" w:type="dxa"/>
            <w:tcBorders>
              <w:top w:val="single" w:sz="6" w:space="0" w:color="auto"/>
              <w:left w:val="nil"/>
              <w:bottom w:val="single" w:sz="6" w:space="0" w:color="auto"/>
              <w:right w:val="nil"/>
            </w:tcBorders>
            <w:shd w:val="clear" w:color="auto" w:fill="E7E6E6"/>
            <w:vAlign w:val="center"/>
          </w:tcPr>
          <w:p w14:paraId="4A55D5E5" w14:textId="18CFCC7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78%</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01FFD569" w14:textId="157EA0C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13,370</w:t>
            </w:r>
          </w:p>
        </w:tc>
        <w:tc>
          <w:tcPr>
            <w:tcW w:w="1080" w:type="dxa"/>
            <w:tcBorders>
              <w:top w:val="single" w:sz="6" w:space="0" w:color="auto"/>
              <w:left w:val="nil"/>
              <w:bottom w:val="single" w:sz="6" w:space="0" w:color="auto"/>
              <w:right w:val="nil"/>
            </w:tcBorders>
            <w:shd w:val="clear" w:color="auto" w:fill="E7E6E6"/>
            <w:vAlign w:val="center"/>
          </w:tcPr>
          <w:p w14:paraId="4EF44B27" w14:textId="08CA215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63%</w:t>
            </w:r>
          </w:p>
        </w:tc>
        <w:tc>
          <w:tcPr>
            <w:tcW w:w="1080" w:type="dxa"/>
            <w:tcBorders>
              <w:top w:val="single" w:sz="6" w:space="0" w:color="auto"/>
              <w:left w:val="nil"/>
              <w:bottom w:val="single" w:sz="6" w:space="0" w:color="auto"/>
              <w:right w:val="nil"/>
            </w:tcBorders>
            <w:shd w:val="clear" w:color="auto" w:fill="E7E6E6"/>
            <w:vAlign w:val="center"/>
          </w:tcPr>
          <w:p w14:paraId="0522A091" w14:textId="171A3F7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32%</w:t>
            </w:r>
          </w:p>
        </w:tc>
        <w:tc>
          <w:tcPr>
            <w:tcW w:w="1080" w:type="dxa"/>
            <w:tcBorders>
              <w:top w:val="single" w:sz="6" w:space="0" w:color="auto"/>
              <w:left w:val="nil"/>
              <w:bottom w:val="single" w:sz="6" w:space="0" w:color="auto"/>
              <w:right w:val="nil"/>
            </w:tcBorders>
            <w:shd w:val="clear" w:color="auto" w:fill="E7E6E6"/>
            <w:vAlign w:val="center"/>
          </w:tcPr>
          <w:p w14:paraId="0287D5DE" w14:textId="5CC64625"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75%</w:t>
            </w:r>
          </w:p>
        </w:tc>
      </w:tr>
      <w:tr w:rsidR="00710C53" w:rsidRPr="00C64BA4" w14:paraId="48C7B356" w14:textId="77777777" w:rsidTr="00710C53">
        <w:trPr>
          <w:trHeight w:val="269"/>
        </w:trPr>
        <w:tc>
          <w:tcPr>
            <w:tcW w:w="1278" w:type="dxa"/>
            <w:tcBorders>
              <w:top w:val="single" w:sz="6" w:space="0" w:color="auto"/>
              <w:left w:val="nil"/>
              <w:bottom w:val="single" w:sz="6" w:space="0" w:color="auto"/>
              <w:right w:val="nil"/>
            </w:tcBorders>
            <w:vAlign w:val="center"/>
          </w:tcPr>
          <w:p w14:paraId="5E46B180" w14:textId="40575DCC" w:rsidR="3ECF986A" w:rsidRPr="00C64BA4" w:rsidRDefault="3ECF986A" w:rsidP="00206C45">
            <w:pPr>
              <w:spacing w:after="0" w:line="300" w:lineRule="auto"/>
              <w:jc w:val="center"/>
              <w:rPr>
                <w:rFonts w:eastAsia="Tw Cen MT" w:cs="Tw Cen MT"/>
                <w:color w:val="000000" w:themeColor="text1"/>
                <w:sz w:val="20"/>
                <w:szCs w:val="20"/>
              </w:rPr>
            </w:pPr>
            <w:proofErr w:type="spellStart"/>
            <w:r w:rsidRPr="00C64BA4">
              <w:rPr>
                <w:rFonts w:eastAsia="Tw Cen MT" w:cs="Tw Cen MT"/>
                <w:color w:val="000000" w:themeColor="text1"/>
                <w:sz w:val="20"/>
                <w:szCs w:val="20"/>
              </w:rPr>
              <w:t>Francestown</w:t>
            </w:r>
            <w:proofErr w:type="spellEnd"/>
          </w:p>
        </w:tc>
        <w:tc>
          <w:tcPr>
            <w:tcW w:w="1080" w:type="dxa"/>
            <w:tcBorders>
              <w:top w:val="single" w:sz="6" w:space="0" w:color="auto"/>
              <w:left w:val="single" w:sz="6" w:space="0" w:color="auto"/>
              <w:bottom w:val="single" w:sz="6" w:space="0" w:color="auto"/>
              <w:right w:val="nil"/>
            </w:tcBorders>
            <w:vAlign w:val="center"/>
          </w:tcPr>
          <w:p w14:paraId="48C6BA98" w14:textId="7AFF25FE"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740</w:t>
            </w:r>
          </w:p>
        </w:tc>
        <w:tc>
          <w:tcPr>
            <w:tcW w:w="1055" w:type="dxa"/>
            <w:tcBorders>
              <w:top w:val="single" w:sz="6" w:space="0" w:color="auto"/>
              <w:left w:val="nil"/>
              <w:bottom w:val="single" w:sz="6" w:space="0" w:color="auto"/>
              <w:right w:val="nil"/>
            </w:tcBorders>
            <w:vAlign w:val="center"/>
          </w:tcPr>
          <w:p w14:paraId="136B091E" w14:textId="727A33E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78%</w:t>
            </w:r>
          </w:p>
        </w:tc>
        <w:tc>
          <w:tcPr>
            <w:tcW w:w="995" w:type="dxa"/>
            <w:tcBorders>
              <w:top w:val="single" w:sz="6" w:space="0" w:color="auto"/>
              <w:left w:val="nil"/>
              <w:bottom w:val="single" w:sz="6" w:space="0" w:color="auto"/>
              <w:right w:val="nil"/>
            </w:tcBorders>
            <w:vAlign w:val="center"/>
          </w:tcPr>
          <w:p w14:paraId="105E4BA2" w14:textId="3CD9F98A"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w:t>
            </w:r>
          </w:p>
        </w:tc>
        <w:tc>
          <w:tcPr>
            <w:tcW w:w="1010" w:type="dxa"/>
            <w:tcBorders>
              <w:top w:val="single" w:sz="6" w:space="0" w:color="auto"/>
              <w:left w:val="nil"/>
              <w:bottom w:val="single" w:sz="6" w:space="0" w:color="auto"/>
              <w:right w:val="nil"/>
            </w:tcBorders>
            <w:vAlign w:val="center"/>
          </w:tcPr>
          <w:p w14:paraId="150BF687" w14:textId="5FFE32D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71%</w:t>
            </w:r>
          </w:p>
        </w:tc>
        <w:tc>
          <w:tcPr>
            <w:tcW w:w="1080" w:type="dxa"/>
            <w:tcBorders>
              <w:top w:val="single" w:sz="6" w:space="0" w:color="auto"/>
              <w:left w:val="single" w:sz="6" w:space="0" w:color="auto"/>
              <w:bottom w:val="single" w:sz="6" w:space="0" w:color="auto"/>
              <w:right w:val="nil"/>
            </w:tcBorders>
            <w:vAlign w:val="center"/>
          </w:tcPr>
          <w:p w14:paraId="3447DF93" w14:textId="4257ECC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760</w:t>
            </w:r>
          </w:p>
        </w:tc>
        <w:tc>
          <w:tcPr>
            <w:tcW w:w="1080" w:type="dxa"/>
            <w:tcBorders>
              <w:top w:val="single" w:sz="6" w:space="0" w:color="auto"/>
              <w:left w:val="nil"/>
              <w:bottom w:val="single" w:sz="6" w:space="0" w:color="auto"/>
              <w:right w:val="nil"/>
            </w:tcBorders>
            <w:vAlign w:val="center"/>
          </w:tcPr>
          <w:p w14:paraId="432C0A44" w14:textId="55E34E45"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68%</w:t>
            </w:r>
          </w:p>
        </w:tc>
        <w:tc>
          <w:tcPr>
            <w:tcW w:w="1080" w:type="dxa"/>
            <w:tcBorders>
              <w:top w:val="single" w:sz="6" w:space="0" w:color="auto"/>
              <w:left w:val="nil"/>
              <w:bottom w:val="single" w:sz="6" w:space="0" w:color="auto"/>
              <w:right w:val="nil"/>
            </w:tcBorders>
            <w:vAlign w:val="center"/>
          </w:tcPr>
          <w:p w14:paraId="28E770D7" w14:textId="7867637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w:t>
            </w:r>
          </w:p>
        </w:tc>
        <w:tc>
          <w:tcPr>
            <w:tcW w:w="1080" w:type="dxa"/>
            <w:tcBorders>
              <w:top w:val="single" w:sz="6" w:space="0" w:color="auto"/>
              <w:left w:val="nil"/>
              <w:bottom w:val="single" w:sz="6" w:space="0" w:color="auto"/>
              <w:right w:val="nil"/>
            </w:tcBorders>
            <w:vAlign w:val="center"/>
          </w:tcPr>
          <w:p w14:paraId="1CA9CF36" w14:textId="696297B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60%</w:t>
            </w:r>
          </w:p>
        </w:tc>
        <w:tc>
          <w:tcPr>
            <w:tcW w:w="1080" w:type="dxa"/>
            <w:tcBorders>
              <w:top w:val="single" w:sz="6" w:space="0" w:color="auto"/>
              <w:left w:val="single" w:sz="6" w:space="0" w:color="auto"/>
              <w:bottom w:val="single" w:sz="6" w:space="0" w:color="auto"/>
              <w:right w:val="nil"/>
            </w:tcBorders>
            <w:vAlign w:val="center"/>
          </w:tcPr>
          <w:p w14:paraId="5B74834F" w14:textId="1CC9D22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760</w:t>
            </w:r>
          </w:p>
        </w:tc>
        <w:tc>
          <w:tcPr>
            <w:tcW w:w="1080" w:type="dxa"/>
            <w:tcBorders>
              <w:top w:val="single" w:sz="6" w:space="0" w:color="auto"/>
              <w:left w:val="nil"/>
              <w:bottom w:val="single" w:sz="6" w:space="0" w:color="auto"/>
              <w:right w:val="nil"/>
            </w:tcBorders>
            <w:vAlign w:val="center"/>
          </w:tcPr>
          <w:p w14:paraId="5D217A57" w14:textId="4F5BB0E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73%</w:t>
            </w:r>
          </w:p>
        </w:tc>
        <w:tc>
          <w:tcPr>
            <w:tcW w:w="1080" w:type="dxa"/>
            <w:tcBorders>
              <w:top w:val="single" w:sz="6" w:space="0" w:color="auto"/>
              <w:left w:val="nil"/>
              <w:bottom w:val="single" w:sz="6" w:space="0" w:color="auto"/>
              <w:right w:val="nil"/>
            </w:tcBorders>
            <w:vAlign w:val="center"/>
          </w:tcPr>
          <w:p w14:paraId="1CFE3AEF" w14:textId="729C2E3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9%</w:t>
            </w:r>
          </w:p>
        </w:tc>
        <w:tc>
          <w:tcPr>
            <w:tcW w:w="1080" w:type="dxa"/>
            <w:tcBorders>
              <w:top w:val="single" w:sz="6" w:space="0" w:color="auto"/>
              <w:left w:val="nil"/>
              <w:bottom w:val="single" w:sz="6" w:space="0" w:color="auto"/>
              <w:right w:val="nil"/>
            </w:tcBorders>
            <w:vAlign w:val="center"/>
          </w:tcPr>
          <w:p w14:paraId="3EBF2C06" w14:textId="1B6EAA3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55%</w:t>
            </w:r>
          </w:p>
        </w:tc>
      </w:tr>
      <w:tr w:rsidR="00710C53" w:rsidRPr="00C64BA4" w14:paraId="4B8826D9" w14:textId="77777777" w:rsidTr="00710C53">
        <w:trPr>
          <w:trHeight w:val="269"/>
        </w:trPr>
        <w:tc>
          <w:tcPr>
            <w:tcW w:w="1278" w:type="dxa"/>
            <w:tcBorders>
              <w:top w:val="single" w:sz="6" w:space="0" w:color="auto"/>
              <w:left w:val="nil"/>
              <w:bottom w:val="single" w:sz="6" w:space="0" w:color="auto"/>
              <w:right w:val="nil"/>
            </w:tcBorders>
            <w:shd w:val="clear" w:color="auto" w:fill="E7E6E6"/>
            <w:vAlign w:val="center"/>
          </w:tcPr>
          <w:p w14:paraId="49478B81" w14:textId="1D0555B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Goffstown</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61B94A67" w14:textId="3A4EF44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6,320</w:t>
            </w:r>
          </w:p>
        </w:tc>
        <w:tc>
          <w:tcPr>
            <w:tcW w:w="1055" w:type="dxa"/>
            <w:tcBorders>
              <w:top w:val="single" w:sz="6" w:space="0" w:color="auto"/>
              <w:left w:val="nil"/>
              <w:bottom w:val="single" w:sz="6" w:space="0" w:color="auto"/>
              <w:right w:val="nil"/>
            </w:tcBorders>
            <w:shd w:val="clear" w:color="auto" w:fill="E7E6E6"/>
            <w:vAlign w:val="center"/>
          </w:tcPr>
          <w:p w14:paraId="330EC47A" w14:textId="79AF78C6"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74%</w:t>
            </w:r>
          </w:p>
        </w:tc>
        <w:tc>
          <w:tcPr>
            <w:tcW w:w="995" w:type="dxa"/>
            <w:tcBorders>
              <w:top w:val="single" w:sz="6" w:space="0" w:color="auto"/>
              <w:left w:val="nil"/>
              <w:bottom w:val="single" w:sz="6" w:space="0" w:color="auto"/>
              <w:right w:val="nil"/>
            </w:tcBorders>
            <w:shd w:val="clear" w:color="auto" w:fill="E7E6E6"/>
            <w:vAlign w:val="center"/>
          </w:tcPr>
          <w:p w14:paraId="6003F329" w14:textId="3F76EFF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20%</w:t>
            </w:r>
          </w:p>
        </w:tc>
        <w:tc>
          <w:tcPr>
            <w:tcW w:w="1010" w:type="dxa"/>
            <w:tcBorders>
              <w:top w:val="single" w:sz="6" w:space="0" w:color="auto"/>
              <w:left w:val="nil"/>
              <w:bottom w:val="single" w:sz="6" w:space="0" w:color="auto"/>
              <w:right w:val="nil"/>
            </w:tcBorders>
            <w:shd w:val="clear" w:color="auto" w:fill="E7E6E6"/>
            <w:vAlign w:val="center"/>
          </w:tcPr>
          <w:p w14:paraId="7646EDF5" w14:textId="5EA2B37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78%</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62942975" w14:textId="66B34B0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6,560</w:t>
            </w:r>
          </w:p>
        </w:tc>
        <w:tc>
          <w:tcPr>
            <w:tcW w:w="1080" w:type="dxa"/>
            <w:tcBorders>
              <w:top w:val="single" w:sz="6" w:space="0" w:color="auto"/>
              <w:left w:val="nil"/>
              <w:bottom w:val="single" w:sz="6" w:space="0" w:color="auto"/>
              <w:right w:val="nil"/>
            </w:tcBorders>
            <w:shd w:val="clear" w:color="auto" w:fill="E7E6E6"/>
            <w:vAlign w:val="center"/>
          </w:tcPr>
          <w:p w14:paraId="76F551F9" w14:textId="23F8F085"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74%</w:t>
            </w:r>
          </w:p>
        </w:tc>
        <w:tc>
          <w:tcPr>
            <w:tcW w:w="1080" w:type="dxa"/>
            <w:tcBorders>
              <w:top w:val="single" w:sz="6" w:space="0" w:color="auto"/>
              <w:left w:val="nil"/>
              <w:bottom w:val="single" w:sz="6" w:space="0" w:color="auto"/>
              <w:right w:val="nil"/>
            </w:tcBorders>
            <w:shd w:val="clear" w:color="auto" w:fill="E7E6E6"/>
            <w:vAlign w:val="center"/>
          </w:tcPr>
          <w:p w14:paraId="377E1D42" w14:textId="0DFF752E"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21%</w:t>
            </w:r>
          </w:p>
        </w:tc>
        <w:tc>
          <w:tcPr>
            <w:tcW w:w="1080" w:type="dxa"/>
            <w:tcBorders>
              <w:top w:val="single" w:sz="6" w:space="0" w:color="auto"/>
              <w:left w:val="nil"/>
              <w:bottom w:val="single" w:sz="6" w:space="0" w:color="auto"/>
              <w:right w:val="nil"/>
            </w:tcBorders>
            <w:shd w:val="clear" w:color="auto" w:fill="E7E6E6"/>
            <w:vAlign w:val="center"/>
          </w:tcPr>
          <w:p w14:paraId="3A54A632" w14:textId="76C4754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74%</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0A5E02DE" w14:textId="581861E3"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6,560</w:t>
            </w:r>
          </w:p>
        </w:tc>
        <w:tc>
          <w:tcPr>
            <w:tcW w:w="1080" w:type="dxa"/>
            <w:tcBorders>
              <w:top w:val="single" w:sz="6" w:space="0" w:color="auto"/>
              <w:left w:val="nil"/>
              <w:bottom w:val="single" w:sz="6" w:space="0" w:color="auto"/>
              <w:right w:val="nil"/>
            </w:tcBorders>
            <w:shd w:val="clear" w:color="auto" w:fill="E7E6E6"/>
            <w:vAlign w:val="center"/>
          </w:tcPr>
          <w:p w14:paraId="56BB15F7" w14:textId="3BCB3F2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75%</w:t>
            </w:r>
          </w:p>
        </w:tc>
        <w:tc>
          <w:tcPr>
            <w:tcW w:w="1080" w:type="dxa"/>
            <w:tcBorders>
              <w:top w:val="single" w:sz="6" w:space="0" w:color="auto"/>
              <w:left w:val="nil"/>
              <w:bottom w:val="single" w:sz="6" w:space="0" w:color="auto"/>
              <w:right w:val="nil"/>
            </w:tcBorders>
            <w:shd w:val="clear" w:color="auto" w:fill="E7E6E6"/>
            <w:vAlign w:val="center"/>
          </w:tcPr>
          <w:p w14:paraId="43FF1D46" w14:textId="2070AA8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20%</w:t>
            </w:r>
          </w:p>
        </w:tc>
        <w:tc>
          <w:tcPr>
            <w:tcW w:w="1080" w:type="dxa"/>
            <w:tcBorders>
              <w:top w:val="single" w:sz="6" w:space="0" w:color="auto"/>
              <w:left w:val="nil"/>
              <w:bottom w:val="single" w:sz="6" w:space="0" w:color="auto"/>
              <w:right w:val="nil"/>
            </w:tcBorders>
            <w:shd w:val="clear" w:color="auto" w:fill="E7E6E6"/>
            <w:vAlign w:val="center"/>
          </w:tcPr>
          <w:p w14:paraId="71A33ECD" w14:textId="12EC268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70%</w:t>
            </w:r>
          </w:p>
        </w:tc>
      </w:tr>
      <w:tr w:rsidR="00710C53" w:rsidRPr="00C64BA4" w14:paraId="6A12D5D2" w14:textId="77777777" w:rsidTr="00710C53">
        <w:trPr>
          <w:trHeight w:val="269"/>
        </w:trPr>
        <w:tc>
          <w:tcPr>
            <w:tcW w:w="1278" w:type="dxa"/>
            <w:tcBorders>
              <w:top w:val="single" w:sz="6" w:space="0" w:color="auto"/>
              <w:left w:val="nil"/>
              <w:bottom w:val="single" w:sz="6" w:space="0" w:color="auto"/>
              <w:right w:val="nil"/>
            </w:tcBorders>
            <w:vAlign w:val="center"/>
          </w:tcPr>
          <w:p w14:paraId="3A0F0EBE" w14:textId="590A981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Hooksett</w:t>
            </w:r>
          </w:p>
        </w:tc>
        <w:tc>
          <w:tcPr>
            <w:tcW w:w="1080" w:type="dxa"/>
            <w:tcBorders>
              <w:top w:val="single" w:sz="6" w:space="0" w:color="auto"/>
              <w:left w:val="single" w:sz="6" w:space="0" w:color="auto"/>
              <w:bottom w:val="single" w:sz="6" w:space="0" w:color="auto"/>
              <w:right w:val="nil"/>
            </w:tcBorders>
            <w:vAlign w:val="center"/>
          </w:tcPr>
          <w:p w14:paraId="3F84A878" w14:textId="0AC36C3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4,760</w:t>
            </w:r>
          </w:p>
        </w:tc>
        <w:tc>
          <w:tcPr>
            <w:tcW w:w="1055" w:type="dxa"/>
            <w:tcBorders>
              <w:top w:val="single" w:sz="6" w:space="0" w:color="auto"/>
              <w:left w:val="nil"/>
              <w:bottom w:val="single" w:sz="6" w:space="0" w:color="auto"/>
              <w:right w:val="nil"/>
            </w:tcBorders>
            <w:vAlign w:val="center"/>
          </w:tcPr>
          <w:p w14:paraId="5426ADB4" w14:textId="5B1B9A6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83%</w:t>
            </w:r>
          </w:p>
        </w:tc>
        <w:tc>
          <w:tcPr>
            <w:tcW w:w="995" w:type="dxa"/>
            <w:tcBorders>
              <w:top w:val="single" w:sz="6" w:space="0" w:color="auto"/>
              <w:left w:val="nil"/>
              <w:bottom w:val="single" w:sz="6" w:space="0" w:color="auto"/>
              <w:right w:val="nil"/>
            </w:tcBorders>
            <w:vAlign w:val="center"/>
          </w:tcPr>
          <w:p w14:paraId="0A064812" w14:textId="129DAC2B"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15%</w:t>
            </w:r>
          </w:p>
        </w:tc>
        <w:tc>
          <w:tcPr>
            <w:tcW w:w="1010" w:type="dxa"/>
            <w:tcBorders>
              <w:top w:val="single" w:sz="6" w:space="0" w:color="auto"/>
              <w:left w:val="nil"/>
              <w:bottom w:val="single" w:sz="6" w:space="0" w:color="auto"/>
              <w:right w:val="nil"/>
            </w:tcBorders>
            <w:vAlign w:val="center"/>
          </w:tcPr>
          <w:p w14:paraId="35A58914" w14:textId="0FF332F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73%</w:t>
            </w:r>
          </w:p>
        </w:tc>
        <w:tc>
          <w:tcPr>
            <w:tcW w:w="1080" w:type="dxa"/>
            <w:tcBorders>
              <w:top w:val="single" w:sz="6" w:space="0" w:color="auto"/>
              <w:left w:val="single" w:sz="6" w:space="0" w:color="auto"/>
              <w:bottom w:val="single" w:sz="6" w:space="0" w:color="auto"/>
              <w:right w:val="nil"/>
            </w:tcBorders>
            <w:vAlign w:val="center"/>
          </w:tcPr>
          <w:p w14:paraId="5C96200A" w14:textId="6B13CFA5"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5,250</w:t>
            </w:r>
          </w:p>
        </w:tc>
        <w:tc>
          <w:tcPr>
            <w:tcW w:w="1080" w:type="dxa"/>
            <w:tcBorders>
              <w:top w:val="single" w:sz="6" w:space="0" w:color="auto"/>
              <w:left w:val="nil"/>
              <w:bottom w:val="single" w:sz="6" w:space="0" w:color="auto"/>
              <w:right w:val="nil"/>
            </w:tcBorders>
            <w:vAlign w:val="center"/>
          </w:tcPr>
          <w:p w14:paraId="616F026E" w14:textId="0285B26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83%</w:t>
            </w:r>
          </w:p>
        </w:tc>
        <w:tc>
          <w:tcPr>
            <w:tcW w:w="1080" w:type="dxa"/>
            <w:tcBorders>
              <w:top w:val="single" w:sz="6" w:space="0" w:color="auto"/>
              <w:left w:val="nil"/>
              <w:bottom w:val="single" w:sz="6" w:space="0" w:color="auto"/>
              <w:right w:val="nil"/>
            </w:tcBorders>
            <w:vAlign w:val="center"/>
          </w:tcPr>
          <w:p w14:paraId="5D12078F" w14:textId="1EF1C87B"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16%</w:t>
            </w:r>
          </w:p>
        </w:tc>
        <w:tc>
          <w:tcPr>
            <w:tcW w:w="1080" w:type="dxa"/>
            <w:tcBorders>
              <w:top w:val="single" w:sz="6" w:space="0" w:color="auto"/>
              <w:left w:val="nil"/>
              <w:bottom w:val="single" w:sz="6" w:space="0" w:color="auto"/>
              <w:right w:val="nil"/>
            </w:tcBorders>
            <w:vAlign w:val="center"/>
          </w:tcPr>
          <w:p w14:paraId="12D3D94F" w14:textId="5F5AA82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73%</w:t>
            </w:r>
          </w:p>
        </w:tc>
        <w:tc>
          <w:tcPr>
            <w:tcW w:w="1080" w:type="dxa"/>
            <w:tcBorders>
              <w:top w:val="single" w:sz="6" w:space="0" w:color="auto"/>
              <w:left w:val="single" w:sz="6" w:space="0" w:color="auto"/>
              <w:bottom w:val="single" w:sz="6" w:space="0" w:color="auto"/>
              <w:right w:val="nil"/>
            </w:tcBorders>
            <w:vAlign w:val="center"/>
          </w:tcPr>
          <w:p w14:paraId="63D6AC7D" w14:textId="7097E2BC"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5,250</w:t>
            </w:r>
          </w:p>
        </w:tc>
        <w:tc>
          <w:tcPr>
            <w:tcW w:w="1080" w:type="dxa"/>
            <w:tcBorders>
              <w:top w:val="single" w:sz="6" w:space="0" w:color="auto"/>
              <w:left w:val="nil"/>
              <w:bottom w:val="single" w:sz="6" w:space="0" w:color="auto"/>
              <w:right w:val="nil"/>
            </w:tcBorders>
            <w:vAlign w:val="center"/>
          </w:tcPr>
          <w:p w14:paraId="61DF4B0E" w14:textId="46AA789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74%</w:t>
            </w:r>
          </w:p>
        </w:tc>
        <w:tc>
          <w:tcPr>
            <w:tcW w:w="1080" w:type="dxa"/>
            <w:tcBorders>
              <w:top w:val="single" w:sz="6" w:space="0" w:color="auto"/>
              <w:left w:val="nil"/>
              <w:bottom w:val="single" w:sz="6" w:space="0" w:color="auto"/>
              <w:right w:val="nil"/>
            </w:tcBorders>
            <w:vAlign w:val="center"/>
          </w:tcPr>
          <w:p w14:paraId="78CA73AE" w14:textId="1BC025C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24%</w:t>
            </w:r>
          </w:p>
        </w:tc>
        <w:tc>
          <w:tcPr>
            <w:tcW w:w="1080" w:type="dxa"/>
            <w:tcBorders>
              <w:top w:val="single" w:sz="6" w:space="0" w:color="auto"/>
              <w:left w:val="nil"/>
              <w:bottom w:val="single" w:sz="6" w:space="0" w:color="auto"/>
              <w:right w:val="nil"/>
            </w:tcBorders>
            <w:vAlign w:val="center"/>
          </w:tcPr>
          <w:p w14:paraId="376A51D1" w14:textId="2147184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62%</w:t>
            </w:r>
          </w:p>
        </w:tc>
      </w:tr>
      <w:tr w:rsidR="00710C53" w:rsidRPr="00C64BA4" w14:paraId="724AF6A7" w14:textId="77777777" w:rsidTr="00710C53">
        <w:trPr>
          <w:trHeight w:val="269"/>
        </w:trPr>
        <w:tc>
          <w:tcPr>
            <w:tcW w:w="1278" w:type="dxa"/>
            <w:tcBorders>
              <w:top w:val="single" w:sz="6" w:space="0" w:color="auto"/>
              <w:left w:val="nil"/>
              <w:bottom w:val="single" w:sz="6" w:space="0" w:color="auto"/>
              <w:right w:val="nil"/>
            </w:tcBorders>
            <w:shd w:val="clear" w:color="auto" w:fill="E7E6E6"/>
            <w:vAlign w:val="center"/>
          </w:tcPr>
          <w:p w14:paraId="4A5E95CD" w14:textId="60A28CF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Londonderry</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2B4DEA33" w14:textId="79D0A0E3"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8,680</w:t>
            </w:r>
          </w:p>
        </w:tc>
        <w:tc>
          <w:tcPr>
            <w:tcW w:w="1055" w:type="dxa"/>
            <w:tcBorders>
              <w:top w:val="single" w:sz="6" w:space="0" w:color="auto"/>
              <w:left w:val="nil"/>
              <w:bottom w:val="single" w:sz="6" w:space="0" w:color="auto"/>
              <w:right w:val="nil"/>
            </w:tcBorders>
            <w:shd w:val="clear" w:color="auto" w:fill="E7E6E6"/>
            <w:vAlign w:val="center"/>
          </w:tcPr>
          <w:p w14:paraId="48A10372" w14:textId="52C2D99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87%</w:t>
            </w:r>
          </w:p>
        </w:tc>
        <w:tc>
          <w:tcPr>
            <w:tcW w:w="995" w:type="dxa"/>
            <w:tcBorders>
              <w:top w:val="single" w:sz="6" w:space="0" w:color="auto"/>
              <w:left w:val="nil"/>
              <w:bottom w:val="single" w:sz="6" w:space="0" w:color="auto"/>
              <w:right w:val="nil"/>
            </w:tcBorders>
            <w:shd w:val="clear" w:color="auto" w:fill="E7E6E6"/>
            <w:vAlign w:val="center"/>
          </w:tcPr>
          <w:p w14:paraId="37F43B1E" w14:textId="1C9F93F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9%</w:t>
            </w:r>
          </w:p>
        </w:tc>
        <w:tc>
          <w:tcPr>
            <w:tcW w:w="1010" w:type="dxa"/>
            <w:tcBorders>
              <w:top w:val="single" w:sz="6" w:space="0" w:color="auto"/>
              <w:left w:val="nil"/>
              <w:bottom w:val="single" w:sz="6" w:space="0" w:color="auto"/>
              <w:right w:val="nil"/>
            </w:tcBorders>
            <w:shd w:val="clear" w:color="auto" w:fill="E7E6E6"/>
            <w:vAlign w:val="center"/>
          </w:tcPr>
          <w:p w14:paraId="715F4B5B" w14:textId="4C208EDC"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83%</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6ADEB944" w14:textId="46EF3733"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8,870</w:t>
            </w:r>
          </w:p>
        </w:tc>
        <w:tc>
          <w:tcPr>
            <w:tcW w:w="1080" w:type="dxa"/>
            <w:tcBorders>
              <w:top w:val="single" w:sz="6" w:space="0" w:color="auto"/>
              <w:left w:val="nil"/>
              <w:bottom w:val="single" w:sz="6" w:space="0" w:color="auto"/>
              <w:right w:val="nil"/>
            </w:tcBorders>
            <w:shd w:val="clear" w:color="auto" w:fill="E7E6E6"/>
            <w:vAlign w:val="center"/>
          </w:tcPr>
          <w:p w14:paraId="3473111C" w14:textId="0BEFAD8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83%</w:t>
            </w:r>
          </w:p>
        </w:tc>
        <w:tc>
          <w:tcPr>
            <w:tcW w:w="1080" w:type="dxa"/>
            <w:tcBorders>
              <w:top w:val="single" w:sz="6" w:space="0" w:color="auto"/>
              <w:left w:val="nil"/>
              <w:bottom w:val="single" w:sz="6" w:space="0" w:color="auto"/>
              <w:right w:val="nil"/>
            </w:tcBorders>
            <w:shd w:val="clear" w:color="auto" w:fill="E7E6E6"/>
            <w:vAlign w:val="center"/>
          </w:tcPr>
          <w:p w14:paraId="3209C925" w14:textId="72D14F95"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14%</w:t>
            </w:r>
          </w:p>
        </w:tc>
        <w:tc>
          <w:tcPr>
            <w:tcW w:w="1080" w:type="dxa"/>
            <w:tcBorders>
              <w:top w:val="single" w:sz="6" w:space="0" w:color="auto"/>
              <w:left w:val="nil"/>
              <w:bottom w:val="single" w:sz="6" w:space="0" w:color="auto"/>
              <w:right w:val="nil"/>
            </w:tcBorders>
            <w:shd w:val="clear" w:color="auto" w:fill="E7E6E6"/>
            <w:vAlign w:val="center"/>
          </w:tcPr>
          <w:p w14:paraId="1FD951F9" w14:textId="2E4A392C"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78%</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40C41967" w14:textId="7A51D45A"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9,910</w:t>
            </w:r>
          </w:p>
        </w:tc>
        <w:tc>
          <w:tcPr>
            <w:tcW w:w="1080" w:type="dxa"/>
            <w:tcBorders>
              <w:top w:val="single" w:sz="6" w:space="0" w:color="auto"/>
              <w:left w:val="nil"/>
              <w:bottom w:val="single" w:sz="6" w:space="0" w:color="auto"/>
              <w:right w:val="nil"/>
            </w:tcBorders>
            <w:shd w:val="clear" w:color="auto" w:fill="E7E6E6"/>
            <w:vAlign w:val="center"/>
          </w:tcPr>
          <w:p w14:paraId="7A966ECA" w14:textId="20334B5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83%</w:t>
            </w:r>
          </w:p>
        </w:tc>
        <w:tc>
          <w:tcPr>
            <w:tcW w:w="1080" w:type="dxa"/>
            <w:tcBorders>
              <w:top w:val="single" w:sz="6" w:space="0" w:color="auto"/>
              <w:left w:val="nil"/>
              <w:bottom w:val="single" w:sz="6" w:space="0" w:color="auto"/>
              <w:right w:val="nil"/>
            </w:tcBorders>
            <w:shd w:val="clear" w:color="auto" w:fill="E7E6E6"/>
            <w:vAlign w:val="center"/>
          </w:tcPr>
          <w:p w14:paraId="53FD440B" w14:textId="4B4D7F4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14%</w:t>
            </w:r>
          </w:p>
        </w:tc>
        <w:tc>
          <w:tcPr>
            <w:tcW w:w="1080" w:type="dxa"/>
            <w:tcBorders>
              <w:top w:val="single" w:sz="6" w:space="0" w:color="auto"/>
              <w:left w:val="nil"/>
              <w:bottom w:val="single" w:sz="6" w:space="0" w:color="auto"/>
              <w:right w:val="nil"/>
            </w:tcBorders>
            <w:shd w:val="clear" w:color="auto" w:fill="E7E6E6"/>
            <w:vAlign w:val="center"/>
          </w:tcPr>
          <w:p w14:paraId="6A2B8F9D" w14:textId="4D4B75B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73%</w:t>
            </w:r>
          </w:p>
        </w:tc>
      </w:tr>
      <w:tr w:rsidR="00710C53" w:rsidRPr="00C64BA4" w14:paraId="2ABD9466" w14:textId="77777777" w:rsidTr="00710C53">
        <w:trPr>
          <w:trHeight w:val="269"/>
        </w:trPr>
        <w:tc>
          <w:tcPr>
            <w:tcW w:w="1278" w:type="dxa"/>
            <w:tcBorders>
              <w:top w:val="single" w:sz="6" w:space="0" w:color="auto"/>
              <w:left w:val="nil"/>
              <w:bottom w:val="single" w:sz="6" w:space="0" w:color="auto"/>
              <w:right w:val="nil"/>
            </w:tcBorders>
            <w:vAlign w:val="center"/>
          </w:tcPr>
          <w:p w14:paraId="3CCDDB3C" w14:textId="446ABE4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Manchester</w:t>
            </w:r>
          </w:p>
        </w:tc>
        <w:tc>
          <w:tcPr>
            <w:tcW w:w="1080" w:type="dxa"/>
            <w:tcBorders>
              <w:top w:val="single" w:sz="6" w:space="0" w:color="auto"/>
              <w:left w:val="single" w:sz="6" w:space="0" w:color="auto"/>
              <w:bottom w:val="single" w:sz="6" w:space="0" w:color="auto"/>
              <w:right w:val="nil"/>
            </w:tcBorders>
            <w:vAlign w:val="center"/>
          </w:tcPr>
          <w:p w14:paraId="7AC0BD34" w14:textId="1ED2048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49,340</w:t>
            </w:r>
          </w:p>
        </w:tc>
        <w:tc>
          <w:tcPr>
            <w:tcW w:w="1055" w:type="dxa"/>
            <w:tcBorders>
              <w:top w:val="single" w:sz="6" w:space="0" w:color="auto"/>
              <w:left w:val="nil"/>
              <w:bottom w:val="single" w:sz="6" w:space="0" w:color="auto"/>
              <w:right w:val="nil"/>
            </w:tcBorders>
            <w:vAlign w:val="center"/>
          </w:tcPr>
          <w:p w14:paraId="40BE4034" w14:textId="2E19009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47%</w:t>
            </w:r>
          </w:p>
        </w:tc>
        <w:tc>
          <w:tcPr>
            <w:tcW w:w="995" w:type="dxa"/>
            <w:tcBorders>
              <w:top w:val="single" w:sz="6" w:space="0" w:color="auto"/>
              <w:left w:val="nil"/>
              <w:bottom w:val="single" w:sz="6" w:space="0" w:color="auto"/>
              <w:right w:val="nil"/>
            </w:tcBorders>
            <w:vAlign w:val="center"/>
          </w:tcPr>
          <w:p w14:paraId="35E8093F" w14:textId="5E13DA0C"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45%</w:t>
            </w:r>
          </w:p>
        </w:tc>
        <w:tc>
          <w:tcPr>
            <w:tcW w:w="1010" w:type="dxa"/>
            <w:tcBorders>
              <w:top w:val="single" w:sz="6" w:space="0" w:color="auto"/>
              <w:left w:val="nil"/>
              <w:bottom w:val="single" w:sz="6" w:space="0" w:color="auto"/>
              <w:right w:val="nil"/>
            </w:tcBorders>
            <w:vAlign w:val="center"/>
          </w:tcPr>
          <w:p w14:paraId="3DD370FA" w14:textId="3BA4708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75%</w:t>
            </w:r>
          </w:p>
        </w:tc>
        <w:tc>
          <w:tcPr>
            <w:tcW w:w="1080" w:type="dxa"/>
            <w:tcBorders>
              <w:top w:val="single" w:sz="6" w:space="0" w:color="auto"/>
              <w:left w:val="single" w:sz="6" w:space="0" w:color="auto"/>
              <w:bottom w:val="single" w:sz="6" w:space="0" w:color="auto"/>
              <w:right w:val="nil"/>
            </w:tcBorders>
            <w:vAlign w:val="center"/>
          </w:tcPr>
          <w:p w14:paraId="40B9534C" w14:textId="38D82CF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49,070</w:t>
            </w:r>
          </w:p>
        </w:tc>
        <w:tc>
          <w:tcPr>
            <w:tcW w:w="1080" w:type="dxa"/>
            <w:tcBorders>
              <w:top w:val="single" w:sz="6" w:space="0" w:color="auto"/>
              <w:left w:val="nil"/>
              <w:bottom w:val="single" w:sz="6" w:space="0" w:color="auto"/>
              <w:right w:val="nil"/>
            </w:tcBorders>
            <w:vAlign w:val="center"/>
          </w:tcPr>
          <w:p w14:paraId="36E5EBC9" w14:textId="6753C7F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44%</w:t>
            </w:r>
          </w:p>
        </w:tc>
        <w:tc>
          <w:tcPr>
            <w:tcW w:w="1080" w:type="dxa"/>
            <w:tcBorders>
              <w:top w:val="single" w:sz="6" w:space="0" w:color="auto"/>
              <w:left w:val="nil"/>
              <w:bottom w:val="single" w:sz="6" w:space="0" w:color="auto"/>
              <w:right w:val="nil"/>
            </w:tcBorders>
            <w:vAlign w:val="center"/>
          </w:tcPr>
          <w:p w14:paraId="289D1C8D" w14:textId="2E4A636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48%</w:t>
            </w:r>
          </w:p>
        </w:tc>
        <w:tc>
          <w:tcPr>
            <w:tcW w:w="1080" w:type="dxa"/>
            <w:tcBorders>
              <w:top w:val="single" w:sz="6" w:space="0" w:color="auto"/>
              <w:left w:val="nil"/>
              <w:bottom w:val="single" w:sz="6" w:space="0" w:color="auto"/>
              <w:right w:val="nil"/>
            </w:tcBorders>
            <w:vAlign w:val="center"/>
          </w:tcPr>
          <w:p w14:paraId="216D8F71" w14:textId="22584A3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74%</w:t>
            </w:r>
          </w:p>
        </w:tc>
        <w:tc>
          <w:tcPr>
            <w:tcW w:w="1080" w:type="dxa"/>
            <w:tcBorders>
              <w:top w:val="single" w:sz="6" w:space="0" w:color="auto"/>
              <w:left w:val="single" w:sz="6" w:space="0" w:color="auto"/>
              <w:bottom w:val="single" w:sz="6" w:space="0" w:color="auto"/>
              <w:right w:val="nil"/>
            </w:tcBorders>
            <w:vAlign w:val="center"/>
          </w:tcPr>
          <w:p w14:paraId="1C3FF7D9" w14:textId="5E563EE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50,180</w:t>
            </w:r>
          </w:p>
        </w:tc>
        <w:tc>
          <w:tcPr>
            <w:tcW w:w="1080" w:type="dxa"/>
            <w:tcBorders>
              <w:top w:val="single" w:sz="6" w:space="0" w:color="auto"/>
              <w:left w:val="nil"/>
              <w:bottom w:val="single" w:sz="6" w:space="0" w:color="auto"/>
              <w:right w:val="nil"/>
            </w:tcBorders>
            <w:vAlign w:val="center"/>
          </w:tcPr>
          <w:p w14:paraId="1C9F66A5" w14:textId="0AF45983"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42%</w:t>
            </w:r>
          </w:p>
        </w:tc>
        <w:tc>
          <w:tcPr>
            <w:tcW w:w="1080" w:type="dxa"/>
            <w:tcBorders>
              <w:top w:val="single" w:sz="6" w:space="0" w:color="auto"/>
              <w:left w:val="nil"/>
              <w:bottom w:val="single" w:sz="6" w:space="0" w:color="auto"/>
              <w:right w:val="nil"/>
            </w:tcBorders>
            <w:vAlign w:val="center"/>
          </w:tcPr>
          <w:p w14:paraId="356055B9" w14:textId="6FD3924C"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52%</w:t>
            </w:r>
          </w:p>
        </w:tc>
        <w:tc>
          <w:tcPr>
            <w:tcW w:w="1080" w:type="dxa"/>
            <w:tcBorders>
              <w:top w:val="single" w:sz="6" w:space="0" w:color="auto"/>
              <w:left w:val="nil"/>
              <w:bottom w:val="single" w:sz="6" w:space="0" w:color="auto"/>
              <w:right w:val="nil"/>
            </w:tcBorders>
            <w:vAlign w:val="center"/>
          </w:tcPr>
          <w:p w14:paraId="2B07F6FB" w14:textId="6080367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71%</w:t>
            </w:r>
          </w:p>
        </w:tc>
      </w:tr>
      <w:tr w:rsidR="00710C53" w:rsidRPr="00C64BA4" w14:paraId="13CAC33D" w14:textId="77777777" w:rsidTr="00710C53">
        <w:trPr>
          <w:trHeight w:val="269"/>
        </w:trPr>
        <w:tc>
          <w:tcPr>
            <w:tcW w:w="1278" w:type="dxa"/>
            <w:tcBorders>
              <w:top w:val="single" w:sz="6" w:space="0" w:color="auto"/>
              <w:left w:val="nil"/>
              <w:bottom w:val="single" w:sz="6" w:space="0" w:color="auto"/>
              <w:right w:val="nil"/>
            </w:tcBorders>
            <w:shd w:val="clear" w:color="auto" w:fill="E7E6E6"/>
            <w:vAlign w:val="center"/>
          </w:tcPr>
          <w:p w14:paraId="3FE8676F" w14:textId="101D002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New Boston</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6FB0D897" w14:textId="74003B8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1,970</w:t>
            </w:r>
          </w:p>
        </w:tc>
        <w:tc>
          <w:tcPr>
            <w:tcW w:w="1055" w:type="dxa"/>
            <w:tcBorders>
              <w:top w:val="single" w:sz="6" w:space="0" w:color="auto"/>
              <w:left w:val="nil"/>
              <w:bottom w:val="single" w:sz="6" w:space="0" w:color="auto"/>
              <w:right w:val="nil"/>
            </w:tcBorders>
            <w:shd w:val="clear" w:color="auto" w:fill="E7E6E6"/>
            <w:vAlign w:val="center"/>
          </w:tcPr>
          <w:p w14:paraId="76A91F2F" w14:textId="0E4F8D5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84%</w:t>
            </w:r>
          </w:p>
        </w:tc>
        <w:tc>
          <w:tcPr>
            <w:tcW w:w="995" w:type="dxa"/>
            <w:tcBorders>
              <w:top w:val="single" w:sz="6" w:space="0" w:color="auto"/>
              <w:left w:val="nil"/>
              <w:bottom w:val="single" w:sz="6" w:space="0" w:color="auto"/>
              <w:right w:val="nil"/>
            </w:tcBorders>
            <w:shd w:val="clear" w:color="auto" w:fill="E7E6E6"/>
            <w:vAlign w:val="center"/>
          </w:tcPr>
          <w:p w14:paraId="6B998E66" w14:textId="0EDF745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11%</w:t>
            </w:r>
          </w:p>
        </w:tc>
        <w:tc>
          <w:tcPr>
            <w:tcW w:w="1010" w:type="dxa"/>
            <w:tcBorders>
              <w:top w:val="single" w:sz="6" w:space="0" w:color="auto"/>
              <w:left w:val="nil"/>
              <w:bottom w:val="single" w:sz="6" w:space="0" w:color="auto"/>
              <w:right w:val="nil"/>
            </w:tcBorders>
            <w:shd w:val="clear" w:color="auto" w:fill="E7E6E6"/>
            <w:vAlign w:val="center"/>
          </w:tcPr>
          <w:p w14:paraId="6FFF6DC1" w14:textId="234B8813"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81%</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4C4FD9CF" w14:textId="456B81DC"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1,990</w:t>
            </w:r>
          </w:p>
        </w:tc>
        <w:tc>
          <w:tcPr>
            <w:tcW w:w="1080" w:type="dxa"/>
            <w:tcBorders>
              <w:top w:val="single" w:sz="6" w:space="0" w:color="auto"/>
              <w:left w:val="nil"/>
              <w:bottom w:val="single" w:sz="6" w:space="0" w:color="auto"/>
              <w:right w:val="nil"/>
            </w:tcBorders>
            <w:shd w:val="clear" w:color="auto" w:fill="E7E6E6"/>
            <w:vAlign w:val="center"/>
          </w:tcPr>
          <w:p w14:paraId="567F82BB" w14:textId="43A90D46"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89%</w:t>
            </w:r>
          </w:p>
        </w:tc>
        <w:tc>
          <w:tcPr>
            <w:tcW w:w="1080" w:type="dxa"/>
            <w:tcBorders>
              <w:top w:val="single" w:sz="6" w:space="0" w:color="auto"/>
              <w:left w:val="nil"/>
              <w:bottom w:val="single" w:sz="6" w:space="0" w:color="auto"/>
              <w:right w:val="nil"/>
            </w:tcBorders>
            <w:shd w:val="clear" w:color="auto" w:fill="E7E6E6"/>
            <w:vAlign w:val="center"/>
          </w:tcPr>
          <w:p w14:paraId="00CC8911" w14:textId="7B4C8C63"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w:t>
            </w:r>
          </w:p>
        </w:tc>
        <w:tc>
          <w:tcPr>
            <w:tcW w:w="1080" w:type="dxa"/>
            <w:tcBorders>
              <w:top w:val="single" w:sz="6" w:space="0" w:color="auto"/>
              <w:left w:val="nil"/>
              <w:bottom w:val="single" w:sz="6" w:space="0" w:color="auto"/>
              <w:right w:val="nil"/>
            </w:tcBorders>
            <w:shd w:val="clear" w:color="auto" w:fill="E7E6E6"/>
            <w:vAlign w:val="center"/>
          </w:tcPr>
          <w:p w14:paraId="2E6629DF" w14:textId="2C57615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78%</w:t>
            </w:r>
          </w:p>
        </w:tc>
        <w:tc>
          <w:tcPr>
            <w:tcW w:w="1080" w:type="dxa"/>
            <w:tcBorders>
              <w:top w:val="single" w:sz="6" w:space="0" w:color="auto"/>
              <w:left w:val="single" w:sz="6" w:space="0" w:color="auto"/>
              <w:bottom w:val="single" w:sz="6" w:space="0" w:color="auto"/>
              <w:right w:val="nil"/>
            </w:tcBorders>
            <w:shd w:val="clear" w:color="auto" w:fill="E7E6E6"/>
            <w:vAlign w:val="center"/>
          </w:tcPr>
          <w:p w14:paraId="282311D2" w14:textId="50C4218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2,140</w:t>
            </w:r>
          </w:p>
        </w:tc>
        <w:tc>
          <w:tcPr>
            <w:tcW w:w="1080" w:type="dxa"/>
            <w:tcBorders>
              <w:top w:val="single" w:sz="6" w:space="0" w:color="auto"/>
              <w:left w:val="nil"/>
              <w:bottom w:val="single" w:sz="6" w:space="0" w:color="auto"/>
              <w:right w:val="nil"/>
            </w:tcBorders>
            <w:shd w:val="clear" w:color="auto" w:fill="E7E6E6"/>
            <w:vAlign w:val="center"/>
          </w:tcPr>
          <w:p w14:paraId="4E95FE96" w14:textId="5EFA798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88%</w:t>
            </w:r>
          </w:p>
        </w:tc>
        <w:tc>
          <w:tcPr>
            <w:tcW w:w="1080" w:type="dxa"/>
            <w:tcBorders>
              <w:top w:val="single" w:sz="6" w:space="0" w:color="auto"/>
              <w:left w:val="nil"/>
              <w:bottom w:val="single" w:sz="6" w:space="0" w:color="auto"/>
              <w:right w:val="nil"/>
            </w:tcBorders>
            <w:shd w:val="clear" w:color="auto" w:fill="E7E6E6"/>
            <w:vAlign w:val="center"/>
          </w:tcPr>
          <w:p w14:paraId="6D2F85BF" w14:textId="1C4B59B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11%</w:t>
            </w:r>
          </w:p>
        </w:tc>
        <w:tc>
          <w:tcPr>
            <w:tcW w:w="1080" w:type="dxa"/>
            <w:tcBorders>
              <w:top w:val="single" w:sz="6" w:space="0" w:color="auto"/>
              <w:left w:val="nil"/>
              <w:bottom w:val="single" w:sz="6" w:space="0" w:color="auto"/>
              <w:right w:val="nil"/>
            </w:tcBorders>
            <w:shd w:val="clear" w:color="auto" w:fill="E7E6E6"/>
            <w:vAlign w:val="center"/>
          </w:tcPr>
          <w:p w14:paraId="7AF57C33" w14:textId="4CDCCF2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75%</w:t>
            </w:r>
          </w:p>
        </w:tc>
      </w:tr>
      <w:tr w:rsidR="00710C53" w:rsidRPr="00C64BA4" w14:paraId="201A1169" w14:textId="77777777" w:rsidTr="00710C53">
        <w:trPr>
          <w:trHeight w:val="269"/>
        </w:trPr>
        <w:tc>
          <w:tcPr>
            <w:tcW w:w="1278" w:type="dxa"/>
            <w:tcBorders>
              <w:top w:val="single" w:sz="6" w:space="0" w:color="auto"/>
              <w:left w:val="nil"/>
              <w:bottom w:val="single" w:sz="6" w:space="0" w:color="auto"/>
              <w:right w:val="nil"/>
            </w:tcBorders>
            <w:vAlign w:val="center"/>
          </w:tcPr>
          <w:p w14:paraId="519E78A7" w14:textId="577B009F" w:rsidR="3ECF986A" w:rsidRPr="00C64BA4" w:rsidRDefault="3ECF986A" w:rsidP="00206C45">
            <w:pPr>
              <w:spacing w:after="0" w:line="300" w:lineRule="auto"/>
              <w:jc w:val="center"/>
              <w:rPr>
                <w:rFonts w:eastAsia="Tw Cen MT" w:cs="Tw Cen MT"/>
                <w:color w:val="000000" w:themeColor="text1"/>
                <w:sz w:val="20"/>
                <w:szCs w:val="20"/>
              </w:rPr>
            </w:pPr>
            <w:proofErr w:type="spellStart"/>
            <w:r w:rsidRPr="00C64BA4">
              <w:rPr>
                <w:rFonts w:eastAsia="Tw Cen MT" w:cs="Tw Cen MT"/>
                <w:color w:val="000000" w:themeColor="text1"/>
                <w:sz w:val="20"/>
                <w:szCs w:val="20"/>
              </w:rPr>
              <w:t>Weare</w:t>
            </w:r>
            <w:proofErr w:type="spellEnd"/>
          </w:p>
        </w:tc>
        <w:tc>
          <w:tcPr>
            <w:tcW w:w="1080" w:type="dxa"/>
            <w:tcBorders>
              <w:top w:val="single" w:sz="6" w:space="0" w:color="auto"/>
              <w:left w:val="single" w:sz="6" w:space="0" w:color="auto"/>
              <w:bottom w:val="single" w:sz="6" w:space="0" w:color="auto"/>
              <w:right w:val="nil"/>
            </w:tcBorders>
            <w:vAlign w:val="center"/>
          </w:tcPr>
          <w:p w14:paraId="32E57E57" w14:textId="3D42432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3,360</w:t>
            </w:r>
          </w:p>
        </w:tc>
        <w:tc>
          <w:tcPr>
            <w:tcW w:w="1055" w:type="dxa"/>
            <w:tcBorders>
              <w:top w:val="single" w:sz="6" w:space="0" w:color="auto"/>
              <w:left w:val="nil"/>
              <w:bottom w:val="single" w:sz="6" w:space="0" w:color="auto"/>
              <w:right w:val="nil"/>
            </w:tcBorders>
            <w:vAlign w:val="center"/>
          </w:tcPr>
          <w:p w14:paraId="67A07155" w14:textId="799B3BDC"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82%</w:t>
            </w:r>
          </w:p>
        </w:tc>
        <w:tc>
          <w:tcPr>
            <w:tcW w:w="995" w:type="dxa"/>
            <w:tcBorders>
              <w:top w:val="single" w:sz="6" w:space="0" w:color="auto"/>
              <w:left w:val="nil"/>
              <w:bottom w:val="single" w:sz="6" w:space="0" w:color="auto"/>
              <w:right w:val="nil"/>
            </w:tcBorders>
            <w:vAlign w:val="center"/>
          </w:tcPr>
          <w:p w14:paraId="089B850C" w14:textId="7A8BCC0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w:t>
            </w:r>
          </w:p>
        </w:tc>
        <w:tc>
          <w:tcPr>
            <w:tcW w:w="1010" w:type="dxa"/>
            <w:tcBorders>
              <w:top w:val="single" w:sz="6" w:space="0" w:color="auto"/>
              <w:left w:val="nil"/>
              <w:bottom w:val="single" w:sz="6" w:space="0" w:color="auto"/>
              <w:right w:val="nil"/>
            </w:tcBorders>
            <w:vAlign w:val="center"/>
          </w:tcPr>
          <w:p w14:paraId="72882115" w14:textId="34ACB193"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86%</w:t>
            </w:r>
          </w:p>
        </w:tc>
        <w:tc>
          <w:tcPr>
            <w:tcW w:w="1080" w:type="dxa"/>
            <w:tcBorders>
              <w:top w:val="single" w:sz="6" w:space="0" w:color="auto"/>
              <w:left w:val="single" w:sz="6" w:space="0" w:color="auto"/>
              <w:bottom w:val="single" w:sz="6" w:space="0" w:color="auto"/>
              <w:right w:val="nil"/>
            </w:tcBorders>
            <w:vAlign w:val="center"/>
          </w:tcPr>
          <w:p w14:paraId="2BB3546D" w14:textId="690DF715"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3,820</w:t>
            </w:r>
          </w:p>
        </w:tc>
        <w:tc>
          <w:tcPr>
            <w:tcW w:w="1080" w:type="dxa"/>
            <w:tcBorders>
              <w:top w:val="single" w:sz="6" w:space="0" w:color="auto"/>
              <w:left w:val="nil"/>
              <w:bottom w:val="single" w:sz="6" w:space="0" w:color="auto"/>
              <w:right w:val="nil"/>
            </w:tcBorders>
            <w:vAlign w:val="center"/>
          </w:tcPr>
          <w:p w14:paraId="5C9F132E" w14:textId="4470E7FC"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75%</w:t>
            </w:r>
          </w:p>
        </w:tc>
        <w:tc>
          <w:tcPr>
            <w:tcW w:w="1080" w:type="dxa"/>
            <w:tcBorders>
              <w:top w:val="single" w:sz="6" w:space="0" w:color="auto"/>
              <w:left w:val="nil"/>
              <w:bottom w:val="single" w:sz="6" w:space="0" w:color="auto"/>
              <w:right w:val="nil"/>
            </w:tcBorders>
            <w:vAlign w:val="center"/>
          </w:tcPr>
          <w:p w14:paraId="1DF84178" w14:textId="64CD66D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w:t>
            </w:r>
          </w:p>
        </w:tc>
        <w:tc>
          <w:tcPr>
            <w:tcW w:w="1080" w:type="dxa"/>
            <w:tcBorders>
              <w:top w:val="single" w:sz="6" w:space="0" w:color="auto"/>
              <w:left w:val="nil"/>
              <w:bottom w:val="single" w:sz="6" w:space="0" w:color="auto"/>
              <w:right w:val="nil"/>
            </w:tcBorders>
            <w:vAlign w:val="center"/>
          </w:tcPr>
          <w:p w14:paraId="4AD0AFC7" w14:textId="72A9A73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78%</w:t>
            </w:r>
          </w:p>
        </w:tc>
        <w:tc>
          <w:tcPr>
            <w:tcW w:w="1080" w:type="dxa"/>
            <w:tcBorders>
              <w:top w:val="single" w:sz="6" w:space="0" w:color="auto"/>
              <w:left w:val="single" w:sz="6" w:space="0" w:color="auto"/>
              <w:bottom w:val="single" w:sz="6" w:space="0" w:color="auto"/>
              <w:right w:val="nil"/>
            </w:tcBorders>
            <w:vAlign w:val="center"/>
          </w:tcPr>
          <w:p w14:paraId="7433BAC0" w14:textId="3C19F60B"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3,700</w:t>
            </w:r>
          </w:p>
        </w:tc>
        <w:tc>
          <w:tcPr>
            <w:tcW w:w="1080" w:type="dxa"/>
            <w:tcBorders>
              <w:top w:val="single" w:sz="6" w:space="0" w:color="auto"/>
              <w:left w:val="nil"/>
              <w:bottom w:val="single" w:sz="6" w:space="0" w:color="auto"/>
              <w:right w:val="nil"/>
            </w:tcBorders>
            <w:vAlign w:val="center"/>
          </w:tcPr>
          <w:p w14:paraId="65B8D3A8" w14:textId="040AADE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82%</w:t>
            </w:r>
          </w:p>
        </w:tc>
        <w:tc>
          <w:tcPr>
            <w:tcW w:w="1080" w:type="dxa"/>
            <w:tcBorders>
              <w:top w:val="single" w:sz="6" w:space="0" w:color="auto"/>
              <w:left w:val="nil"/>
              <w:bottom w:val="single" w:sz="6" w:space="0" w:color="auto"/>
              <w:right w:val="nil"/>
            </w:tcBorders>
            <w:vAlign w:val="center"/>
          </w:tcPr>
          <w:p w14:paraId="330F60C5" w14:textId="54D1E406"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w:t>
            </w:r>
          </w:p>
        </w:tc>
        <w:tc>
          <w:tcPr>
            <w:tcW w:w="1080" w:type="dxa"/>
            <w:tcBorders>
              <w:top w:val="single" w:sz="6" w:space="0" w:color="auto"/>
              <w:left w:val="nil"/>
              <w:bottom w:val="single" w:sz="6" w:space="0" w:color="auto"/>
              <w:right w:val="nil"/>
            </w:tcBorders>
            <w:vAlign w:val="center"/>
          </w:tcPr>
          <w:p w14:paraId="22E73BCB" w14:textId="56BADFF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66%</w:t>
            </w:r>
          </w:p>
        </w:tc>
      </w:tr>
      <w:tr w:rsidR="00710C53" w:rsidRPr="00C64BA4" w14:paraId="5C7B0EDF" w14:textId="77777777" w:rsidTr="00710C53">
        <w:trPr>
          <w:trHeight w:val="269"/>
        </w:trPr>
        <w:tc>
          <w:tcPr>
            <w:tcW w:w="1278" w:type="dxa"/>
            <w:tcBorders>
              <w:top w:val="single" w:sz="6" w:space="0" w:color="auto"/>
              <w:left w:val="nil"/>
              <w:bottom w:val="single" w:sz="12" w:space="0" w:color="404040" w:themeColor="text1" w:themeTint="BF"/>
              <w:right w:val="nil"/>
            </w:tcBorders>
            <w:shd w:val="clear" w:color="auto" w:fill="E7E6E6"/>
            <w:vAlign w:val="center"/>
          </w:tcPr>
          <w:p w14:paraId="4669DBF9" w14:textId="002F0FB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Windham</w:t>
            </w:r>
          </w:p>
        </w:tc>
        <w:tc>
          <w:tcPr>
            <w:tcW w:w="1080" w:type="dxa"/>
            <w:tcBorders>
              <w:top w:val="single" w:sz="6" w:space="0" w:color="auto"/>
              <w:left w:val="single" w:sz="6" w:space="0" w:color="auto"/>
              <w:bottom w:val="single" w:sz="12" w:space="0" w:color="404040" w:themeColor="text1" w:themeTint="BF"/>
              <w:right w:val="nil"/>
            </w:tcBorders>
            <w:shd w:val="clear" w:color="auto" w:fill="E7E6E6"/>
            <w:vAlign w:val="center"/>
          </w:tcPr>
          <w:p w14:paraId="485EF3E3" w14:textId="5EAD542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4,910</w:t>
            </w:r>
          </w:p>
        </w:tc>
        <w:tc>
          <w:tcPr>
            <w:tcW w:w="1055" w:type="dxa"/>
            <w:tcBorders>
              <w:top w:val="single" w:sz="6" w:space="0" w:color="auto"/>
              <w:left w:val="nil"/>
              <w:bottom w:val="single" w:sz="12" w:space="0" w:color="404040" w:themeColor="text1" w:themeTint="BF"/>
              <w:right w:val="nil"/>
            </w:tcBorders>
            <w:shd w:val="clear" w:color="auto" w:fill="E7E6E6"/>
            <w:vAlign w:val="center"/>
          </w:tcPr>
          <w:p w14:paraId="15EA27AF" w14:textId="37F8E48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87%</w:t>
            </w:r>
          </w:p>
        </w:tc>
        <w:tc>
          <w:tcPr>
            <w:tcW w:w="995" w:type="dxa"/>
            <w:tcBorders>
              <w:top w:val="single" w:sz="6" w:space="0" w:color="auto"/>
              <w:left w:val="nil"/>
              <w:bottom w:val="single" w:sz="12" w:space="0" w:color="404040" w:themeColor="text1" w:themeTint="BF"/>
              <w:right w:val="nil"/>
            </w:tcBorders>
            <w:shd w:val="clear" w:color="auto" w:fill="E7E6E6"/>
            <w:vAlign w:val="center"/>
          </w:tcPr>
          <w:p w14:paraId="491704A6" w14:textId="6819FD16"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5%</w:t>
            </w:r>
          </w:p>
        </w:tc>
        <w:tc>
          <w:tcPr>
            <w:tcW w:w="1010" w:type="dxa"/>
            <w:tcBorders>
              <w:top w:val="single" w:sz="6" w:space="0" w:color="auto"/>
              <w:left w:val="nil"/>
              <w:bottom w:val="single" w:sz="12" w:space="0" w:color="404040" w:themeColor="text1" w:themeTint="BF"/>
              <w:right w:val="nil"/>
            </w:tcBorders>
            <w:shd w:val="clear" w:color="auto" w:fill="E7E6E6"/>
            <w:vAlign w:val="center"/>
          </w:tcPr>
          <w:p w14:paraId="6A5B0260" w14:textId="297C1893"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78%</w:t>
            </w:r>
          </w:p>
        </w:tc>
        <w:tc>
          <w:tcPr>
            <w:tcW w:w="1080" w:type="dxa"/>
            <w:tcBorders>
              <w:top w:val="single" w:sz="6" w:space="0" w:color="auto"/>
              <w:left w:val="single" w:sz="6" w:space="0" w:color="auto"/>
              <w:bottom w:val="single" w:sz="12" w:space="0" w:color="404040" w:themeColor="text1" w:themeTint="BF"/>
              <w:right w:val="nil"/>
            </w:tcBorders>
            <w:shd w:val="clear" w:color="auto" w:fill="E7E6E6"/>
            <w:vAlign w:val="center"/>
          </w:tcPr>
          <w:p w14:paraId="66F6FF75" w14:textId="32C9036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5,320</w:t>
            </w:r>
          </w:p>
        </w:tc>
        <w:tc>
          <w:tcPr>
            <w:tcW w:w="1080" w:type="dxa"/>
            <w:tcBorders>
              <w:top w:val="single" w:sz="6" w:space="0" w:color="auto"/>
              <w:left w:val="nil"/>
              <w:bottom w:val="single" w:sz="12" w:space="0" w:color="404040" w:themeColor="text1" w:themeTint="BF"/>
              <w:right w:val="nil"/>
            </w:tcBorders>
            <w:shd w:val="clear" w:color="auto" w:fill="E7E6E6"/>
            <w:vAlign w:val="center"/>
          </w:tcPr>
          <w:p w14:paraId="060664E9" w14:textId="2348F3F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88%</w:t>
            </w:r>
          </w:p>
        </w:tc>
        <w:tc>
          <w:tcPr>
            <w:tcW w:w="1080" w:type="dxa"/>
            <w:tcBorders>
              <w:top w:val="single" w:sz="6" w:space="0" w:color="auto"/>
              <w:left w:val="nil"/>
              <w:bottom w:val="single" w:sz="12" w:space="0" w:color="404040" w:themeColor="text1" w:themeTint="BF"/>
              <w:right w:val="nil"/>
            </w:tcBorders>
            <w:shd w:val="clear" w:color="auto" w:fill="E7E6E6"/>
            <w:vAlign w:val="center"/>
          </w:tcPr>
          <w:p w14:paraId="1B211AE6" w14:textId="13260406"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w:t>
            </w:r>
          </w:p>
        </w:tc>
        <w:tc>
          <w:tcPr>
            <w:tcW w:w="1080" w:type="dxa"/>
            <w:tcBorders>
              <w:top w:val="single" w:sz="6" w:space="0" w:color="auto"/>
              <w:left w:val="nil"/>
              <w:bottom w:val="single" w:sz="12" w:space="0" w:color="404040" w:themeColor="text1" w:themeTint="BF"/>
              <w:right w:val="nil"/>
            </w:tcBorders>
            <w:shd w:val="clear" w:color="auto" w:fill="E7E6E6"/>
            <w:vAlign w:val="center"/>
          </w:tcPr>
          <w:p w14:paraId="163B85F8" w14:textId="3B0B2E6D"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75%</w:t>
            </w:r>
          </w:p>
        </w:tc>
        <w:tc>
          <w:tcPr>
            <w:tcW w:w="1080" w:type="dxa"/>
            <w:tcBorders>
              <w:top w:val="single" w:sz="6" w:space="0" w:color="auto"/>
              <w:left w:val="single" w:sz="6" w:space="0" w:color="auto"/>
              <w:bottom w:val="single" w:sz="12" w:space="0" w:color="404040" w:themeColor="text1" w:themeTint="BF"/>
              <w:right w:val="nil"/>
            </w:tcBorders>
            <w:shd w:val="clear" w:color="auto" w:fill="E7E6E6"/>
            <w:vAlign w:val="center"/>
          </w:tcPr>
          <w:p w14:paraId="3125E4AA" w14:textId="09E236D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5,580</w:t>
            </w:r>
          </w:p>
        </w:tc>
        <w:tc>
          <w:tcPr>
            <w:tcW w:w="1080" w:type="dxa"/>
            <w:tcBorders>
              <w:top w:val="single" w:sz="6" w:space="0" w:color="auto"/>
              <w:left w:val="nil"/>
              <w:bottom w:val="single" w:sz="12" w:space="0" w:color="404040" w:themeColor="text1" w:themeTint="BF"/>
              <w:right w:val="nil"/>
            </w:tcBorders>
            <w:shd w:val="clear" w:color="auto" w:fill="E7E6E6"/>
            <w:vAlign w:val="center"/>
          </w:tcPr>
          <w:p w14:paraId="62562751" w14:textId="415868B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84%</w:t>
            </w:r>
          </w:p>
        </w:tc>
        <w:tc>
          <w:tcPr>
            <w:tcW w:w="1080" w:type="dxa"/>
            <w:tcBorders>
              <w:top w:val="single" w:sz="6" w:space="0" w:color="auto"/>
              <w:left w:val="nil"/>
              <w:bottom w:val="single" w:sz="12" w:space="0" w:color="404040" w:themeColor="text1" w:themeTint="BF"/>
              <w:right w:val="nil"/>
            </w:tcBorders>
            <w:shd w:val="clear" w:color="auto" w:fill="E7E6E6"/>
            <w:vAlign w:val="center"/>
          </w:tcPr>
          <w:p w14:paraId="5252C8D4" w14:textId="5FFB71C6"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w:t>
            </w:r>
          </w:p>
        </w:tc>
        <w:tc>
          <w:tcPr>
            <w:tcW w:w="1080" w:type="dxa"/>
            <w:tcBorders>
              <w:top w:val="single" w:sz="6" w:space="0" w:color="auto"/>
              <w:left w:val="nil"/>
              <w:bottom w:val="single" w:sz="12" w:space="0" w:color="404040" w:themeColor="text1" w:themeTint="BF"/>
              <w:right w:val="nil"/>
            </w:tcBorders>
            <w:shd w:val="clear" w:color="auto" w:fill="E7E6E6"/>
            <w:vAlign w:val="center"/>
          </w:tcPr>
          <w:p w14:paraId="67C9875F" w14:textId="526F0AB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70%</w:t>
            </w:r>
          </w:p>
        </w:tc>
      </w:tr>
      <w:tr w:rsidR="00710C53" w:rsidRPr="00C64BA4" w14:paraId="52EBB05D" w14:textId="77777777" w:rsidTr="00710C53">
        <w:trPr>
          <w:trHeight w:val="269"/>
        </w:trPr>
        <w:tc>
          <w:tcPr>
            <w:tcW w:w="1278" w:type="dxa"/>
            <w:tcBorders>
              <w:top w:val="single" w:sz="12" w:space="0" w:color="404040" w:themeColor="text1" w:themeTint="BF"/>
              <w:left w:val="nil"/>
              <w:bottom w:val="single" w:sz="12" w:space="0" w:color="404040" w:themeColor="text1" w:themeTint="BF"/>
              <w:right w:val="nil"/>
            </w:tcBorders>
            <w:vAlign w:val="center"/>
          </w:tcPr>
          <w:p w14:paraId="420216AB" w14:textId="08753AE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SNHPC</w:t>
            </w:r>
          </w:p>
        </w:tc>
        <w:tc>
          <w:tcPr>
            <w:tcW w:w="1080" w:type="dxa"/>
            <w:tcBorders>
              <w:top w:val="single" w:sz="12" w:space="0" w:color="404040" w:themeColor="text1" w:themeTint="BF"/>
              <w:left w:val="single" w:sz="6" w:space="0" w:color="auto"/>
              <w:bottom w:val="single" w:sz="12" w:space="0" w:color="404040" w:themeColor="text1" w:themeTint="BF"/>
              <w:right w:val="nil"/>
            </w:tcBorders>
            <w:vAlign w:val="center"/>
          </w:tcPr>
          <w:p w14:paraId="0BE5C525" w14:textId="2E9C9AD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107,390</w:t>
            </w:r>
          </w:p>
        </w:tc>
        <w:tc>
          <w:tcPr>
            <w:tcW w:w="1055" w:type="dxa"/>
            <w:tcBorders>
              <w:top w:val="single" w:sz="12" w:space="0" w:color="404040" w:themeColor="text1" w:themeTint="BF"/>
              <w:left w:val="nil"/>
              <w:bottom w:val="single" w:sz="12" w:space="0" w:color="404040" w:themeColor="text1" w:themeTint="BF"/>
              <w:right w:val="nil"/>
            </w:tcBorders>
            <w:vAlign w:val="center"/>
          </w:tcPr>
          <w:p w14:paraId="51223F09" w14:textId="60750D46"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65%</w:t>
            </w:r>
          </w:p>
        </w:tc>
        <w:tc>
          <w:tcPr>
            <w:tcW w:w="995" w:type="dxa"/>
            <w:tcBorders>
              <w:top w:val="single" w:sz="12" w:space="0" w:color="404040" w:themeColor="text1" w:themeTint="BF"/>
              <w:left w:val="nil"/>
              <w:bottom w:val="single" w:sz="12" w:space="0" w:color="404040" w:themeColor="text1" w:themeTint="BF"/>
              <w:right w:val="nil"/>
            </w:tcBorders>
            <w:vAlign w:val="center"/>
          </w:tcPr>
          <w:p w14:paraId="1D08882A" w14:textId="2EB4AFBB"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29%</w:t>
            </w:r>
          </w:p>
        </w:tc>
        <w:tc>
          <w:tcPr>
            <w:tcW w:w="1010" w:type="dxa"/>
            <w:tcBorders>
              <w:top w:val="single" w:sz="12" w:space="0" w:color="404040" w:themeColor="text1" w:themeTint="BF"/>
              <w:left w:val="nil"/>
              <w:bottom w:val="single" w:sz="12" w:space="0" w:color="404040" w:themeColor="text1" w:themeTint="BF"/>
              <w:right w:val="nil"/>
            </w:tcBorders>
            <w:vAlign w:val="center"/>
          </w:tcPr>
          <w:p w14:paraId="4CAF2ACA" w14:textId="4791F77A"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78%</w:t>
            </w:r>
          </w:p>
        </w:tc>
        <w:tc>
          <w:tcPr>
            <w:tcW w:w="1080" w:type="dxa"/>
            <w:tcBorders>
              <w:top w:val="single" w:sz="12" w:space="0" w:color="404040" w:themeColor="text1" w:themeTint="BF"/>
              <w:left w:val="single" w:sz="6" w:space="0" w:color="auto"/>
              <w:bottom w:val="single" w:sz="12" w:space="0" w:color="404040" w:themeColor="text1" w:themeTint="BF"/>
              <w:right w:val="nil"/>
            </w:tcBorders>
            <w:vAlign w:val="center"/>
          </w:tcPr>
          <w:p w14:paraId="639BAB96" w14:textId="5E88F43E"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109,850</w:t>
            </w:r>
          </w:p>
        </w:tc>
        <w:tc>
          <w:tcPr>
            <w:tcW w:w="1080" w:type="dxa"/>
            <w:tcBorders>
              <w:top w:val="single" w:sz="12" w:space="0" w:color="404040" w:themeColor="text1" w:themeTint="BF"/>
              <w:left w:val="nil"/>
              <w:bottom w:val="single" w:sz="12" w:space="0" w:color="404040" w:themeColor="text1" w:themeTint="BF"/>
              <w:right w:val="nil"/>
            </w:tcBorders>
            <w:vAlign w:val="center"/>
          </w:tcPr>
          <w:p w14:paraId="5E44AD8D" w14:textId="5197A6F5"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62%</w:t>
            </w:r>
          </w:p>
        </w:tc>
        <w:tc>
          <w:tcPr>
            <w:tcW w:w="1080" w:type="dxa"/>
            <w:tcBorders>
              <w:top w:val="single" w:sz="12" w:space="0" w:color="404040" w:themeColor="text1" w:themeTint="BF"/>
              <w:left w:val="nil"/>
              <w:bottom w:val="single" w:sz="12" w:space="0" w:color="404040" w:themeColor="text1" w:themeTint="BF"/>
              <w:right w:val="nil"/>
            </w:tcBorders>
            <w:vAlign w:val="center"/>
          </w:tcPr>
          <w:p w14:paraId="78A4B789" w14:textId="443A978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31%</w:t>
            </w:r>
          </w:p>
        </w:tc>
        <w:tc>
          <w:tcPr>
            <w:tcW w:w="1080" w:type="dxa"/>
            <w:tcBorders>
              <w:top w:val="single" w:sz="12" w:space="0" w:color="404040" w:themeColor="text1" w:themeTint="BF"/>
              <w:left w:val="nil"/>
              <w:bottom w:val="single" w:sz="12" w:space="0" w:color="404040" w:themeColor="text1" w:themeTint="BF"/>
              <w:right w:val="nil"/>
            </w:tcBorders>
            <w:vAlign w:val="center"/>
          </w:tcPr>
          <w:p w14:paraId="491A5450" w14:textId="03909203"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75%</w:t>
            </w:r>
          </w:p>
        </w:tc>
        <w:tc>
          <w:tcPr>
            <w:tcW w:w="1080" w:type="dxa"/>
            <w:tcBorders>
              <w:top w:val="single" w:sz="12" w:space="0" w:color="404040" w:themeColor="text1" w:themeTint="BF"/>
              <w:left w:val="single" w:sz="6" w:space="0" w:color="auto"/>
              <w:bottom w:val="single" w:sz="12" w:space="0" w:color="404040" w:themeColor="text1" w:themeTint="BF"/>
              <w:right w:val="nil"/>
            </w:tcBorders>
            <w:vAlign w:val="center"/>
          </w:tcPr>
          <w:p w14:paraId="5431682A" w14:textId="0E1D867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112,780</w:t>
            </w:r>
          </w:p>
        </w:tc>
        <w:tc>
          <w:tcPr>
            <w:tcW w:w="1080" w:type="dxa"/>
            <w:tcBorders>
              <w:top w:val="single" w:sz="12" w:space="0" w:color="404040" w:themeColor="text1" w:themeTint="BF"/>
              <w:left w:val="nil"/>
              <w:bottom w:val="single" w:sz="12" w:space="0" w:color="404040" w:themeColor="text1" w:themeTint="BF"/>
              <w:right w:val="nil"/>
            </w:tcBorders>
            <w:vAlign w:val="center"/>
          </w:tcPr>
          <w:p w14:paraId="5FF16D6D" w14:textId="2951CAB1"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62%</w:t>
            </w:r>
          </w:p>
        </w:tc>
        <w:tc>
          <w:tcPr>
            <w:tcW w:w="1080" w:type="dxa"/>
            <w:tcBorders>
              <w:top w:val="single" w:sz="12" w:space="0" w:color="404040" w:themeColor="text1" w:themeTint="BF"/>
              <w:left w:val="nil"/>
              <w:bottom w:val="single" w:sz="12" w:space="0" w:color="404040" w:themeColor="text1" w:themeTint="BF"/>
              <w:right w:val="nil"/>
            </w:tcBorders>
            <w:vAlign w:val="center"/>
          </w:tcPr>
          <w:p w14:paraId="346CC877" w14:textId="0C04202B"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33%</w:t>
            </w:r>
          </w:p>
        </w:tc>
        <w:tc>
          <w:tcPr>
            <w:tcW w:w="1080" w:type="dxa"/>
            <w:tcBorders>
              <w:top w:val="single" w:sz="12" w:space="0" w:color="404040" w:themeColor="text1" w:themeTint="BF"/>
              <w:left w:val="nil"/>
              <w:bottom w:val="single" w:sz="12" w:space="0" w:color="404040" w:themeColor="text1" w:themeTint="BF"/>
              <w:right w:val="nil"/>
            </w:tcBorders>
            <w:vAlign w:val="center"/>
          </w:tcPr>
          <w:p w14:paraId="4601FC49" w14:textId="7986AA3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71%</w:t>
            </w:r>
          </w:p>
        </w:tc>
      </w:tr>
      <w:tr w:rsidR="00710C53" w:rsidRPr="00C64BA4" w14:paraId="638EECDA" w14:textId="77777777" w:rsidTr="00710C53">
        <w:trPr>
          <w:trHeight w:val="269"/>
        </w:trPr>
        <w:tc>
          <w:tcPr>
            <w:tcW w:w="1278" w:type="dxa"/>
            <w:tcBorders>
              <w:top w:val="single" w:sz="12" w:space="0" w:color="404040" w:themeColor="text1" w:themeTint="BF"/>
              <w:left w:val="nil"/>
              <w:bottom w:val="nil"/>
              <w:right w:val="nil"/>
            </w:tcBorders>
            <w:shd w:val="clear" w:color="auto" w:fill="E7E6E6"/>
            <w:vAlign w:val="center"/>
          </w:tcPr>
          <w:p w14:paraId="4BA25171" w14:textId="72DEB01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NH</w:t>
            </w:r>
          </w:p>
        </w:tc>
        <w:tc>
          <w:tcPr>
            <w:tcW w:w="1080" w:type="dxa"/>
            <w:tcBorders>
              <w:top w:val="single" w:sz="12" w:space="0" w:color="404040" w:themeColor="text1" w:themeTint="BF"/>
              <w:left w:val="single" w:sz="6" w:space="0" w:color="auto"/>
              <w:bottom w:val="nil"/>
              <w:right w:val="nil"/>
            </w:tcBorders>
            <w:shd w:val="clear" w:color="auto" w:fill="E7E6E6"/>
            <w:vAlign w:val="center"/>
          </w:tcPr>
          <w:p w14:paraId="62ADF58F" w14:textId="148D7854"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607,760</w:t>
            </w:r>
          </w:p>
        </w:tc>
        <w:tc>
          <w:tcPr>
            <w:tcW w:w="1055" w:type="dxa"/>
            <w:tcBorders>
              <w:top w:val="single" w:sz="12" w:space="0" w:color="404040" w:themeColor="text1" w:themeTint="BF"/>
              <w:left w:val="nil"/>
              <w:bottom w:val="nil"/>
              <w:right w:val="nil"/>
            </w:tcBorders>
            <w:shd w:val="clear" w:color="auto" w:fill="E7E6E6"/>
            <w:vAlign w:val="center"/>
          </w:tcPr>
          <w:p w14:paraId="14B27543" w14:textId="0A82D7C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61%</w:t>
            </w:r>
          </w:p>
        </w:tc>
        <w:tc>
          <w:tcPr>
            <w:tcW w:w="995" w:type="dxa"/>
            <w:tcBorders>
              <w:top w:val="single" w:sz="12" w:space="0" w:color="404040" w:themeColor="text1" w:themeTint="BF"/>
              <w:left w:val="nil"/>
              <w:bottom w:val="nil"/>
              <w:right w:val="nil"/>
            </w:tcBorders>
            <w:shd w:val="clear" w:color="auto" w:fill="E7E6E6"/>
            <w:vAlign w:val="center"/>
          </w:tcPr>
          <w:p w14:paraId="7AD932A7" w14:textId="05DBDCD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23%</w:t>
            </w:r>
          </w:p>
        </w:tc>
        <w:tc>
          <w:tcPr>
            <w:tcW w:w="1010" w:type="dxa"/>
            <w:tcBorders>
              <w:top w:val="single" w:sz="12" w:space="0" w:color="404040" w:themeColor="text1" w:themeTint="BF"/>
              <w:left w:val="nil"/>
              <w:bottom w:val="nil"/>
              <w:right w:val="nil"/>
            </w:tcBorders>
            <w:shd w:val="clear" w:color="auto" w:fill="E7E6E6"/>
            <w:vAlign w:val="center"/>
          </w:tcPr>
          <w:p w14:paraId="5779A020" w14:textId="5CA7DFD9"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71%</w:t>
            </w:r>
          </w:p>
        </w:tc>
        <w:tc>
          <w:tcPr>
            <w:tcW w:w="1080" w:type="dxa"/>
            <w:tcBorders>
              <w:top w:val="single" w:sz="12" w:space="0" w:color="404040" w:themeColor="text1" w:themeTint="BF"/>
              <w:left w:val="single" w:sz="6" w:space="0" w:color="auto"/>
              <w:bottom w:val="nil"/>
              <w:right w:val="nil"/>
            </w:tcBorders>
            <w:shd w:val="clear" w:color="auto" w:fill="E7E6E6"/>
            <w:vAlign w:val="center"/>
          </w:tcPr>
          <w:p w14:paraId="5E1DD456" w14:textId="27C6C658"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618,950</w:t>
            </w:r>
          </w:p>
        </w:tc>
        <w:tc>
          <w:tcPr>
            <w:tcW w:w="1080" w:type="dxa"/>
            <w:tcBorders>
              <w:top w:val="single" w:sz="12" w:space="0" w:color="404040" w:themeColor="text1" w:themeTint="BF"/>
              <w:left w:val="nil"/>
              <w:bottom w:val="nil"/>
              <w:right w:val="nil"/>
            </w:tcBorders>
            <w:shd w:val="clear" w:color="auto" w:fill="E7E6E6"/>
            <w:vAlign w:val="center"/>
          </w:tcPr>
          <w:p w14:paraId="3A267C9B" w14:textId="08623C47"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60%</w:t>
            </w:r>
          </w:p>
        </w:tc>
        <w:tc>
          <w:tcPr>
            <w:tcW w:w="1080" w:type="dxa"/>
            <w:tcBorders>
              <w:top w:val="single" w:sz="12" w:space="0" w:color="404040" w:themeColor="text1" w:themeTint="BF"/>
              <w:left w:val="nil"/>
              <w:bottom w:val="nil"/>
              <w:right w:val="nil"/>
            </w:tcBorders>
            <w:shd w:val="clear" w:color="auto" w:fill="E7E6E6"/>
            <w:vAlign w:val="center"/>
          </w:tcPr>
          <w:p w14:paraId="2567FCD8" w14:textId="0ABB54F0"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24%</w:t>
            </w:r>
          </w:p>
        </w:tc>
        <w:tc>
          <w:tcPr>
            <w:tcW w:w="1080" w:type="dxa"/>
            <w:tcBorders>
              <w:top w:val="single" w:sz="12" w:space="0" w:color="404040" w:themeColor="text1" w:themeTint="BF"/>
              <w:left w:val="nil"/>
              <w:bottom w:val="nil"/>
              <w:right w:val="nil"/>
            </w:tcBorders>
            <w:shd w:val="clear" w:color="auto" w:fill="E7E6E6"/>
            <w:vAlign w:val="center"/>
          </w:tcPr>
          <w:p w14:paraId="46CA9FD4" w14:textId="6F3D9795"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68%</w:t>
            </w:r>
          </w:p>
        </w:tc>
        <w:tc>
          <w:tcPr>
            <w:tcW w:w="1080" w:type="dxa"/>
            <w:tcBorders>
              <w:top w:val="single" w:sz="12" w:space="0" w:color="404040" w:themeColor="text1" w:themeTint="BF"/>
              <w:left w:val="single" w:sz="6" w:space="0" w:color="auto"/>
              <w:bottom w:val="nil"/>
              <w:right w:val="nil"/>
            </w:tcBorders>
            <w:shd w:val="clear" w:color="auto" w:fill="E7E6E6"/>
            <w:vAlign w:val="center"/>
          </w:tcPr>
          <w:p w14:paraId="266316F9" w14:textId="15D8150E"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638,610</w:t>
            </w:r>
          </w:p>
        </w:tc>
        <w:tc>
          <w:tcPr>
            <w:tcW w:w="1080" w:type="dxa"/>
            <w:tcBorders>
              <w:top w:val="single" w:sz="12" w:space="0" w:color="404040" w:themeColor="text1" w:themeTint="BF"/>
              <w:left w:val="nil"/>
              <w:bottom w:val="nil"/>
              <w:right w:val="nil"/>
            </w:tcBorders>
            <w:shd w:val="clear" w:color="auto" w:fill="E7E6E6"/>
            <w:vAlign w:val="center"/>
          </w:tcPr>
          <w:p w14:paraId="0709B8A0" w14:textId="5B51A942"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60%</w:t>
            </w:r>
          </w:p>
        </w:tc>
        <w:tc>
          <w:tcPr>
            <w:tcW w:w="1080" w:type="dxa"/>
            <w:tcBorders>
              <w:top w:val="single" w:sz="12" w:space="0" w:color="404040" w:themeColor="text1" w:themeTint="BF"/>
              <w:left w:val="nil"/>
              <w:bottom w:val="nil"/>
              <w:right w:val="nil"/>
            </w:tcBorders>
            <w:shd w:val="clear" w:color="auto" w:fill="E7E6E6"/>
            <w:vAlign w:val="center"/>
          </w:tcPr>
          <w:p w14:paraId="12044DA7" w14:textId="11FC886F"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24%</w:t>
            </w:r>
          </w:p>
        </w:tc>
        <w:tc>
          <w:tcPr>
            <w:tcW w:w="1080" w:type="dxa"/>
            <w:tcBorders>
              <w:top w:val="single" w:sz="12" w:space="0" w:color="404040" w:themeColor="text1" w:themeTint="BF"/>
              <w:left w:val="nil"/>
              <w:bottom w:val="nil"/>
              <w:right w:val="nil"/>
            </w:tcBorders>
            <w:shd w:val="clear" w:color="auto" w:fill="E7E6E6"/>
            <w:vAlign w:val="center"/>
          </w:tcPr>
          <w:p w14:paraId="105EEE6D" w14:textId="2B462493" w:rsidR="3ECF986A" w:rsidRPr="00C64BA4" w:rsidRDefault="3ECF986A" w:rsidP="00206C45">
            <w:pPr>
              <w:spacing w:after="0" w:line="300" w:lineRule="auto"/>
              <w:jc w:val="center"/>
              <w:rPr>
                <w:rFonts w:eastAsia="Tw Cen MT" w:cs="Tw Cen MT"/>
                <w:color w:val="000000" w:themeColor="text1"/>
                <w:sz w:val="20"/>
                <w:szCs w:val="20"/>
              </w:rPr>
            </w:pPr>
            <w:r w:rsidRPr="00C64BA4">
              <w:rPr>
                <w:rFonts w:eastAsia="Tw Cen MT" w:cs="Tw Cen MT"/>
                <w:color w:val="000000" w:themeColor="text1"/>
                <w:sz w:val="20"/>
                <w:szCs w:val="20"/>
              </w:rPr>
              <w:t>65%</w:t>
            </w:r>
          </w:p>
        </w:tc>
      </w:tr>
      <w:tr w:rsidR="3ECF986A" w:rsidRPr="00C64BA4" w14:paraId="238C1626" w14:textId="77777777" w:rsidTr="00710C53">
        <w:trPr>
          <w:trHeight w:val="74"/>
        </w:trPr>
        <w:tc>
          <w:tcPr>
            <w:tcW w:w="14058" w:type="dxa"/>
            <w:gridSpan w:val="13"/>
            <w:tcBorders>
              <w:top w:val="nil"/>
              <w:left w:val="nil"/>
              <w:bottom w:val="nil"/>
              <w:right w:val="nil"/>
            </w:tcBorders>
            <w:vAlign w:val="center"/>
          </w:tcPr>
          <w:p w14:paraId="5D6D5CD5" w14:textId="4F561972" w:rsidR="3ECF986A" w:rsidRPr="00C64BA4" w:rsidRDefault="3ECF986A" w:rsidP="00206C45">
            <w:pPr>
              <w:spacing w:after="0"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5-Year American Community Survey</w:t>
            </w:r>
          </w:p>
        </w:tc>
      </w:tr>
      <w:tr w:rsidR="3ECF986A" w:rsidRPr="00C64BA4" w14:paraId="137082A7" w14:textId="77777777" w:rsidTr="00710C53">
        <w:trPr>
          <w:trHeight w:val="74"/>
        </w:trPr>
        <w:tc>
          <w:tcPr>
            <w:tcW w:w="14058" w:type="dxa"/>
            <w:gridSpan w:val="13"/>
            <w:tcBorders>
              <w:top w:val="nil"/>
              <w:left w:val="nil"/>
              <w:bottom w:val="nil"/>
              <w:right w:val="nil"/>
            </w:tcBorders>
            <w:vAlign w:val="center"/>
          </w:tcPr>
          <w:p w14:paraId="260DA77C" w14:textId="79FE03A1" w:rsidR="3ECF986A" w:rsidRPr="00C64BA4" w:rsidRDefault="3ECF986A" w:rsidP="00206C45">
            <w:pPr>
              <w:spacing w:after="0"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US Census Bureau</w:t>
            </w:r>
          </w:p>
        </w:tc>
      </w:tr>
    </w:tbl>
    <w:p w14:paraId="66031D89" w14:textId="77777777" w:rsidR="00710C53" w:rsidRPr="00C64BA4" w:rsidRDefault="00710C53" w:rsidP="00206C45">
      <w:pPr>
        <w:spacing w:line="300" w:lineRule="auto"/>
        <w:rPr>
          <w:lang w:val="en"/>
        </w:rPr>
        <w:sectPr w:rsidR="00710C53" w:rsidRPr="00C64BA4" w:rsidSect="008142C8">
          <w:pgSz w:w="15840" w:h="12240" w:orient="landscape" w:code="1"/>
          <w:pgMar w:top="1440" w:right="907" w:bottom="1440" w:left="1080" w:header="432" w:footer="288" w:gutter="0"/>
          <w:cols w:space="720"/>
          <w:docGrid w:linePitch="360"/>
        </w:sectPr>
      </w:pPr>
    </w:p>
    <w:p w14:paraId="6EC21233" w14:textId="13AA3088" w:rsidR="00B40F3B" w:rsidRPr="00C64BA4" w:rsidRDefault="135E5A68" w:rsidP="00206C45">
      <w:pPr>
        <w:pStyle w:val="Heading3"/>
        <w:spacing w:line="300" w:lineRule="auto"/>
        <w:rPr>
          <w:lang w:val="en"/>
        </w:rPr>
      </w:pPr>
      <w:bookmarkStart w:id="74" w:name="_Toc128137957"/>
      <w:r w:rsidRPr="00C64BA4">
        <w:rPr>
          <w:lang w:val="en"/>
        </w:rPr>
        <w:lastRenderedPageBreak/>
        <w:t>Commuter patterns</w:t>
      </w:r>
      <w:bookmarkEnd w:id="74"/>
      <w:r w:rsidRPr="00C64BA4">
        <w:rPr>
          <w:lang w:val="en"/>
        </w:rPr>
        <w:t xml:space="preserve"> </w:t>
      </w:r>
    </w:p>
    <w:p w14:paraId="1826AB67" w14:textId="5AD6D59B" w:rsidR="35DFFA44" w:rsidRPr="00C64BA4" w:rsidRDefault="35DFFA44" w:rsidP="00206C45">
      <w:pPr>
        <w:pStyle w:val="Body"/>
        <w:spacing w:line="300" w:lineRule="auto"/>
        <w:rPr>
          <w:lang w:val="en"/>
        </w:rPr>
      </w:pPr>
      <w:r w:rsidRPr="00C64BA4">
        <w:rPr>
          <w:lang w:val="en"/>
        </w:rPr>
        <w:t>According to the LEHD Origin-Destination Employment Statistics from the US Census Bureau,</w:t>
      </w:r>
      <w:r w:rsidR="099ED24A" w:rsidRPr="00C64BA4">
        <w:rPr>
          <w:lang w:val="en"/>
        </w:rPr>
        <w:t xml:space="preserve"> 74,240 people in the SNHPC region commuted within the region</w:t>
      </w:r>
      <w:r w:rsidR="67FE4A16" w:rsidRPr="00C64BA4">
        <w:rPr>
          <w:lang w:val="en"/>
        </w:rPr>
        <w:t xml:space="preserve"> in 2019</w:t>
      </w:r>
      <w:r w:rsidR="099ED24A" w:rsidRPr="00C64BA4">
        <w:rPr>
          <w:lang w:val="en"/>
        </w:rPr>
        <w:t xml:space="preserve">. </w:t>
      </w:r>
      <w:r w:rsidR="5F5E7FD9" w:rsidRPr="00C64BA4">
        <w:rPr>
          <w:lang w:val="en"/>
        </w:rPr>
        <w:t>In the same year, t</w:t>
      </w:r>
      <w:r w:rsidR="44B6A993" w:rsidRPr="00C64BA4">
        <w:rPr>
          <w:lang w:val="en"/>
        </w:rPr>
        <w:t>he number of people</w:t>
      </w:r>
      <w:r w:rsidR="7BA86609" w:rsidRPr="00C64BA4">
        <w:rPr>
          <w:lang w:val="en"/>
        </w:rPr>
        <w:t xml:space="preserve"> who commuted</w:t>
      </w:r>
      <w:r w:rsidR="44B6A993" w:rsidRPr="00C64BA4">
        <w:rPr>
          <w:lang w:val="en"/>
        </w:rPr>
        <w:t xml:space="preserve"> out of the SNHPC</w:t>
      </w:r>
      <w:r w:rsidR="2711F7F2" w:rsidRPr="00C64BA4">
        <w:rPr>
          <w:lang w:val="en"/>
        </w:rPr>
        <w:t xml:space="preserve"> region (79,690)</w:t>
      </w:r>
      <w:r w:rsidR="44B6A993" w:rsidRPr="00C64BA4">
        <w:rPr>
          <w:lang w:val="en"/>
        </w:rPr>
        <w:t xml:space="preserve"> </w:t>
      </w:r>
      <w:r w:rsidR="000C0D41" w:rsidRPr="00C64BA4">
        <w:rPr>
          <w:lang w:val="en"/>
        </w:rPr>
        <w:t>was</w:t>
      </w:r>
      <w:r w:rsidR="44B6A993" w:rsidRPr="00C64BA4">
        <w:rPr>
          <w:lang w:val="en"/>
        </w:rPr>
        <w:t xml:space="preserve"> greater than the</w:t>
      </w:r>
      <w:r w:rsidR="7BA1A9BC" w:rsidRPr="00C64BA4">
        <w:rPr>
          <w:lang w:val="en"/>
        </w:rPr>
        <w:t xml:space="preserve"> number of people </w:t>
      </w:r>
      <w:r w:rsidR="39258512" w:rsidRPr="00C64BA4">
        <w:rPr>
          <w:lang w:val="en"/>
        </w:rPr>
        <w:t xml:space="preserve">who </w:t>
      </w:r>
      <w:r w:rsidR="7BA1A9BC" w:rsidRPr="00C64BA4">
        <w:rPr>
          <w:lang w:val="en"/>
        </w:rPr>
        <w:t>commut</w:t>
      </w:r>
      <w:r w:rsidR="406576A0" w:rsidRPr="00C64BA4">
        <w:rPr>
          <w:lang w:val="en"/>
        </w:rPr>
        <w:t>ed</w:t>
      </w:r>
      <w:r w:rsidR="7BA1A9BC" w:rsidRPr="00C64BA4">
        <w:rPr>
          <w:lang w:val="en"/>
        </w:rPr>
        <w:t xml:space="preserve"> into the SNHPC region</w:t>
      </w:r>
      <w:r w:rsidR="47CDBE73" w:rsidRPr="00C64BA4">
        <w:rPr>
          <w:lang w:val="en"/>
        </w:rPr>
        <w:t xml:space="preserve"> (70,230)</w:t>
      </w:r>
      <w:r w:rsidR="7BA1A9BC" w:rsidRPr="00C64BA4">
        <w:rPr>
          <w:lang w:val="en"/>
        </w:rPr>
        <w:t xml:space="preserve">. </w:t>
      </w:r>
      <w:r w:rsidR="4DDD8510" w:rsidRPr="00C64BA4">
        <w:rPr>
          <w:lang w:val="en"/>
        </w:rPr>
        <w:t>This equals a net of –9,460 commute</w:t>
      </w:r>
      <w:r w:rsidR="09FC40BA" w:rsidRPr="00C64BA4">
        <w:rPr>
          <w:lang w:val="en"/>
        </w:rPr>
        <w:t>r</w:t>
      </w:r>
      <w:r w:rsidR="4DDD8510" w:rsidRPr="00C64BA4">
        <w:rPr>
          <w:lang w:val="en"/>
        </w:rPr>
        <w:t>s or -4%. This</w:t>
      </w:r>
      <w:r w:rsidR="53BFE952" w:rsidRPr="00C64BA4">
        <w:rPr>
          <w:lang w:val="en"/>
        </w:rPr>
        <w:t xml:space="preserve"> remained consistent for both the SNHPC region and the State </w:t>
      </w:r>
      <w:r w:rsidR="72EAC13F" w:rsidRPr="00C64BA4">
        <w:rPr>
          <w:lang w:val="en"/>
        </w:rPr>
        <w:t>from 2014-2019</w:t>
      </w:r>
      <w:r w:rsidR="53BFE952" w:rsidRPr="00C64BA4">
        <w:rPr>
          <w:lang w:val="en"/>
        </w:rPr>
        <w:t>.</w:t>
      </w:r>
    </w:p>
    <w:p w14:paraId="27EAEA7A" w14:textId="788C4957" w:rsidR="0024790F" w:rsidRDefault="00C96C23" w:rsidP="00206C45">
      <w:pPr>
        <w:pStyle w:val="Caption"/>
        <w:keepNext/>
        <w:spacing w:line="300" w:lineRule="auto"/>
      </w:pPr>
      <w:bookmarkStart w:id="75" w:name="_Toc128137899"/>
      <w:r>
        <w:t>Table</w:t>
      </w:r>
      <w:r w:rsidR="0024790F">
        <w:t xml:space="preserve"> </w:t>
      </w:r>
      <w:r w:rsidR="0062538A">
        <w:fldChar w:fldCharType="begin"/>
      </w:r>
      <w:r w:rsidR="0062538A">
        <w:instrText xml:space="preserve"> SEQ Table \* ARABIC </w:instrText>
      </w:r>
      <w:r w:rsidR="0062538A">
        <w:fldChar w:fldCharType="separate"/>
      </w:r>
      <w:r w:rsidR="008B512A">
        <w:rPr>
          <w:noProof/>
        </w:rPr>
        <w:t>8</w:t>
      </w:r>
      <w:r w:rsidR="0062538A">
        <w:rPr>
          <w:noProof/>
        </w:rPr>
        <w:fldChar w:fldCharType="end"/>
      </w:r>
      <w:r w:rsidR="0024790F">
        <w:t>: Commuter Origin/ Destination</w:t>
      </w:r>
      <w:bookmarkEnd w:id="75"/>
    </w:p>
    <w:tbl>
      <w:tblPr>
        <w:tblW w:w="9738" w:type="dxa"/>
        <w:tblLayout w:type="fixed"/>
        <w:tblLook w:val="04A0" w:firstRow="1" w:lastRow="0" w:firstColumn="1" w:lastColumn="0" w:noHBand="0" w:noVBand="1"/>
      </w:tblPr>
      <w:tblGrid>
        <w:gridCol w:w="917"/>
        <w:gridCol w:w="991"/>
        <w:gridCol w:w="990"/>
        <w:gridCol w:w="967"/>
        <w:gridCol w:w="1205"/>
        <w:gridCol w:w="1068"/>
        <w:gridCol w:w="1080"/>
        <w:gridCol w:w="1260"/>
        <w:gridCol w:w="1260"/>
      </w:tblGrid>
      <w:tr w:rsidR="7D79BFBF" w:rsidRPr="00C64BA4" w14:paraId="52280F8B" w14:textId="77777777" w:rsidTr="00C53C82">
        <w:trPr>
          <w:trHeight w:val="270"/>
        </w:trPr>
        <w:tc>
          <w:tcPr>
            <w:tcW w:w="917" w:type="dxa"/>
            <w:tcBorders>
              <w:top w:val="nil"/>
              <w:left w:val="nil"/>
              <w:bottom w:val="nil"/>
              <w:right w:val="nil"/>
            </w:tcBorders>
            <w:vAlign w:val="bottom"/>
          </w:tcPr>
          <w:p w14:paraId="448E2A66" w14:textId="5335DE81" w:rsidR="7D79BFBF" w:rsidRPr="00C64BA4" w:rsidRDefault="7D79BFBF" w:rsidP="00206C45">
            <w:pPr>
              <w:spacing w:after="0" w:line="300" w:lineRule="auto"/>
              <w:rPr>
                <w:rFonts w:eastAsia="Tw Cen MT" w:cs="Tw Cen MT"/>
                <w:color w:val="000000" w:themeColor="text1"/>
              </w:rPr>
            </w:pPr>
          </w:p>
        </w:tc>
        <w:tc>
          <w:tcPr>
            <w:tcW w:w="8821" w:type="dxa"/>
            <w:gridSpan w:val="8"/>
            <w:tcBorders>
              <w:top w:val="nil"/>
              <w:left w:val="nil"/>
              <w:bottom w:val="nil"/>
              <w:right w:val="nil"/>
            </w:tcBorders>
            <w:vAlign w:val="bottom"/>
          </w:tcPr>
          <w:p w14:paraId="6F94595E" w14:textId="5CC19E09" w:rsidR="7D79BFBF" w:rsidRPr="00C64BA4" w:rsidRDefault="7D79BFBF"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As % of Total Commutes</w:t>
            </w:r>
          </w:p>
        </w:tc>
      </w:tr>
      <w:tr w:rsidR="7D79BFBF" w:rsidRPr="00C64BA4" w14:paraId="73D7D4A2" w14:textId="77777777" w:rsidTr="00C53C82">
        <w:trPr>
          <w:trHeight w:val="270"/>
        </w:trPr>
        <w:tc>
          <w:tcPr>
            <w:tcW w:w="917" w:type="dxa"/>
            <w:tcBorders>
              <w:top w:val="nil"/>
              <w:left w:val="nil"/>
              <w:bottom w:val="nil"/>
              <w:right w:val="nil"/>
            </w:tcBorders>
            <w:vAlign w:val="bottom"/>
          </w:tcPr>
          <w:p w14:paraId="376A2A29" w14:textId="11919C06" w:rsidR="7D79BFBF" w:rsidRPr="00C64BA4" w:rsidRDefault="7D79BFBF" w:rsidP="00206C45">
            <w:pPr>
              <w:spacing w:after="0" w:line="300" w:lineRule="auto"/>
              <w:jc w:val="center"/>
              <w:rPr>
                <w:rFonts w:eastAsia="Tw Cen MT" w:cs="Tw Cen MT"/>
                <w:color w:val="595959" w:themeColor="text1" w:themeTint="A6"/>
              </w:rPr>
            </w:pPr>
          </w:p>
        </w:tc>
        <w:tc>
          <w:tcPr>
            <w:tcW w:w="4153" w:type="dxa"/>
            <w:gridSpan w:val="4"/>
            <w:tcBorders>
              <w:top w:val="nil"/>
              <w:left w:val="nil"/>
              <w:bottom w:val="nil"/>
              <w:right w:val="nil"/>
            </w:tcBorders>
            <w:vAlign w:val="bottom"/>
          </w:tcPr>
          <w:p w14:paraId="1608F22B" w14:textId="78157F5E" w:rsidR="7D79BFBF" w:rsidRPr="00C64BA4" w:rsidRDefault="7D79BFBF"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2014</w:t>
            </w:r>
          </w:p>
        </w:tc>
        <w:tc>
          <w:tcPr>
            <w:tcW w:w="4668" w:type="dxa"/>
            <w:gridSpan w:val="4"/>
            <w:tcBorders>
              <w:top w:val="nil"/>
              <w:left w:val="single" w:sz="6" w:space="0" w:color="auto"/>
              <w:bottom w:val="nil"/>
              <w:right w:val="nil"/>
            </w:tcBorders>
            <w:vAlign w:val="bottom"/>
          </w:tcPr>
          <w:p w14:paraId="0221880C" w14:textId="0AE2A10E" w:rsidR="7D79BFBF" w:rsidRPr="00C64BA4" w:rsidRDefault="7D79BFBF"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2019</w:t>
            </w:r>
          </w:p>
        </w:tc>
      </w:tr>
      <w:tr w:rsidR="00C53C82" w:rsidRPr="00C64BA4" w14:paraId="7DBD7AB8" w14:textId="77777777" w:rsidTr="00C53C82">
        <w:trPr>
          <w:trHeight w:val="360"/>
        </w:trPr>
        <w:tc>
          <w:tcPr>
            <w:tcW w:w="917" w:type="dxa"/>
            <w:vMerge w:val="restart"/>
            <w:tcBorders>
              <w:top w:val="nil"/>
              <w:left w:val="nil"/>
              <w:right w:val="nil"/>
            </w:tcBorders>
            <w:vAlign w:val="bottom"/>
          </w:tcPr>
          <w:p w14:paraId="37D92CFF" w14:textId="39046A86" w:rsidR="00C53C82" w:rsidRPr="00C64BA4" w:rsidRDefault="00C53C82" w:rsidP="00206C45">
            <w:pPr>
              <w:spacing w:after="0" w:line="300" w:lineRule="auto"/>
              <w:jc w:val="center"/>
              <w:rPr>
                <w:rFonts w:eastAsia="Tw Cen MT" w:cs="Tw Cen MT"/>
                <w:color w:val="595959" w:themeColor="text1" w:themeTint="A6"/>
              </w:rPr>
            </w:pPr>
          </w:p>
        </w:tc>
        <w:tc>
          <w:tcPr>
            <w:tcW w:w="2948" w:type="dxa"/>
            <w:gridSpan w:val="3"/>
            <w:tcBorders>
              <w:top w:val="nil"/>
              <w:left w:val="nil"/>
              <w:bottom w:val="nil"/>
              <w:right w:val="nil"/>
            </w:tcBorders>
            <w:vAlign w:val="bottom"/>
          </w:tcPr>
          <w:p w14:paraId="2008376C" w14:textId="757C9AD5" w:rsidR="00C53C82" w:rsidRPr="00C64BA4" w:rsidRDefault="00C53C82"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Commuting</w:t>
            </w:r>
          </w:p>
        </w:tc>
        <w:tc>
          <w:tcPr>
            <w:tcW w:w="1205" w:type="dxa"/>
            <w:tcBorders>
              <w:top w:val="nil"/>
              <w:left w:val="nil"/>
              <w:right w:val="nil"/>
            </w:tcBorders>
            <w:vAlign w:val="bottom"/>
          </w:tcPr>
          <w:p w14:paraId="2AA466C5" w14:textId="08CA1C05" w:rsidR="00C53C82" w:rsidRPr="00C64BA4" w:rsidRDefault="00C53C82" w:rsidP="00206C45">
            <w:pPr>
              <w:spacing w:after="0" w:line="300" w:lineRule="auto"/>
              <w:jc w:val="center"/>
              <w:rPr>
                <w:rFonts w:eastAsia="Tw Cen MT" w:cs="Tw Cen MT"/>
                <w:color w:val="595959" w:themeColor="text1" w:themeTint="A6"/>
              </w:rPr>
            </w:pPr>
          </w:p>
        </w:tc>
        <w:tc>
          <w:tcPr>
            <w:tcW w:w="3408" w:type="dxa"/>
            <w:gridSpan w:val="3"/>
            <w:tcBorders>
              <w:top w:val="nil"/>
              <w:left w:val="single" w:sz="6" w:space="0" w:color="auto"/>
              <w:right w:val="nil"/>
            </w:tcBorders>
            <w:vAlign w:val="bottom"/>
          </w:tcPr>
          <w:p w14:paraId="1B4B2917" w14:textId="5468CFBB" w:rsidR="00C53C82" w:rsidRPr="00C64BA4" w:rsidRDefault="00C53C82" w:rsidP="00206C45">
            <w:pPr>
              <w:spacing w:after="0" w:line="300" w:lineRule="auto"/>
              <w:jc w:val="center"/>
              <w:rPr>
                <w:rFonts w:eastAsia="Tw Cen MT" w:cs="Tw Cen MT"/>
                <w:color w:val="595959" w:themeColor="text1" w:themeTint="A6"/>
              </w:rPr>
            </w:pPr>
            <w:r w:rsidRPr="00C64BA4">
              <w:rPr>
                <w:rFonts w:eastAsia="Tw Cen MT" w:cs="Tw Cen MT"/>
                <w:b/>
                <w:bCs/>
                <w:color w:val="595959" w:themeColor="text1" w:themeTint="A6"/>
              </w:rPr>
              <w:t>Commuting</w:t>
            </w:r>
          </w:p>
        </w:tc>
        <w:tc>
          <w:tcPr>
            <w:tcW w:w="1260" w:type="dxa"/>
            <w:tcBorders>
              <w:top w:val="nil"/>
              <w:left w:val="nil"/>
              <w:right w:val="nil"/>
            </w:tcBorders>
            <w:vAlign w:val="bottom"/>
          </w:tcPr>
          <w:p w14:paraId="61FA6CC1" w14:textId="319ACF63" w:rsidR="00C53C82" w:rsidRPr="00C64BA4" w:rsidRDefault="00C53C82" w:rsidP="00206C45">
            <w:pPr>
              <w:spacing w:after="0" w:line="300" w:lineRule="auto"/>
              <w:jc w:val="center"/>
              <w:rPr>
                <w:rFonts w:eastAsia="Tw Cen MT" w:cs="Tw Cen MT"/>
                <w:color w:val="595959" w:themeColor="text1" w:themeTint="A6"/>
              </w:rPr>
            </w:pPr>
          </w:p>
        </w:tc>
      </w:tr>
      <w:tr w:rsidR="00C53C82" w:rsidRPr="00C64BA4" w14:paraId="0E5F3708" w14:textId="77777777" w:rsidTr="00CC5A7B">
        <w:trPr>
          <w:trHeight w:val="360"/>
        </w:trPr>
        <w:tc>
          <w:tcPr>
            <w:tcW w:w="917" w:type="dxa"/>
            <w:vMerge/>
            <w:tcBorders>
              <w:left w:val="nil"/>
              <w:bottom w:val="nil"/>
              <w:right w:val="nil"/>
            </w:tcBorders>
            <w:vAlign w:val="bottom"/>
          </w:tcPr>
          <w:p w14:paraId="684AEA7D" w14:textId="77777777" w:rsidR="00C53C82" w:rsidRPr="00C64BA4" w:rsidRDefault="00C53C82" w:rsidP="00206C45">
            <w:pPr>
              <w:spacing w:after="0" w:line="300" w:lineRule="auto"/>
              <w:jc w:val="center"/>
              <w:rPr>
                <w:rFonts w:eastAsia="Tw Cen MT" w:cs="Tw Cen MT"/>
                <w:color w:val="595959" w:themeColor="text1" w:themeTint="A6"/>
              </w:rPr>
            </w:pPr>
          </w:p>
        </w:tc>
        <w:tc>
          <w:tcPr>
            <w:tcW w:w="991" w:type="dxa"/>
            <w:tcBorders>
              <w:top w:val="nil"/>
              <w:left w:val="nil"/>
              <w:bottom w:val="nil"/>
              <w:right w:val="nil"/>
            </w:tcBorders>
            <w:vAlign w:val="bottom"/>
          </w:tcPr>
          <w:p w14:paraId="40E6CD2C" w14:textId="76C4EA3C" w:rsidR="00C53C82" w:rsidRPr="00C64BA4" w:rsidRDefault="00C53C82" w:rsidP="00206C45">
            <w:pPr>
              <w:spacing w:after="0" w:line="300" w:lineRule="auto"/>
              <w:jc w:val="center"/>
              <w:rPr>
                <w:rFonts w:eastAsia="Tw Cen MT" w:cs="Tw Cen MT"/>
                <w:b/>
                <w:bCs/>
                <w:color w:val="595959" w:themeColor="text1" w:themeTint="A6"/>
              </w:rPr>
            </w:pPr>
            <w:r w:rsidRPr="00C64BA4">
              <w:rPr>
                <w:rFonts w:eastAsia="Tw Cen MT" w:cs="Tw Cen MT"/>
                <w:b/>
                <w:bCs/>
                <w:color w:val="595959" w:themeColor="text1" w:themeTint="A6"/>
              </w:rPr>
              <w:t>Out of the Region</w:t>
            </w:r>
          </w:p>
        </w:tc>
        <w:tc>
          <w:tcPr>
            <w:tcW w:w="990" w:type="dxa"/>
            <w:tcBorders>
              <w:top w:val="nil"/>
              <w:left w:val="nil"/>
              <w:bottom w:val="nil"/>
              <w:right w:val="nil"/>
            </w:tcBorders>
            <w:vAlign w:val="bottom"/>
          </w:tcPr>
          <w:p w14:paraId="7159E26E" w14:textId="7F4C1251" w:rsidR="00C53C82" w:rsidRPr="00C64BA4" w:rsidRDefault="00C53C82" w:rsidP="00206C45">
            <w:pPr>
              <w:spacing w:after="0" w:line="300" w:lineRule="auto"/>
              <w:jc w:val="center"/>
              <w:rPr>
                <w:rFonts w:eastAsia="Tw Cen MT" w:cs="Tw Cen MT"/>
                <w:b/>
                <w:bCs/>
                <w:color w:val="595959" w:themeColor="text1" w:themeTint="A6"/>
              </w:rPr>
            </w:pPr>
            <w:r w:rsidRPr="00C64BA4">
              <w:rPr>
                <w:rFonts w:eastAsia="Tw Cen MT" w:cs="Tw Cen MT"/>
                <w:b/>
                <w:bCs/>
                <w:color w:val="595959" w:themeColor="text1" w:themeTint="A6"/>
              </w:rPr>
              <w:t>W/in the Region</w:t>
            </w:r>
          </w:p>
        </w:tc>
        <w:tc>
          <w:tcPr>
            <w:tcW w:w="967" w:type="dxa"/>
            <w:tcBorders>
              <w:top w:val="nil"/>
              <w:left w:val="nil"/>
              <w:bottom w:val="nil"/>
              <w:right w:val="single" w:sz="4" w:space="0" w:color="auto"/>
            </w:tcBorders>
            <w:vAlign w:val="bottom"/>
          </w:tcPr>
          <w:p w14:paraId="1D12A38A" w14:textId="0F3699F7" w:rsidR="00C53C82" w:rsidRPr="00C64BA4" w:rsidRDefault="00C53C82" w:rsidP="00206C45">
            <w:pPr>
              <w:spacing w:after="0" w:line="300" w:lineRule="auto"/>
              <w:jc w:val="center"/>
              <w:rPr>
                <w:rFonts w:eastAsia="Tw Cen MT" w:cs="Tw Cen MT"/>
                <w:b/>
                <w:bCs/>
                <w:color w:val="595959" w:themeColor="text1" w:themeTint="A6"/>
              </w:rPr>
            </w:pPr>
            <w:r w:rsidRPr="00C64BA4">
              <w:rPr>
                <w:rFonts w:eastAsia="Tw Cen MT" w:cs="Tw Cen MT"/>
                <w:b/>
                <w:bCs/>
                <w:color w:val="595959" w:themeColor="text1" w:themeTint="A6"/>
              </w:rPr>
              <w:t>Into the Region</w:t>
            </w:r>
          </w:p>
        </w:tc>
        <w:tc>
          <w:tcPr>
            <w:tcW w:w="1205" w:type="dxa"/>
            <w:tcBorders>
              <w:left w:val="single" w:sz="4" w:space="0" w:color="auto"/>
              <w:bottom w:val="nil"/>
              <w:right w:val="nil"/>
            </w:tcBorders>
            <w:vAlign w:val="bottom"/>
          </w:tcPr>
          <w:p w14:paraId="6F18AEB6" w14:textId="6C54B5AA" w:rsidR="00C53C82" w:rsidRPr="00C64BA4" w:rsidRDefault="00C53C82" w:rsidP="00206C45">
            <w:pPr>
              <w:spacing w:after="0" w:line="300" w:lineRule="auto"/>
              <w:jc w:val="center"/>
              <w:rPr>
                <w:rFonts w:eastAsia="Tw Cen MT" w:cs="Tw Cen MT"/>
                <w:b/>
                <w:bCs/>
                <w:color w:val="595959" w:themeColor="text1" w:themeTint="A6"/>
              </w:rPr>
            </w:pPr>
            <w:r w:rsidRPr="00C64BA4">
              <w:rPr>
                <w:rFonts w:eastAsia="Tw Cen MT" w:cs="Tw Cen MT"/>
                <w:b/>
                <w:bCs/>
                <w:color w:val="595959" w:themeColor="text1" w:themeTint="A6"/>
              </w:rPr>
              <w:t>Net Commutes</w:t>
            </w:r>
          </w:p>
        </w:tc>
        <w:tc>
          <w:tcPr>
            <w:tcW w:w="1068" w:type="dxa"/>
            <w:tcBorders>
              <w:left w:val="single" w:sz="6" w:space="0" w:color="auto"/>
              <w:bottom w:val="nil"/>
            </w:tcBorders>
            <w:vAlign w:val="bottom"/>
          </w:tcPr>
          <w:p w14:paraId="22185846" w14:textId="74AB88A8" w:rsidR="00C53C82" w:rsidRPr="00C64BA4" w:rsidRDefault="00C53C82" w:rsidP="00206C45">
            <w:pPr>
              <w:spacing w:after="0" w:line="300" w:lineRule="auto"/>
              <w:jc w:val="center"/>
              <w:rPr>
                <w:rFonts w:eastAsia="Tw Cen MT" w:cs="Tw Cen MT"/>
                <w:b/>
                <w:bCs/>
                <w:color w:val="595959" w:themeColor="text1" w:themeTint="A6"/>
              </w:rPr>
            </w:pPr>
            <w:r w:rsidRPr="00C64BA4">
              <w:rPr>
                <w:rFonts w:eastAsia="Tw Cen MT" w:cs="Tw Cen MT"/>
                <w:b/>
                <w:bCs/>
                <w:color w:val="595959" w:themeColor="text1" w:themeTint="A6"/>
              </w:rPr>
              <w:t>Out of the Region</w:t>
            </w:r>
          </w:p>
        </w:tc>
        <w:tc>
          <w:tcPr>
            <w:tcW w:w="1080" w:type="dxa"/>
            <w:tcBorders>
              <w:left w:val="nil"/>
              <w:bottom w:val="nil"/>
            </w:tcBorders>
            <w:vAlign w:val="bottom"/>
          </w:tcPr>
          <w:p w14:paraId="1AFF37F8" w14:textId="55F4D05B" w:rsidR="00C53C82" w:rsidRPr="00C64BA4" w:rsidRDefault="00C53C82" w:rsidP="00206C45">
            <w:pPr>
              <w:spacing w:after="0" w:line="300" w:lineRule="auto"/>
              <w:jc w:val="center"/>
              <w:rPr>
                <w:rFonts w:eastAsia="Tw Cen MT" w:cs="Tw Cen MT"/>
                <w:b/>
                <w:bCs/>
                <w:color w:val="595959" w:themeColor="text1" w:themeTint="A6"/>
              </w:rPr>
            </w:pPr>
            <w:r w:rsidRPr="00C64BA4">
              <w:rPr>
                <w:rFonts w:eastAsia="Tw Cen MT" w:cs="Tw Cen MT"/>
                <w:b/>
                <w:bCs/>
                <w:color w:val="595959" w:themeColor="text1" w:themeTint="A6"/>
              </w:rPr>
              <w:t>W/in the Region</w:t>
            </w:r>
          </w:p>
        </w:tc>
        <w:tc>
          <w:tcPr>
            <w:tcW w:w="1260" w:type="dxa"/>
            <w:tcBorders>
              <w:left w:val="nil"/>
              <w:bottom w:val="nil"/>
              <w:right w:val="single" w:sz="4" w:space="0" w:color="auto"/>
            </w:tcBorders>
            <w:vAlign w:val="bottom"/>
          </w:tcPr>
          <w:p w14:paraId="1E696256" w14:textId="506D3DA7" w:rsidR="00C53C82" w:rsidRPr="00C64BA4" w:rsidRDefault="00C53C82" w:rsidP="00206C45">
            <w:pPr>
              <w:spacing w:after="0" w:line="300" w:lineRule="auto"/>
              <w:jc w:val="center"/>
              <w:rPr>
                <w:rFonts w:eastAsia="Tw Cen MT" w:cs="Tw Cen MT"/>
                <w:b/>
                <w:bCs/>
                <w:color w:val="595959" w:themeColor="text1" w:themeTint="A6"/>
              </w:rPr>
            </w:pPr>
            <w:r w:rsidRPr="00C64BA4">
              <w:rPr>
                <w:rFonts w:eastAsia="Tw Cen MT" w:cs="Tw Cen MT"/>
                <w:b/>
                <w:bCs/>
                <w:color w:val="595959" w:themeColor="text1" w:themeTint="A6"/>
              </w:rPr>
              <w:t>Into the Region</w:t>
            </w:r>
          </w:p>
        </w:tc>
        <w:tc>
          <w:tcPr>
            <w:tcW w:w="1260" w:type="dxa"/>
            <w:tcBorders>
              <w:left w:val="single" w:sz="4" w:space="0" w:color="auto"/>
              <w:bottom w:val="nil"/>
              <w:right w:val="nil"/>
            </w:tcBorders>
            <w:vAlign w:val="bottom"/>
          </w:tcPr>
          <w:p w14:paraId="4BEE41CD" w14:textId="669D0A23" w:rsidR="00C53C82" w:rsidRPr="00C64BA4" w:rsidRDefault="00C53C82" w:rsidP="00206C45">
            <w:pPr>
              <w:spacing w:after="0" w:line="300" w:lineRule="auto"/>
              <w:jc w:val="center"/>
              <w:rPr>
                <w:rFonts w:eastAsia="Tw Cen MT" w:cs="Tw Cen MT"/>
                <w:b/>
                <w:bCs/>
                <w:color w:val="595959" w:themeColor="text1" w:themeTint="A6"/>
              </w:rPr>
            </w:pPr>
            <w:r w:rsidRPr="00C64BA4">
              <w:rPr>
                <w:rFonts w:eastAsia="Tw Cen MT" w:cs="Tw Cen MT"/>
                <w:b/>
                <w:bCs/>
                <w:color w:val="595959" w:themeColor="text1" w:themeTint="A6"/>
              </w:rPr>
              <w:t>Net Commutes</w:t>
            </w:r>
          </w:p>
        </w:tc>
      </w:tr>
      <w:tr w:rsidR="00C53C82" w:rsidRPr="00C64BA4" w14:paraId="67F23DD3" w14:textId="77777777" w:rsidTr="00CC5A7B">
        <w:trPr>
          <w:trHeight w:val="270"/>
        </w:trPr>
        <w:tc>
          <w:tcPr>
            <w:tcW w:w="917" w:type="dxa"/>
            <w:tcBorders>
              <w:top w:val="single" w:sz="6" w:space="0" w:color="auto"/>
              <w:left w:val="nil"/>
              <w:bottom w:val="single" w:sz="6" w:space="0" w:color="auto"/>
              <w:right w:val="nil"/>
            </w:tcBorders>
            <w:vAlign w:val="center"/>
          </w:tcPr>
          <w:p w14:paraId="4675C35A" w14:textId="5C742722"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SNHPC</w:t>
            </w:r>
          </w:p>
        </w:tc>
        <w:tc>
          <w:tcPr>
            <w:tcW w:w="991" w:type="dxa"/>
            <w:tcBorders>
              <w:top w:val="single" w:sz="6" w:space="0" w:color="auto"/>
              <w:left w:val="nil"/>
              <w:bottom w:val="single" w:sz="6" w:space="0" w:color="auto"/>
              <w:right w:val="nil"/>
            </w:tcBorders>
            <w:vAlign w:val="center"/>
          </w:tcPr>
          <w:p w14:paraId="6713EC21" w14:textId="11C19D82"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35%</w:t>
            </w:r>
          </w:p>
        </w:tc>
        <w:tc>
          <w:tcPr>
            <w:tcW w:w="990" w:type="dxa"/>
            <w:tcBorders>
              <w:top w:val="single" w:sz="6" w:space="0" w:color="auto"/>
              <w:left w:val="nil"/>
              <w:bottom w:val="single" w:sz="6" w:space="0" w:color="auto"/>
              <w:right w:val="nil"/>
            </w:tcBorders>
            <w:vAlign w:val="center"/>
          </w:tcPr>
          <w:p w14:paraId="35EDD70E" w14:textId="25EAEB36"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34%</w:t>
            </w:r>
          </w:p>
        </w:tc>
        <w:tc>
          <w:tcPr>
            <w:tcW w:w="967" w:type="dxa"/>
            <w:tcBorders>
              <w:top w:val="single" w:sz="6" w:space="0" w:color="auto"/>
              <w:left w:val="nil"/>
              <w:bottom w:val="single" w:sz="6" w:space="0" w:color="auto"/>
              <w:right w:val="nil"/>
            </w:tcBorders>
            <w:vAlign w:val="center"/>
          </w:tcPr>
          <w:p w14:paraId="5D7DAAAC" w14:textId="49E15098"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31%</w:t>
            </w:r>
          </w:p>
        </w:tc>
        <w:tc>
          <w:tcPr>
            <w:tcW w:w="1205" w:type="dxa"/>
            <w:tcBorders>
              <w:top w:val="single" w:sz="6" w:space="0" w:color="auto"/>
              <w:left w:val="nil"/>
              <w:bottom w:val="single" w:sz="6" w:space="0" w:color="auto"/>
              <w:right w:val="nil"/>
            </w:tcBorders>
            <w:vAlign w:val="center"/>
          </w:tcPr>
          <w:p w14:paraId="2C2E57D7" w14:textId="2137B58F" w:rsidR="00C53C82" w:rsidRPr="00C64BA4" w:rsidRDefault="00C53C82" w:rsidP="00206C45">
            <w:pPr>
              <w:spacing w:after="0" w:line="300" w:lineRule="auto"/>
              <w:jc w:val="center"/>
              <w:rPr>
                <w:rFonts w:eastAsia="Tw Cen MT" w:cs="Tw Cen MT"/>
                <w:color w:val="C00000"/>
              </w:rPr>
            </w:pPr>
            <w:r w:rsidRPr="00C64BA4">
              <w:rPr>
                <w:rFonts w:eastAsia="Tw Cen MT" w:cs="Tw Cen MT"/>
                <w:color w:val="C00000"/>
              </w:rPr>
              <w:t>-4%</w:t>
            </w:r>
          </w:p>
        </w:tc>
        <w:tc>
          <w:tcPr>
            <w:tcW w:w="1068" w:type="dxa"/>
            <w:tcBorders>
              <w:top w:val="single" w:sz="6" w:space="0" w:color="auto"/>
              <w:left w:val="single" w:sz="6" w:space="0" w:color="auto"/>
              <w:bottom w:val="single" w:sz="6" w:space="0" w:color="auto"/>
              <w:right w:val="nil"/>
            </w:tcBorders>
            <w:vAlign w:val="center"/>
          </w:tcPr>
          <w:p w14:paraId="5E933AA2" w14:textId="48E49B48"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36%</w:t>
            </w:r>
          </w:p>
        </w:tc>
        <w:tc>
          <w:tcPr>
            <w:tcW w:w="1080" w:type="dxa"/>
            <w:tcBorders>
              <w:top w:val="single" w:sz="6" w:space="0" w:color="auto"/>
              <w:left w:val="nil"/>
              <w:bottom w:val="single" w:sz="6" w:space="0" w:color="auto"/>
              <w:right w:val="nil"/>
            </w:tcBorders>
            <w:vAlign w:val="center"/>
          </w:tcPr>
          <w:p w14:paraId="49DCFC51" w14:textId="2D95CCC1"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33%</w:t>
            </w:r>
          </w:p>
        </w:tc>
        <w:tc>
          <w:tcPr>
            <w:tcW w:w="1260" w:type="dxa"/>
            <w:tcBorders>
              <w:top w:val="single" w:sz="6" w:space="0" w:color="auto"/>
              <w:left w:val="nil"/>
              <w:bottom w:val="single" w:sz="6" w:space="0" w:color="auto"/>
              <w:right w:val="nil"/>
            </w:tcBorders>
            <w:vAlign w:val="center"/>
          </w:tcPr>
          <w:p w14:paraId="2702B45B" w14:textId="3A32147F"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31%</w:t>
            </w:r>
          </w:p>
        </w:tc>
        <w:tc>
          <w:tcPr>
            <w:tcW w:w="1260" w:type="dxa"/>
            <w:tcBorders>
              <w:top w:val="single" w:sz="6" w:space="0" w:color="auto"/>
              <w:left w:val="nil"/>
              <w:bottom w:val="single" w:sz="6" w:space="0" w:color="auto"/>
              <w:right w:val="nil"/>
            </w:tcBorders>
            <w:vAlign w:val="center"/>
          </w:tcPr>
          <w:p w14:paraId="69C6F0CB" w14:textId="79BBB8D9" w:rsidR="00C53C82" w:rsidRPr="00C64BA4" w:rsidRDefault="00C53C82" w:rsidP="00206C45">
            <w:pPr>
              <w:spacing w:after="0" w:line="300" w:lineRule="auto"/>
              <w:jc w:val="center"/>
              <w:rPr>
                <w:rFonts w:eastAsia="Tw Cen MT" w:cs="Tw Cen MT"/>
                <w:color w:val="C00000"/>
              </w:rPr>
            </w:pPr>
            <w:r w:rsidRPr="00C64BA4">
              <w:rPr>
                <w:rFonts w:eastAsia="Tw Cen MT" w:cs="Tw Cen MT"/>
                <w:color w:val="C00000"/>
              </w:rPr>
              <w:t>-4%</w:t>
            </w:r>
          </w:p>
        </w:tc>
      </w:tr>
      <w:tr w:rsidR="00C53C82" w:rsidRPr="00C64BA4" w14:paraId="185EBD04" w14:textId="77777777" w:rsidTr="00CC5A7B">
        <w:trPr>
          <w:trHeight w:val="270"/>
        </w:trPr>
        <w:tc>
          <w:tcPr>
            <w:tcW w:w="917" w:type="dxa"/>
            <w:tcBorders>
              <w:top w:val="single" w:sz="6" w:space="0" w:color="auto"/>
              <w:left w:val="nil"/>
              <w:bottom w:val="nil"/>
              <w:right w:val="nil"/>
            </w:tcBorders>
            <w:shd w:val="clear" w:color="auto" w:fill="E7E6E6"/>
            <w:vAlign w:val="center"/>
          </w:tcPr>
          <w:p w14:paraId="78397163" w14:textId="6B5DC07C"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NH</w:t>
            </w:r>
          </w:p>
        </w:tc>
        <w:tc>
          <w:tcPr>
            <w:tcW w:w="991" w:type="dxa"/>
            <w:tcBorders>
              <w:top w:val="single" w:sz="6" w:space="0" w:color="auto"/>
              <w:left w:val="nil"/>
              <w:bottom w:val="nil"/>
              <w:right w:val="nil"/>
            </w:tcBorders>
            <w:shd w:val="clear" w:color="auto" w:fill="E7E6E6"/>
            <w:vAlign w:val="center"/>
          </w:tcPr>
          <w:p w14:paraId="17198F70" w14:textId="3CA5CC33"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36%</w:t>
            </w:r>
          </w:p>
        </w:tc>
        <w:tc>
          <w:tcPr>
            <w:tcW w:w="990" w:type="dxa"/>
            <w:tcBorders>
              <w:top w:val="single" w:sz="6" w:space="0" w:color="auto"/>
              <w:left w:val="nil"/>
              <w:bottom w:val="nil"/>
              <w:right w:val="nil"/>
            </w:tcBorders>
            <w:shd w:val="clear" w:color="auto" w:fill="E7E6E6"/>
            <w:vAlign w:val="center"/>
          </w:tcPr>
          <w:p w14:paraId="4CAEFDC0" w14:textId="6A724791"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32%</w:t>
            </w:r>
          </w:p>
        </w:tc>
        <w:tc>
          <w:tcPr>
            <w:tcW w:w="967" w:type="dxa"/>
            <w:tcBorders>
              <w:top w:val="single" w:sz="6" w:space="0" w:color="auto"/>
              <w:left w:val="nil"/>
              <w:bottom w:val="nil"/>
              <w:right w:val="nil"/>
            </w:tcBorders>
            <w:shd w:val="clear" w:color="auto" w:fill="E7E6E6"/>
            <w:vAlign w:val="center"/>
          </w:tcPr>
          <w:p w14:paraId="637DC57E" w14:textId="0ECE2D9D"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32%</w:t>
            </w:r>
          </w:p>
        </w:tc>
        <w:tc>
          <w:tcPr>
            <w:tcW w:w="1205" w:type="dxa"/>
            <w:tcBorders>
              <w:top w:val="single" w:sz="6" w:space="0" w:color="auto"/>
              <w:left w:val="nil"/>
              <w:bottom w:val="nil"/>
              <w:right w:val="nil"/>
            </w:tcBorders>
            <w:shd w:val="clear" w:color="auto" w:fill="E7E6E6"/>
            <w:vAlign w:val="center"/>
          </w:tcPr>
          <w:p w14:paraId="447A2DE9" w14:textId="2CDBC705" w:rsidR="00C53C82" w:rsidRPr="00C64BA4" w:rsidRDefault="00C53C82" w:rsidP="00206C45">
            <w:pPr>
              <w:spacing w:after="0" w:line="300" w:lineRule="auto"/>
              <w:jc w:val="center"/>
              <w:rPr>
                <w:rFonts w:eastAsia="Tw Cen MT" w:cs="Tw Cen MT"/>
                <w:color w:val="C00000"/>
              </w:rPr>
            </w:pPr>
            <w:r w:rsidRPr="00C64BA4">
              <w:rPr>
                <w:rFonts w:eastAsia="Tw Cen MT" w:cs="Tw Cen MT"/>
                <w:color w:val="C00000"/>
              </w:rPr>
              <w:t>-4%</w:t>
            </w:r>
          </w:p>
        </w:tc>
        <w:tc>
          <w:tcPr>
            <w:tcW w:w="1068" w:type="dxa"/>
            <w:tcBorders>
              <w:top w:val="single" w:sz="6" w:space="0" w:color="auto"/>
              <w:left w:val="single" w:sz="6" w:space="0" w:color="auto"/>
              <w:bottom w:val="nil"/>
              <w:right w:val="nil"/>
            </w:tcBorders>
            <w:shd w:val="clear" w:color="auto" w:fill="E7E6E6"/>
            <w:vAlign w:val="center"/>
          </w:tcPr>
          <w:p w14:paraId="18D734E9" w14:textId="3BF82FAD"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36%</w:t>
            </w:r>
          </w:p>
        </w:tc>
        <w:tc>
          <w:tcPr>
            <w:tcW w:w="1080" w:type="dxa"/>
            <w:tcBorders>
              <w:top w:val="single" w:sz="6" w:space="0" w:color="auto"/>
              <w:left w:val="nil"/>
              <w:bottom w:val="nil"/>
              <w:right w:val="nil"/>
            </w:tcBorders>
            <w:shd w:val="clear" w:color="auto" w:fill="E7E6E6"/>
            <w:vAlign w:val="center"/>
          </w:tcPr>
          <w:p w14:paraId="182134BE" w14:textId="5A160F81"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32%</w:t>
            </w:r>
          </w:p>
        </w:tc>
        <w:tc>
          <w:tcPr>
            <w:tcW w:w="1260" w:type="dxa"/>
            <w:tcBorders>
              <w:top w:val="single" w:sz="6" w:space="0" w:color="auto"/>
              <w:left w:val="nil"/>
              <w:bottom w:val="nil"/>
              <w:right w:val="nil"/>
            </w:tcBorders>
            <w:shd w:val="clear" w:color="auto" w:fill="E7E6E6"/>
            <w:vAlign w:val="center"/>
          </w:tcPr>
          <w:p w14:paraId="541259BA" w14:textId="4211DF37" w:rsidR="00C53C82" w:rsidRPr="00C64BA4" w:rsidRDefault="00C53C82" w:rsidP="00206C45">
            <w:pPr>
              <w:spacing w:after="0" w:line="300" w:lineRule="auto"/>
              <w:jc w:val="center"/>
              <w:rPr>
                <w:rFonts w:eastAsia="Tw Cen MT" w:cs="Tw Cen MT"/>
                <w:color w:val="000000" w:themeColor="text1"/>
              </w:rPr>
            </w:pPr>
            <w:r w:rsidRPr="00C64BA4">
              <w:rPr>
                <w:rFonts w:eastAsia="Tw Cen MT" w:cs="Tw Cen MT"/>
                <w:color w:val="000000" w:themeColor="text1"/>
              </w:rPr>
              <w:t>32%</w:t>
            </w:r>
          </w:p>
        </w:tc>
        <w:tc>
          <w:tcPr>
            <w:tcW w:w="1260" w:type="dxa"/>
            <w:tcBorders>
              <w:top w:val="single" w:sz="6" w:space="0" w:color="auto"/>
              <w:left w:val="nil"/>
              <w:bottom w:val="nil"/>
              <w:right w:val="nil"/>
            </w:tcBorders>
            <w:shd w:val="clear" w:color="auto" w:fill="E7E6E6"/>
            <w:vAlign w:val="center"/>
          </w:tcPr>
          <w:p w14:paraId="3F290B79" w14:textId="2A373704" w:rsidR="00C53C82" w:rsidRPr="00C64BA4" w:rsidRDefault="00C53C82" w:rsidP="00206C45">
            <w:pPr>
              <w:spacing w:after="0" w:line="300" w:lineRule="auto"/>
              <w:jc w:val="center"/>
              <w:rPr>
                <w:rFonts w:eastAsia="Tw Cen MT" w:cs="Tw Cen MT"/>
                <w:color w:val="C00000"/>
              </w:rPr>
            </w:pPr>
            <w:r w:rsidRPr="00C64BA4">
              <w:rPr>
                <w:rFonts w:eastAsia="Tw Cen MT" w:cs="Tw Cen MT"/>
                <w:color w:val="C00000"/>
              </w:rPr>
              <w:t>-4%</w:t>
            </w:r>
          </w:p>
        </w:tc>
      </w:tr>
      <w:tr w:rsidR="00C53C82" w:rsidRPr="00C64BA4" w14:paraId="1E0B2AC4" w14:textId="77777777" w:rsidTr="00C53C82">
        <w:trPr>
          <w:trHeight w:val="270"/>
        </w:trPr>
        <w:tc>
          <w:tcPr>
            <w:tcW w:w="9738" w:type="dxa"/>
            <w:gridSpan w:val="9"/>
            <w:tcBorders>
              <w:top w:val="nil"/>
              <w:left w:val="nil"/>
              <w:bottom w:val="nil"/>
              <w:right w:val="nil"/>
            </w:tcBorders>
            <w:vAlign w:val="center"/>
          </w:tcPr>
          <w:p w14:paraId="10E30F56" w14:textId="419CD562" w:rsidR="00C53C82" w:rsidRPr="00C64BA4" w:rsidRDefault="00C53C82" w:rsidP="00206C45">
            <w:pPr>
              <w:spacing w:after="0"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LEHD Origin-Destination Employment Statistics</w:t>
            </w:r>
          </w:p>
        </w:tc>
      </w:tr>
      <w:tr w:rsidR="00C53C82" w:rsidRPr="00C64BA4" w14:paraId="5111E9AE" w14:textId="77777777" w:rsidTr="00C53C82">
        <w:trPr>
          <w:trHeight w:val="45"/>
        </w:trPr>
        <w:tc>
          <w:tcPr>
            <w:tcW w:w="9738" w:type="dxa"/>
            <w:gridSpan w:val="9"/>
            <w:tcBorders>
              <w:top w:val="nil"/>
              <w:left w:val="nil"/>
              <w:bottom w:val="nil"/>
              <w:right w:val="nil"/>
            </w:tcBorders>
            <w:vAlign w:val="bottom"/>
          </w:tcPr>
          <w:p w14:paraId="104AC8C8" w14:textId="2C62088A" w:rsidR="00C53C82" w:rsidRPr="00C64BA4" w:rsidRDefault="00C53C82" w:rsidP="00206C45">
            <w:pPr>
              <w:spacing w:after="0"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US Census Bureau</w:t>
            </w:r>
          </w:p>
        </w:tc>
      </w:tr>
    </w:tbl>
    <w:p w14:paraId="143C0AD6" w14:textId="3924E169" w:rsidR="00ED32C9" w:rsidRPr="00C64BA4" w:rsidRDefault="00072223" w:rsidP="00206C45">
      <w:pPr>
        <w:spacing w:line="300" w:lineRule="auto"/>
      </w:pPr>
      <w:r w:rsidRPr="00C64BA4">
        <w:t xml:space="preserve">The new Census data provides some interesting data on commuting (Table S0802: Means </w:t>
      </w:r>
      <w:proofErr w:type="gramStart"/>
      <w:r w:rsidRPr="00C64BA4">
        <w:t>Of</w:t>
      </w:r>
      <w:proofErr w:type="gramEnd"/>
      <w:r w:rsidRPr="00C64BA4">
        <w:t xml:space="preserve"> Transportation To Work By Selected Characteristics).  The information provided in </w:t>
      </w:r>
      <w:r w:rsidR="0024790F">
        <w:rPr>
          <w:highlight w:val="yellow"/>
        </w:rPr>
        <w:fldChar w:fldCharType="begin"/>
      </w:r>
      <w:r w:rsidR="0024790F">
        <w:instrText xml:space="preserve"> REF _Ref123196634 \h </w:instrText>
      </w:r>
      <w:r w:rsidR="0024790F">
        <w:rPr>
          <w:highlight w:val="yellow"/>
        </w:rPr>
      </w:r>
      <w:r w:rsidR="0024790F">
        <w:rPr>
          <w:highlight w:val="yellow"/>
        </w:rPr>
        <w:fldChar w:fldCharType="separate"/>
      </w:r>
      <w:r w:rsidR="00206C45">
        <w:t xml:space="preserve">Table </w:t>
      </w:r>
      <w:r w:rsidR="00206C45">
        <w:rPr>
          <w:noProof/>
        </w:rPr>
        <w:t>9</w:t>
      </w:r>
      <w:r w:rsidR="0024790F">
        <w:rPr>
          <w:highlight w:val="yellow"/>
        </w:rPr>
        <w:fldChar w:fldCharType="end"/>
      </w:r>
      <w:r w:rsidRPr="00C64BA4">
        <w:t xml:space="preserve"> allows the user to do comparison of protected classes. For example, the following is a comparison for Manchester residents including racial and ethnic minorities, workers below poverty thresholds and limited English proficiency. Unsurprisingly, all three protected classes are less likely to drive alone and are more likely to carpool or take public transportation. </w:t>
      </w:r>
    </w:p>
    <w:p w14:paraId="7AB266D8" w14:textId="6425D324" w:rsidR="0024790F" w:rsidRDefault="00C96C23" w:rsidP="00206C45">
      <w:pPr>
        <w:pStyle w:val="Caption"/>
        <w:keepNext/>
        <w:spacing w:line="300" w:lineRule="auto"/>
      </w:pPr>
      <w:bookmarkStart w:id="76" w:name="_Ref123196634"/>
      <w:bookmarkStart w:id="77" w:name="_Toc128137900"/>
      <w:r>
        <w:t>Table</w:t>
      </w:r>
      <w:r w:rsidR="0024790F">
        <w:t xml:space="preserve"> </w:t>
      </w:r>
      <w:r w:rsidR="0062538A">
        <w:fldChar w:fldCharType="begin"/>
      </w:r>
      <w:r w:rsidR="0062538A">
        <w:instrText xml:space="preserve"> SEQ Table \* ARABIC </w:instrText>
      </w:r>
      <w:r w:rsidR="0062538A">
        <w:fldChar w:fldCharType="separate"/>
      </w:r>
      <w:r w:rsidR="008B512A">
        <w:rPr>
          <w:noProof/>
        </w:rPr>
        <w:t>9</w:t>
      </w:r>
      <w:r w:rsidR="0062538A">
        <w:rPr>
          <w:noProof/>
        </w:rPr>
        <w:fldChar w:fldCharType="end"/>
      </w:r>
      <w:bookmarkEnd w:id="76"/>
      <w:r w:rsidR="0024790F">
        <w:t>: Commuting Characteristics of Protected Classes</w:t>
      </w:r>
      <w:bookmarkEnd w:id="77"/>
    </w:p>
    <w:tbl>
      <w:tblPr>
        <w:tblW w:w="5000" w:type="pct"/>
        <w:tblLook w:val="04A0" w:firstRow="1" w:lastRow="0" w:firstColumn="1" w:lastColumn="0" w:noHBand="0" w:noVBand="1"/>
      </w:tblPr>
      <w:tblGrid>
        <w:gridCol w:w="958"/>
        <w:gridCol w:w="8402"/>
      </w:tblGrid>
      <w:tr w:rsidR="00AD0385" w:rsidRPr="00AD0385" w14:paraId="005BC6D7" w14:textId="77777777" w:rsidTr="00E74409">
        <w:trPr>
          <w:trHeight w:val="799"/>
        </w:trPr>
        <w:tc>
          <w:tcPr>
            <w:tcW w:w="5000" w:type="pct"/>
            <w:gridSpan w:val="2"/>
            <w:tcBorders>
              <w:top w:val="nil"/>
              <w:left w:val="nil"/>
              <w:bottom w:val="single" w:sz="4" w:space="0" w:color="auto"/>
              <w:right w:val="nil"/>
            </w:tcBorders>
            <w:shd w:val="clear" w:color="000000" w:fill="E5F5FF"/>
            <w:vAlign w:val="center"/>
            <w:hideMark/>
          </w:tcPr>
          <w:p w14:paraId="61F7F415" w14:textId="77777777" w:rsidR="00AD0385" w:rsidRPr="00AD0385" w:rsidRDefault="00AD0385" w:rsidP="00206C45">
            <w:pPr>
              <w:spacing w:after="0" w:line="300" w:lineRule="auto"/>
              <w:jc w:val="center"/>
              <w:rPr>
                <w:rFonts w:ascii="Tw Cen MT" w:eastAsia="Times New Roman" w:hAnsi="Tw Cen MT" w:cs="Calibri"/>
                <w:b/>
                <w:bCs/>
                <w:color w:val="595959"/>
              </w:rPr>
            </w:pPr>
            <w:r w:rsidRPr="00AD0385">
              <w:rPr>
                <w:rFonts w:ascii="Tw Cen MT" w:eastAsia="Times New Roman" w:hAnsi="Tw Cen MT" w:cs="Calibri"/>
                <w:b/>
                <w:bCs/>
                <w:color w:val="595959"/>
              </w:rPr>
              <w:t xml:space="preserve">In Manchester, when compared to the </w:t>
            </w:r>
            <w:proofErr w:type="gramStart"/>
            <w:r w:rsidRPr="00AD0385">
              <w:rPr>
                <w:rFonts w:ascii="Tw Cen MT" w:eastAsia="Times New Roman" w:hAnsi="Tw Cen MT" w:cs="Calibri"/>
                <w:b/>
                <w:bCs/>
                <w:color w:val="595959"/>
              </w:rPr>
              <w:t>general public</w:t>
            </w:r>
            <w:proofErr w:type="gramEnd"/>
            <w:r w:rsidRPr="00AD0385">
              <w:rPr>
                <w:rFonts w:ascii="Tw Cen MT" w:eastAsia="Times New Roman" w:hAnsi="Tw Cen MT" w:cs="Calibri"/>
                <w:b/>
                <w:bCs/>
                <w:color w:val="595959"/>
              </w:rPr>
              <w:t>, racial and ethnic minority workers are…</w:t>
            </w:r>
          </w:p>
        </w:tc>
      </w:tr>
      <w:tr w:rsidR="00AD0385" w:rsidRPr="00AD0385" w14:paraId="60491B09" w14:textId="77777777" w:rsidTr="00E74409">
        <w:trPr>
          <w:trHeight w:val="570"/>
        </w:trPr>
        <w:tc>
          <w:tcPr>
            <w:tcW w:w="512" w:type="pct"/>
            <w:tcBorders>
              <w:top w:val="nil"/>
              <w:left w:val="nil"/>
              <w:bottom w:val="single" w:sz="4" w:space="0" w:color="auto"/>
              <w:right w:val="nil"/>
            </w:tcBorders>
            <w:shd w:val="clear" w:color="auto" w:fill="auto"/>
            <w:noWrap/>
            <w:vAlign w:val="center"/>
            <w:hideMark/>
          </w:tcPr>
          <w:p w14:paraId="5BE7C739" w14:textId="77777777" w:rsidR="00AD0385" w:rsidRPr="00AD0385" w:rsidRDefault="00AD0385" w:rsidP="00206C45">
            <w:pPr>
              <w:spacing w:after="0" w:line="300" w:lineRule="auto"/>
              <w:jc w:val="center"/>
              <w:rPr>
                <w:rFonts w:ascii="Tw Cen MT" w:eastAsia="Times New Roman" w:hAnsi="Tw Cen MT" w:cs="Calibri"/>
                <w:color w:val="000000"/>
              </w:rPr>
            </w:pPr>
            <w:r w:rsidRPr="00AD0385">
              <w:rPr>
                <w:rFonts w:ascii="Tw Cen MT" w:eastAsia="Times New Roman" w:hAnsi="Tw Cen MT" w:cs="Calibri"/>
                <w:color w:val="000000"/>
              </w:rPr>
              <w:t>0.9</w:t>
            </w:r>
          </w:p>
        </w:tc>
        <w:tc>
          <w:tcPr>
            <w:tcW w:w="4488" w:type="pct"/>
            <w:tcBorders>
              <w:top w:val="nil"/>
              <w:left w:val="nil"/>
              <w:bottom w:val="single" w:sz="4" w:space="0" w:color="auto"/>
              <w:right w:val="nil"/>
            </w:tcBorders>
            <w:shd w:val="clear" w:color="auto" w:fill="auto"/>
            <w:vAlign w:val="center"/>
            <w:hideMark/>
          </w:tcPr>
          <w:p w14:paraId="65D2BA7C" w14:textId="77777777" w:rsidR="00AD0385" w:rsidRPr="00AD0385" w:rsidRDefault="00AD0385" w:rsidP="00206C45">
            <w:pPr>
              <w:spacing w:after="0" w:line="300" w:lineRule="auto"/>
              <w:rPr>
                <w:rFonts w:ascii="Tw Cen MT" w:eastAsia="Times New Roman" w:hAnsi="Tw Cen MT" w:cs="Calibri"/>
                <w:color w:val="000000"/>
              </w:rPr>
            </w:pPr>
            <w:r w:rsidRPr="00AD0385">
              <w:rPr>
                <w:rFonts w:ascii="Tw Cen MT" w:eastAsia="Times New Roman" w:hAnsi="Tw Cen MT" w:cs="Calibri"/>
                <w:color w:val="000000"/>
              </w:rPr>
              <w:t>times as likely to commute by driving alone</w:t>
            </w:r>
          </w:p>
        </w:tc>
      </w:tr>
      <w:tr w:rsidR="00AD0385" w:rsidRPr="00AD0385" w14:paraId="1E6DEEF4" w14:textId="77777777" w:rsidTr="00E74409">
        <w:trPr>
          <w:trHeight w:val="570"/>
        </w:trPr>
        <w:tc>
          <w:tcPr>
            <w:tcW w:w="512" w:type="pct"/>
            <w:tcBorders>
              <w:top w:val="nil"/>
              <w:left w:val="nil"/>
              <w:bottom w:val="single" w:sz="4" w:space="0" w:color="auto"/>
              <w:right w:val="nil"/>
            </w:tcBorders>
            <w:shd w:val="clear" w:color="000000" w:fill="F2F2F2"/>
            <w:noWrap/>
            <w:vAlign w:val="center"/>
            <w:hideMark/>
          </w:tcPr>
          <w:p w14:paraId="6F9F0900" w14:textId="77777777" w:rsidR="00AD0385" w:rsidRPr="00AD0385" w:rsidRDefault="00AD0385" w:rsidP="00206C45">
            <w:pPr>
              <w:spacing w:after="0" w:line="300" w:lineRule="auto"/>
              <w:jc w:val="center"/>
              <w:rPr>
                <w:rFonts w:ascii="Tw Cen MT" w:eastAsia="Times New Roman" w:hAnsi="Tw Cen MT" w:cs="Calibri"/>
                <w:color w:val="000000"/>
              </w:rPr>
            </w:pPr>
            <w:r w:rsidRPr="00AD0385">
              <w:rPr>
                <w:rFonts w:ascii="Tw Cen MT" w:eastAsia="Times New Roman" w:hAnsi="Tw Cen MT" w:cs="Calibri"/>
                <w:color w:val="000000"/>
              </w:rPr>
              <w:t>1.6</w:t>
            </w:r>
          </w:p>
        </w:tc>
        <w:tc>
          <w:tcPr>
            <w:tcW w:w="4488" w:type="pct"/>
            <w:tcBorders>
              <w:top w:val="nil"/>
              <w:left w:val="nil"/>
              <w:bottom w:val="single" w:sz="4" w:space="0" w:color="auto"/>
              <w:right w:val="nil"/>
            </w:tcBorders>
            <w:shd w:val="clear" w:color="000000" w:fill="F2F2F2"/>
            <w:vAlign w:val="center"/>
            <w:hideMark/>
          </w:tcPr>
          <w:p w14:paraId="432931F2" w14:textId="77777777" w:rsidR="00AD0385" w:rsidRPr="00AD0385" w:rsidRDefault="00AD0385" w:rsidP="00206C45">
            <w:pPr>
              <w:spacing w:after="0" w:line="300" w:lineRule="auto"/>
              <w:rPr>
                <w:rFonts w:ascii="Tw Cen MT" w:eastAsia="Times New Roman" w:hAnsi="Tw Cen MT" w:cs="Calibri"/>
                <w:color w:val="000000"/>
              </w:rPr>
            </w:pPr>
            <w:r w:rsidRPr="00AD0385">
              <w:rPr>
                <w:rFonts w:ascii="Tw Cen MT" w:eastAsia="Times New Roman" w:hAnsi="Tw Cen MT" w:cs="Calibri"/>
                <w:color w:val="000000"/>
              </w:rPr>
              <w:t>times as likely to commute by carpooling</w:t>
            </w:r>
          </w:p>
        </w:tc>
      </w:tr>
      <w:tr w:rsidR="00AD0385" w:rsidRPr="00AD0385" w14:paraId="0F7E24CE" w14:textId="77777777" w:rsidTr="00E74409">
        <w:trPr>
          <w:trHeight w:val="570"/>
        </w:trPr>
        <w:tc>
          <w:tcPr>
            <w:tcW w:w="512" w:type="pct"/>
            <w:tcBorders>
              <w:top w:val="nil"/>
              <w:left w:val="nil"/>
              <w:bottom w:val="nil"/>
              <w:right w:val="nil"/>
            </w:tcBorders>
            <w:shd w:val="clear" w:color="auto" w:fill="auto"/>
            <w:noWrap/>
            <w:vAlign w:val="center"/>
            <w:hideMark/>
          </w:tcPr>
          <w:p w14:paraId="7A74B88A" w14:textId="77777777" w:rsidR="00AD0385" w:rsidRPr="00AD0385" w:rsidRDefault="00AD0385" w:rsidP="00206C45">
            <w:pPr>
              <w:spacing w:after="0" w:line="300" w:lineRule="auto"/>
              <w:jc w:val="center"/>
              <w:rPr>
                <w:rFonts w:ascii="Tw Cen MT" w:eastAsia="Times New Roman" w:hAnsi="Tw Cen MT" w:cs="Calibri"/>
                <w:color w:val="000000"/>
              </w:rPr>
            </w:pPr>
            <w:r w:rsidRPr="00AD0385">
              <w:rPr>
                <w:rFonts w:ascii="Tw Cen MT" w:eastAsia="Times New Roman" w:hAnsi="Tw Cen MT" w:cs="Calibri"/>
                <w:color w:val="000000"/>
              </w:rPr>
              <w:t>1.4</w:t>
            </w:r>
          </w:p>
        </w:tc>
        <w:tc>
          <w:tcPr>
            <w:tcW w:w="4488" w:type="pct"/>
            <w:tcBorders>
              <w:top w:val="nil"/>
              <w:left w:val="nil"/>
              <w:bottom w:val="nil"/>
              <w:right w:val="nil"/>
            </w:tcBorders>
            <w:shd w:val="clear" w:color="auto" w:fill="auto"/>
            <w:vAlign w:val="center"/>
            <w:hideMark/>
          </w:tcPr>
          <w:p w14:paraId="6AD88549" w14:textId="77777777" w:rsidR="00AD0385" w:rsidRPr="00AD0385" w:rsidRDefault="00AD0385" w:rsidP="00206C45">
            <w:pPr>
              <w:spacing w:after="0" w:line="300" w:lineRule="auto"/>
              <w:rPr>
                <w:rFonts w:ascii="Tw Cen MT" w:eastAsia="Times New Roman" w:hAnsi="Tw Cen MT" w:cs="Calibri"/>
                <w:color w:val="000000"/>
              </w:rPr>
            </w:pPr>
            <w:r w:rsidRPr="00AD0385">
              <w:rPr>
                <w:rFonts w:ascii="Tw Cen MT" w:eastAsia="Times New Roman" w:hAnsi="Tw Cen MT" w:cs="Calibri"/>
                <w:color w:val="000000"/>
              </w:rPr>
              <w:t>times as likely to commute by public transportation</w:t>
            </w:r>
          </w:p>
        </w:tc>
      </w:tr>
      <w:tr w:rsidR="00AD0385" w:rsidRPr="00AD0385" w14:paraId="13AD87D7" w14:textId="77777777" w:rsidTr="00E74409">
        <w:trPr>
          <w:trHeight w:val="300"/>
        </w:trPr>
        <w:tc>
          <w:tcPr>
            <w:tcW w:w="512" w:type="pct"/>
            <w:tcBorders>
              <w:top w:val="nil"/>
              <w:left w:val="nil"/>
              <w:bottom w:val="nil"/>
              <w:right w:val="nil"/>
            </w:tcBorders>
            <w:shd w:val="clear" w:color="auto" w:fill="auto"/>
            <w:noWrap/>
            <w:vAlign w:val="bottom"/>
            <w:hideMark/>
          </w:tcPr>
          <w:p w14:paraId="755699DF" w14:textId="77777777" w:rsidR="00AD0385" w:rsidRPr="00AD0385" w:rsidRDefault="00AD0385" w:rsidP="00206C45">
            <w:pPr>
              <w:spacing w:after="0" w:line="300" w:lineRule="auto"/>
              <w:rPr>
                <w:rFonts w:ascii="Tw Cen MT" w:eastAsia="Times New Roman" w:hAnsi="Tw Cen MT" w:cs="Calibri"/>
                <w:color w:val="000000"/>
              </w:rPr>
            </w:pPr>
          </w:p>
        </w:tc>
        <w:tc>
          <w:tcPr>
            <w:tcW w:w="4488" w:type="pct"/>
            <w:tcBorders>
              <w:top w:val="nil"/>
              <w:left w:val="nil"/>
              <w:bottom w:val="nil"/>
              <w:right w:val="nil"/>
            </w:tcBorders>
            <w:shd w:val="clear" w:color="auto" w:fill="auto"/>
            <w:noWrap/>
            <w:vAlign w:val="bottom"/>
            <w:hideMark/>
          </w:tcPr>
          <w:p w14:paraId="1659F235" w14:textId="77777777" w:rsidR="00AD0385" w:rsidRPr="00AD0385" w:rsidRDefault="00AD0385" w:rsidP="00206C45">
            <w:pPr>
              <w:spacing w:after="0" w:line="300" w:lineRule="auto"/>
              <w:rPr>
                <w:rFonts w:ascii="Times New Roman" w:eastAsia="Times New Roman" w:hAnsi="Times New Roman" w:cs="Times New Roman"/>
                <w:sz w:val="20"/>
                <w:szCs w:val="20"/>
              </w:rPr>
            </w:pPr>
          </w:p>
        </w:tc>
      </w:tr>
      <w:tr w:rsidR="00AD0385" w:rsidRPr="00AD0385" w14:paraId="06A9B8E8" w14:textId="77777777" w:rsidTr="00E74409">
        <w:trPr>
          <w:cantSplit/>
          <w:trHeight w:val="799"/>
        </w:trPr>
        <w:tc>
          <w:tcPr>
            <w:tcW w:w="5000" w:type="pct"/>
            <w:gridSpan w:val="2"/>
            <w:tcBorders>
              <w:top w:val="nil"/>
              <w:left w:val="nil"/>
              <w:bottom w:val="single" w:sz="4" w:space="0" w:color="auto"/>
              <w:right w:val="nil"/>
            </w:tcBorders>
            <w:shd w:val="clear" w:color="000000" w:fill="E5F5FF"/>
            <w:vAlign w:val="center"/>
            <w:hideMark/>
          </w:tcPr>
          <w:p w14:paraId="6085C37F" w14:textId="77777777" w:rsidR="00AD0385" w:rsidRPr="00AD0385" w:rsidRDefault="00AD0385" w:rsidP="00206C45">
            <w:pPr>
              <w:spacing w:after="0" w:line="300" w:lineRule="auto"/>
              <w:jc w:val="center"/>
              <w:rPr>
                <w:rFonts w:ascii="Tw Cen MT" w:eastAsia="Times New Roman" w:hAnsi="Tw Cen MT" w:cs="Calibri"/>
                <w:b/>
                <w:bCs/>
                <w:color w:val="595959"/>
              </w:rPr>
            </w:pPr>
            <w:r w:rsidRPr="00AD0385">
              <w:rPr>
                <w:rFonts w:ascii="Tw Cen MT" w:eastAsia="Times New Roman" w:hAnsi="Tw Cen MT" w:cs="Calibri"/>
                <w:b/>
                <w:bCs/>
                <w:color w:val="595959"/>
              </w:rPr>
              <w:t xml:space="preserve">In Manchester, when compared to the </w:t>
            </w:r>
            <w:proofErr w:type="gramStart"/>
            <w:r w:rsidRPr="00AD0385">
              <w:rPr>
                <w:rFonts w:ascii="Tw Cen MT" w:eastAsia="Times New Roman" w:hAnsi="Tw Cen MT" w:cs="Calibri"/>
                <w:b/>
                <w:bCs/>
                <w:color w:val="595959"/>
              </w:rPr>
              <w:t>general public</w:t>
            </w:r>
            <w:proofErr w:type="gramEnd"/>
            <w:r w:rsidRPr="00AD0385">
              <w:rPr>
                <w:rFonts w:ascii="Tw Cen MT" w:eastAsia="Times New Roman" w:hAnsi="Tw Cen MT" w:cs="Calibri"/>
                <w:b/>
                <w:bCs/>
                <w:color w:val="595959"/>
              </w:rPr>
              <w:t>, workers below the poverty threshold are…</w:t>
            </w:r>
          </w:p>
        </w:tc>
      </w:tr>
      <w:tr w:rsidR="00AD0385" w:rsidRPr="00AD0385" w14:paraId="3AC2D848" w14:textId="77777777" w:rsidTr="00E74409">
        <w:trPr>
          <w:cantSplit/>
          <w:trHeight w:val="570"/>
        </w:trPr>
        <w:tc>
          <w:tcPr>
            <w:tcW w:w="512" w:type="pct"/>
            <w:tcBorders>
              <w:top w:val="nil"/>
              <w:left w:val="nil"/>
              <w:bottom w:val="single" w:sz="4" w:space="0" w:color="auto"/>
              <w:right w:val="nil"/>
            </w:tcBorders>
            <w:shd w:val="clear" w:color="auto" w:fill="auto"/>
            <w:noWrap/>
            <w:vAlign w:val="center"/>
            <w:hideMark/>
          </w:tcPr>
          <w:p w14:paraId="3827409F" w14:textId="77777777" w:rsidR="00AD0385" w:rsidRPr="00AD0385" w:rsidRDefault="00AD0385" w:rsidP="00206C45">
            <w:pPr>
              <w:spacing w:after="0" w:line="300" w:lineRule="auto"/>
              <w:jc w:val="center"/>
              <w:rPr>
                <w:rFonts w:ascii="Tw Cen MT" w:eastAsia="Times New Roman" w:hAnsi="Tw Cen MT" w:cs="Calibri"/>
                <w:color w:val="000000"/>
              </w:rPr>
            </w:pPr>
            <w:r w:rsidRPr="00AD0385">
              <w:rPr>
                <w:rFonts w:ascii="Tw Cen MT" w:eastAsia="Times New Roman" w:hAnsi="Tw Cen MT" w:cs="Calibri"/>
                <w:color w:val="000000"/>
              </w:rPr>
              <w:t>0.8</w:t>
            </w:r>
          </w:p>
        </w:tc>
        <w:tc>
          <w:tcPr>
            <w:tcW w:w="4488" w:type="pct"/>
            <w:tcBorders>
              <w:top w:val="nil"/>
              <w:left w:val="nil"/>
              <w:bottom w:val="single" w:sz="4" w:space="0" w:color="auto"/>
              <w:right w:val="nil"/>
            </w:tcBorders>
            <w:shd w:val="clear" w:color="auto" w:fill="auto"/>
            <w:vAlign w:val="center"/>
            <w:hideMark/>
          </w:tcPr>
          <w:p w14:paraId="54E6F145" w14:textId="77777777" w:rsidR="00AD0385" w:rsidRPr="00AD0385" w:rsidRDefault="00AD0385" w:rsidP="00206C45">
            <w:pPr>
              <w:spacing w:after="0" w:line="300" w:lineRule="auto"/>
              <w:rPr>
                <w:rFonts w:ascii="Tw Cen MT" w:eastAsia="Times New Roman" w:hAnsi="Tw Cen MT" w:cs="Calibri"/>
                <w:color w:val="000000"/>
              </w:rPr>
            </w:pPr>
            <w:r w:rsidRPr="00AD0385">
              <w:rPr>
                <w:rFonts w:ascii="Tw Cen MT" w:eastAsia="Times New Roman" w:hAnsi="Tw Cen MT" w:cs="Calibri"/>
                <w:color w:val="000000"/>
              </w:rPr>
              <w:t>times as likely to commute by driving alone</w:t>
            </w:r>
          </w:p>
        </w:tc>
      </w:tr>
      <w:tr w:rsidR="00AD0385" w:rsidRPr="00AD0385" w14:paraId="0F7E7882" w14:textId="77777777" w:rsidTr="00E74409">
        <w:trPr>
          <w:cantSplit/>
          <w:trHeight w:val="570"/>
        </w:trPr>
        <w:tc>
          <w:tcPr>
            <w:tcW w:w="512" w:type="pct"/>
            <w:tcBorders>
              <w:top w:val="nil"/>
              <w:left w:val="nil"/>
              <w:bottom w:val="single" w:sz="4" w:space="0" w:color="auto"/>
              <w:right w:val="nil"/>
            </w:tcBorders>
            <w:shd w:val="clear" w:color="000000" w:fill="F2F2F2"/>
            <w:noWrap/>
            <w:vAlign w:val="center"/>
            <w:hideMark/>
          </w:tcPr>
          <w:p w14:paraId="5FF0116E" w14:textId="77777777" w:rsidR="00AD0385" w:rsidRPr="00AD0385" w:rsidRDefault="00AD0385" w:rsidP="00206C45">
            <w:pPr>
              <w:spacing w:after="0" w:line="300" w:lineRule="auto"/>
              <w:jc w:val="center"/>
              <w:rPr>
                <w:rFonts w:ascii="Tw Cen MT" w:eastAsia="Times New Roman" w:hAnsi="Tw Cen MT" w:cs="Calibri"/>
                <w:color w:val="000000"/>
              </w:rPr>
            </w:pPr>
            <w:r w:rsidRPr="00AD0385">
              <w:rPr>
                <w:rFonts w:ascii="Tw Cen MT" w:eastAsia="Times New Roman" w:hAnsi="Tw Cen MT" w:cs="Calibri"/>
                <w:color w:val="000000"/>
              </w:rPr>
              <w:t>3.7</w:t>
            </w:r>
          </w:p>
        </w:tc>
        <w:tc>
          <w:tcPr>
            <w:tcW w:w="4488" w:type="pct"/>
            <w:tcBorders>
              <w:top w:val="nil"/>
              <w:left w:val="nil"/>
              <w:bottom w:val="single" w:sz="4" w:space="0" w:color="auto"/>
              <w:right w:val="nil"/>
            </w:tcBorders>
            <w:shd w:val="clear" w:color="000000" w:fill="F2F2F2"/>
            <w:vAlign w:val="center"/>
            <w:hideMark/>
          </w:tcPr>
          <w:p w14:paraId="17D9898C" w14:textId="77777777" w:rsidR="00AD0385" w:rsidRPr="00AD0385" w:rsidRDefault="00AD0385" w:rsidP="00206C45">
            <w:pPr>
              <w:spacing w:after="0" w:line="300" w:lineRule="auto"/>
              <w:rPr>
                <w:rFonts w:ascii="Tw Cen MT" w:eastAsia="Times New Roman" w:hAnsi="Tw Cen MT" w:cs="Calibri"/>
                <w:color w:val="000000"/>
              </w:rPr>
            </w:pPr>
            <w:r w:rsidRPr="00AD0385">
              <w:rPr>
                <w:rFonts w:ascii="Tw Cen MT" w:eastAsia="Times New Roman" w:hAnsi="Tw Cen MT" w:cs="Calibri"/>
                <w:color w:val="000000"/>
              </w:rPr>
              <w:t>times as likely to commute by carpooling</w:t>
            </w:r>
          </w:p>
        </w:tc>
      </w:tr>
      <w:tr w:rsidR="00AD0385" w:rsidRPr="00AD0385" w14:paraId="69344A45" w14:textId="77777777" w:rsidTr="00E74409">
        <w:trPr>
          <w:cantSplit/>
          <w:trHeight w:val="570"/>
        </w:trPr>
        <w:tc>
          <w:tcPr>
            <w:tcW w:w="512" w:type="pct"/>
            <w:tcBorders>
              <w:top w:val="nil"/>
              <w:left w:val="nil"/>
              <w:bottom w:val="nil"/>
              <w:right w:val="nil"/>
            </w:tcBorders>
            <w:shd w:val="clear" w:color="auto" w:fill="auto"/>
            <w:noWrap/>
            <w:vAlign w:val="center"/>
            <w:hideMark/>
          </w:tcPr>
          <w:p w14:paraId="01E1D2FF" w14:textId="77777777" w:rsidR="00AD0385" w:rsidRPr="00AD0385" w:rsidRDefault="00AD0385" w:rsidP="00206C45">
            <w:pPr>
              <w:spacing w:after="0" w:line="300" w:lineRule="auto"/>
              <w:jc w:val="center"/>
              <w:rPr>
                <w:rFonts w:ascii="Tw Cen MT" w:eastAsia="Times New Roman" w:hAnsi="Tw Cen MT" w:cs="Calibri"/>
                <w:color w:val="000000"/>
              </w:rPr>
            </w:pPr>
            <w:r w:rsidRPr="00AD0385">
              <w:rPr>
                <w:rFonts w:ascii="Tw Cen MT" w:eastAsia="Times New Roman" w:hAnsi="Tw Cen MT" w:cs="Calibri"/>
                <w:color w:val="000000"/>
              </w:rPr>
              <w:t>10</w:t>
            </w:r>
          </w:p>
        </w:tc>
        <w:tc>
          <w:tcPr>
            <w:tcW w:w="4488" w:type="pct"/>
            <w:tcBorders>
              <w:top w:val="nil"/>
              <w:left w:val="nil"/>
              <w:bottom w:val="nil"/>
              <w:right w:val="nil"/>
            </w:tcBorders>
            <w:shd w:val="clear" w:color="auto" w:fill="auto"/>
            <w:vAlign w:val="center"/>
            <w:hideMark/>
          </w:tcPr>
          <w:p w14:paraId="4F6823DA" w14:textId="77777777" w:rsidR="00AD0385" w:rsidRPr="00AD0385" w:rsidRDefault="00AD0385" w:rsidP="00206C45">
            <w:pPr>
              <w:spacing w:after="0" w:line="300" w:lineRule="auto"/>
              <w:rPr>
                <w:rFonts w:ascii="Tw Cen MT" w:eastAsia="Times New Roman" w:hAnsi="Tw Cen MT" w:cs="Calibri"/>
                <w:color w:val="000000"/>
              </w:rPr>
            </w:pPr>
            <w:r w:rsidRPr="00AD0385">
              <w:rPr>
                <w:rFonts w:ascii="Tw Cen MT" w:eastAsia="Times New Roman" w:hAnsi="Tw Cen MT" w:cs="Calibri"/>
                <w:color w:val="000000"/>
              </w:rPr>
              <w:t>times as likely to commute by public transportation</w:t>
            </w:r>
          </w:p>
        </w:tc>
      </w:tr>
      <w:tr w:rsidR="00AD0385" w:rsidRPr="00AD0385" w14:paraId="6B6A0EBF" w14:textId="77777777" w:rsidTr="00E74409">
        <w:trPr>
          <w:trHeight w:val="300"/>
        </w:trPr>
        <w:tc>
          <w:tcPr>
            <w:tcW w:w="512" w:type="pct"/>
            <w:tcBorders>
              <w:top w:val="nil"/>
              <w:left w:val="nil"/>
              <w:bottom w:val="nil"/>
              <w:right w:val="nil"/>
            </w:tcBorders>
            <w:shd w:val="clear" w:color="auto" w:fill="auto"/>
            <w:noWrap/>
            <w:vAlign w:val="bottom"/>
            <w:hideMark/>
          </w:tcPr>
          <w:p w14:paraId="45A4F767" w14:textId="77777777" w:rsidR="00AD0385" w:rsidRPr="00AD0385" w:rsidRDefault="00AD0385" w:rsidP="00206C45">
            <w:pPr>
              <w:spacing w:after="0" w:line="300" w:lineRule="auto"/>
              <w:rPr>
                <w:rFonts w:ascii="Times New Roman" w:eastAsia="Times New Roman" w:hAnsi="Times New Roman" w:cs="Times New Roman"/>
                <w:sz w:val="20"/>
                <w:szCs w:val="20"/>
              </w:rPr>
            </w:pPr>
          </w:p>
        </w:tc>
        <w:tc>
          <w:tcPr>
            <w:tcW w:w="4488" w:type="pct"/>
            <w:tcBorders>
              <w:top w:val="nil"/>
              <w:left w:val="nil"/>
              <w:bottom w:val="nil"/>
              <w:right w:val="nil"/>
            </w:tcBorders>
            <w:shd w:val="clear" w:color="auto" w:fill="auto"/>
            <w:noWrap/>
            <w:vAlign w:val="bottom"/>
            <w:hideMark/>
          </w:tcPr>
          <w:p w14:paraId="64B413D7" w14:textId="77777777" w:rsidR="00AD0385" w:rsidRPr="00AD0385" w:rsidRDefault="00AD0385" w:rsidP="00206C45">
            <w:pPr>
              <w:spacing w:after="0" w:line="300" w:lineRule="auto"/>
              <w:rPr>
                <w:rFonts w:ascii="Times New Roman" w:eastAsia="Times New Roman" w:hAnsi="Times New Roman" w:cs="Times New Roman"/>
                <w:sz w:val="20"/>
                <w:szCs w:val="20"/>
              </w:rPr>
            </w:pPr>
          </w:p>
        </w:tc>
      </w:tr>
      <w:tr w:rsidR="00AD0385" w:rsidRPr="00AD0385" w14:paraId="396C0B24" w14:textId="77777777" w:rsidTr="00E74409">
        <w:trPr>
          <w:trHeight w:val="799"/>
        </w:trPr>
        <w:tc>
          <w:tcPr>
            <w:tcW w:w="5000" w:type="pct"/>
            <w:gridSpan w:val="2"/>
            <w:tcBorders>
              <w:top w:val="nil"/>
              <w:left w:val="nil"/>
              <w:bottom w:val="single" w:sz="4" w:space="0" w:color="auto"/>
              <w:right w:val="nil"/>
            </w:tcBorders>
            <w:shd w:val="clear" w:color="000000" w:fill="E5F5FF"/>
            <w:vAlign w:val="center"/>
            <w:hideMark/>
          </w:tcPr>
          <w:p w14:paraId="5EC4A7F3" w14:textId="77777777" w:rsidR="00AD0385" w:rsidRPr="00AD0385" w:rsidRDefault="00AD0385" w:rsidP="00206C45">
            <w:pPr>
              <w:spacing w:after="0" w:line="300" w:lineRule="auto"/>
              <w:jc w:val="center"/>
              <w:rPr>
                <w:rFonts w:ascii="Tw Cen MT" w:eastAsia="Times New Roman" w:hAnsi="Tw Cen MT" w:cs="Calibri"/>
                <w:b/>
                <w:bCs/>
                <w:color w:val="595959"/>
              </w:rPr>
            </w:pPr>
            <w:r w:rsidRPr="00AD0385">
              <w:rPr>
                <w:rFonts w:ascii="Tw Cen MT" w:eastAsia="Times New Roman" w:hAnsi="Tw Cen MT" w:cs="Calibri"/>
                <w:b/>
                <w:bCs/>
                <w:color w:val="595959"/>
              </w:rPr>
              <w:t xml:space="preserve">In Manchester, when compared to the </w:t>
            </w:r>
            <w:proofErr w:type="gramStart"/>
            <w:r w:rsidRPr="00AD0385">
              <w:rPr>
                <w:rFonts w:ascii="Tw Cen MT" w:eastAsia="Times New Roman" w:hAnsi="Tw Cen MT" w:cs="Calibri"/>
                <w:b/>
                <w:bCs/>
                <w:color w:val="595959"/>
              </w:rPr>
              <w:t>general public</w:t>
            </w:r>
            <w:proofErr w:type="gramEnd"/>
            <w:r w:rsidRPr="00AD0385">
              <w:rPr>
                <w:rFonts w:ascii="Tw Cen MT" w:eastAsia="Times New Roman" w:hAnsi="Tw Cen MT" w:cs="Calibri"/>
                <w:b/>
                <w:bCs/>
                <w:color w:val="595959"/>
              </w:rPr>
              <w:t>, limited English proficiency workers are…</w:t>
            </w:r>
          </w:p>
        </w:tc>
      </w:tr>
      <w:tr w:rsidR="00AD0385" w:rsidRPr="00AD0385" w14:paraId="174F8306" w14:textId="77777777" w:rsidTr="00E74409">
        <w:trPr>
          <w:trHeight w:val="570"/>
        </w:trPr>
        <w:tc>
          <w:tcPr>
            <w:tcW w:w="512" w:type="pct"/>
            <w:tcBorders>
              <w:top w:val="nil"/>
              <w:left w:val="nil"/>
              <w:bottom w:val="single" w:sz="4" w:space="0" w:color="auto"/>
              <w:right w:val="nil"/>
            </w:tcBorders>
            <w:shd w:val="clear" w:color="auto" w:fill="auto"/>
            <w:noWrap/>
            <w:vAlign w:val="center"/>
            <w:hideMark/>
          </w:tcPr>
          <w:p w14:paraId="00F43335" w14:textId="77777777" w:rsidR="00AD0385" w:rsidRPr="00AD0385" w:rsidRDefault="00AD0385" w:rsidP="00206C45">
            <w:pPr>
              <w:spacing w:after="0" w:line="300" w:lineRule="auto"/>
              <w:jc w:val="center"/>
              <w:rPr>
                <w:rFonts w:ascii="Tw Cen MT" w:eastAsia="Times New Roman" w:hAnsi="Tw Cen MT" w:cs="Calibri"/>
                <w:color w:val="000000"/>
              </w:rPr>
            </w:pPr>
            <w:r w:rsidRPr="00AD0385">
              <w:rPr>
                <w:rFonts w:ascii="Tw Cen MT" w:eastAsia="Times New Roman" w:hAnsi="Tw Cen MT" w:cs="Calibri"/>
                <w:color w:val="000000"/>
              </w:rPr>
              <w:t>0.8</w:t>
            </w:r>
          </w:p>
        </w:tc>
        <w:tc>
          <w:tcPr>
            <w:tcW w:w="4488" w:type="pct"/>
            <w:tcBorders>
              <w:top w:val="nil"/>
              <w:left w:val="nil"/>
              <w:bottom w:val="single" w:sz="4" w:space="0" w:color="auto"/>
              <w:right w:val="nil"/>
            </w:tcBorders>
            <w:shd w:val="clear" w:color="auto" w:fill="auto"/>
            <w:vAlign w:val="center"/>
            <w:hideMark/>
          </w:tcPr>
          <w:p w14:paraId="335D248A" w14:textId="77777777" w:rsidR="00AD0385" w:rsidRPr="00AD0385" w:rsidRDefault="00AD0385" w:rsidP="00206C45">
            <w:pPr>
              <w:spacing w:after="0" w:line="300" w:lineRule="auto"/>
              <w:rPr>
                <w:rFonts w:ascii="Tw Cen MT" w:eastAsia="Times New Roman" w:hAnsi="Tw Cen MT" w:cs="Calibri"/>
                <w:color w:val="000000"/>
              </w:rPr>
            </w:pPr>
            <w:r w:rsidRPr="00AD0385">
              <w:rPr>
                <w:rFonts w:ascii="Tw Cen MT" w:eastAsia="Times New Roman" w:hAnsi="Tw Cen MT" w:cs="Calibri"/>
                <w:color w:val="000000"/>
              </w:rPr>
              <w:t>times as likely to commute by driving alone</w:t>
            </w:r>
          </w:p>
        </w:tc>
      </w:tr>
      <w:tr w:rsidR="00AD0385" w:rsidRPr="00AD0385" w14:paraId="0BC4FA20" w14:textId="77777777" w:rsidTr="00E74409">
        <w:trPr>
          <w:trHeight w:val="570"/>
        </w:trPr>
        <w:tc>
          <w:tcPr>
            <w:tcW w:w="512" w:type="pct"/>
            <w:tcBorders>
              <w:top w:val="nil"/>
              <w:left w:val="nil"/>
              <w:bottom w:val="single" w:sz="4" w:space="0" w:color="auto"/>
              <w:right w:val="nil"/>
            </w:tcBorders>
            <w:shd w:val="clear" w:color="000000" w:fill="F2F2F2"/>
            <w:noWrap/>
            <w:vAlign w:val="center"/>
            <w:hideMark/>
          </w:tcPr>
          <w:p w14:paraId="606247B2" w14:textId="77777777" w:rsidR="00AD0385" w:rsidRPr="00AD0385" w:rsidRDefault="00AD0385" w:rsidP="00206C45">
            <w:pPr>
              <w:spacing w:after="0" w:line="300" w:lineRule="auto"/>
              <w:jc w:val="center"/>
              <w:rPr>
                <w:rFonts w:ascii="Tw Cen MT" w:eastAsia="Times New Roman" w:hAnsi="Tw Cen MT" w:cs="Calibri"/>
                <w:color w:val="000000"/>
              </w:rPr>
            </w:pPr>
            <w:r w:rsidRPr="00AD0385">
              <w:rPr>
                <w:rFonts w:ascii="Tw Cen MT" w:eastAsia="Times New Roman" w:hAnsi="Tw Cen MT" w:cs="Calibri"/>
                <w:color w:val="000000"/>
              </w:rPr>
              <w:t>4</w:t>
            </w:r>
          </w:p>
        </w:tc>
        <w:tc>
          <w:tcPr>
            <w:tcW w:w="4488" w:type="pct"/>
            <w:tcBorders>
              <w:top w:val="nil"/>
              <w:left w:val="nil"/>
              <w:bottom w:val="single" w:sz="4" w:space="0" w:color="auto"/>
              <w:right w:val="nil"/>
            </w:tcBorders>
            <w:shd w:val="clear" w:color="000000" w:fill="F2F2F2"/>
            <w:vAlign w:val="center"/>
            <w:hideMark/>
          </w:tcPr>
          <w:p w14:paraId="356556F0" w14:textId="77777777" w:rsidR="00AD0385" w:rsidRPr="00AD0385" w:rsidRDefault="00AD0385" w:rsidP="00206C45">
            <w:pPr>
              <w:spacing w:after="0" w:line="300" w:lineRule="auto"/>
              <w:rPr>
                <w:rFonts w:ascii="Tw Cen MT" w:eastAsia="Times New Roman" w:hAnsi="Tw Cen MT" w:cs="Calibri"/>
                <w:color w:val="000000"/>
              </w:rPr>
            </w:pPr>
            <w:r w:rsidRPr="00AD0385">
              <w:rPr>
                <w:rFonts w:ascii="Tw Cen MT" w:eastAsia="Times New Roman" w:hAnsi="Tw Cen MT" w:cs="Calibri"/>
                <w:color w:val="000000"/>
              </w:rPr>
              <w:t>times as likely to commute by carpooling</w:t>
            </w:r>
          </w:p>
        </w:tc>
      </w:tr>
      <w:tr w:rsidR="00AD0385" w:rsidRPr="00AD0385" w14:paraId="235D962B" w14:textId="77777777" w:rsidTr="00E74409">
        <w:trPr>
          <w:trHeight w:val="570"/>
        </w:trPr>
        <w:tc>
          <w:tcPr>
            <w:tcW w:w="512" w:type="pct"/>
            <w:tcBorders>
              <w:top w:val="nil"/>
              <w:left w:val="nil"/>
              <w:bottom w:val="nil"/>
              <w:right w:val="nil"/>
            </w:tcBorders>
            <w:shd w:val="clear" w:color="auto" w:fill="auto"/>
            <w:noWrap/>
            <w:vAlign w:val="center"/>
            <w:hideMark/>
          </w:tcPr>
          <w:p w14:paraId="1EBC554D" w14:textId="77777777" w:rsidR="00AD0385" w:rsidRPr="00AD0385" w:rsidRDefault="00AD0385" w:rsidP="00206C45">
            <w:pPr>
              <w:spacing w:after="0" w:line="300" w:lineRule="auto"/>
              <w:jc w:val="center"/>
              <w:rPr>
                <w:rFonts w:ascii="Tw Cen MT" w:eastAsia="Times New Roman" w:hAnsi="Tw Cen MT" w:cs="Calibri"/>
                <w:color w:val="000000"/>
              </w:rPr>
            </w:pPr>
            <w:r w:rsidRPr="00AD0385">
              <w:rPr>
                <w:rFonts w:ascii="Tw Cen MT" w:eastAsia="Times New Roman" w:hAnsi="Tw Cen MT" w:cs="Calibri"/>
                <w:color w:val="000000"/>
              </w:rPr>
              <w:t>2.7</w:t>
            </w:r>
          </w:p>
        </w:tc>
        <w:tc>
          <w:tcPr>
            <w:tcW w:w="4488" w:type="pct"/>
            <w:tcBorders>
              <w:top w:val="nil"/>
              <w:left w:val="nil"/>
              <w:bottom w:val="nil"/>
              <w:right w:val="nil"/>
            </w:tcBorders>
            <w:shd w:val="clear" w:color="auto" w:fill="auto"/>
            <w:vAlign w:val="center"/>
            <w:hideMark/>
          </w:tcPr>
          <w:p w14:paraId="3A211CE0" w14:textId="77777777" w:rsidR="00AD0385" w:rsidRPr="00AD0385" w:rsidRDefault="00AD0385" w:rsidP="00206C45">
            <w:pPr>
              <w:spacing w:after="0" w:line="300" w:lineRule="auto"/>
              <w:rPr>
                <w:rFonts w:ascii="Tw Cen MT" w:eastAsia="Times New Roman" w:hAnsi="Tw Cen MT" w:cs="Calibri"/>
                <w:color w:val="000000"/>
              </w:rPr>
            </w:pPr>
            <w:r w:rsidRPr="00AD0385">
              <w:rPr>
                <w:rFonts w:ascii="Tw Cen MT" w:eastAsia="Times New Roman" w:hAnsi="Tw Cen MT" w:cs="Calibri"/>
                <w:color w:val="000000"/>
              </w:rPr>
              <w:t>times as likely to commute by public transportation</w:t>
            </w:r>
          </w:p>
        </w:tc>
      </w:tr>
      <w:tr w:rsidR="00AD0385" w:rsidRPr="00AD0385" w14:paraId="10231797" w14:textId="77777777" w:rsidTr="00E74409">
        <w:trPr>
          <w:trHeight w:val="555"/>
        </w:trPr>
        <w:tc>
          <w:tcPr>
            <w:tcW w:w="5000" w:type="pct"/>
            <w:gridSpan w:val="2"/>
            <w:tcBorders>
              <w:top w:val="nil"/>
              <w:left w:val="nil"/>
              <w:bottom w:val="nil"/>
              <w:right w:val="nil"/>
            </w:tcBorders>
            <w:shd w:val="clear" w:color="auto" w:fill="auto"/>
            <w:vAlign w:val="center"/>
            <w:hideMark/>
          </w:tcPr>
          <w:p w14:paraId="5856AC76" w14:textId="77777777" w:rsidR="00AD0385" w:rsidRPr="00AD0385" w:rsidRDefault="00AD0385" w:rsidP="00206C45">
            <w:pPr>
              <w:spacing w:after="0" w:line="300" w:lineRule="auto"/>
              <w:jc w:val="right"/>
              <w:rPr>
                <w:rFonts w:ascii="Tw Cen MT" w:eastAsia="Times New Roman" w:hAnsi="Tw Cen MT" w:cs="Calibri"/>
                <w:color w:val="000000"/>
                <w:sz w:val="20"/>
                <w:szCs w:val="20"/>
              </w:rPr>
            </w:pPr>
            <w:r w:rsidRPr="00AD0385">
              <w:rPr>
                <w:rFonts w:ascii="Tw Cen MT" w:eastAsia="Times New Roman" w:hAnsi="Tw Cen MT" w:cs="Calibri"/>
                <w:color w:val="000000"/>
                <w:sz w:val="20"/>
                <w:szCs w:val="20"/>
              </w:rPr>
              <w:t>Figures are not available for municipalities smaller than Manchester. 2020 5-Year American Community Survey.</w:t>
            </w:r>
          </w:p>
        </w:tc>
      </w:tr>
      <w:tr w:rsidR="00AD0385" w:rsidRPr="00AD0385" w14:paraId="75281C6E" w14:textId="77777777" w:rsidTr="00E74409">
        <w:trPr>
          <w:trHeight w:val="300"/>
        </w:trPr>
        <w:tc>
          <w:tcPr>
            <w:tcW w:w="5000" w:type="pct"/>
            <w:gridSpan w:val="2"/>
            <w:tcBorders>
              <w:top w:val="nil"/>
              <w:left w:val="nil"/>
              <w:bottom w:val="nil"/>
              <w:right w:val="nil"/>
            </w:tcBorders>
            <w:shd w:val="clear" w:color="auto" w:fill="auto"/>
            <w:vAlign w:val="center"/>
            <w:hideMark/>
          </w:tcPr>
          <w:p w14:paraId="2D4CC4D6" w14:textId="77777777" w:rsidR="00AD0385" w:rsidRPr="00AD0385" w:rsidRDefault="00AD0385" w:rsidP="00206C45">
            <w:pPr>
              <w:spacing w:after="0" w:line="300" w:lineRule="auto"/>
              <w:jc w:val="right"/>
              <w:rPr>
                <w:rFonts w:ascii="Tw Cen MT" w:eastAsia="Times New Roman" w:hAnsi="Tw Cen MT" w:cs="Calibri"/>
                <w:color w:val="000000"/>
                <w:sz w:val="20"/>
                <w:szCs w:val="20"/>
              </w:rPr>
            </w:pPr>
            <w:r w:rsidRPr="00AD0385">
              <w:rPr>
                <w:rFonts w:ascii="Tw Cen MT" w:eastAsia="Times New Roman" w:hAnsi="Tw Cen MT" w:cs="Calibri"/>
                <w:color w:val="000000"/>
                <w:sz w:val="20"/>
                <w:szCs w:val="20"/>
              </w:rPr>
              <w:t>Source: US Census Bureau</w:t>
            </w:r>
          </w:p>
        </w:tc>
      </w:tr>
    </w:tbl>
    <w:p w14:paraId="0FF4F403" w14:textId="77777777" w:rsidR="00E67202" w:rsidRPr="00E67202" w:rsidRDefault="00E67202" w:rsidP="00206C45">
      <w:pPr>
        <w:spacing w:line="300" w:lineRule="auto"/>
      </w:pPr>
    </w:p>
    <w:p w14:paraId="2B37E9E0" w14:textId="03147EF7" w:rsidR="00B40F3B" w:rsidRPr="00C64BA4" w:rsidRDefault="135E5A68" w:rsidP="00206C45">
      <w:pPr>
        <w:pStyle w:val="Heading3"/>
        <w:spacing w:line="300" w:lineRule="auto"/>
        <w:rPr>
          <w:lang w:val="en"/>
        </w:rPr>
      </w:pPr>
      <w:bookmarkStart w:id="78" w:name="_Toc128137958"/>
      <w:r w:rsidRPr="00C64BA4">
        <w:rPr>
          <w:lang w:val="en"/>
        </w:rPr>
        <w:t>School Enrollment Trends</w:t>
      </w:r>
      <w:bookmarkEnd w:id="78"/>
      <w:r w:rsidRPr="00C64BA4">
        <w:rPr>
          <w:lang w:val="en"/>
        </w:rPr>
        <w:t xml:space="preserve"> </w:t>
      </w:r>
    </w:p>
    <w:p w14:paraId="2C344173" w14:textId="694C710D" w:rsidR="00ED32C9" w:rsidRPr="00C64BA4" w:rsidRDefault="6518851F" w:rsidP="00206C45">
      <w:pPr>
        <w:spacing w:line="300" w:lineRule="auto"/>
        <w:rPr>
          <w:lang w:val="en"/>
        </w:rPr>
      </w:pPr>
      <w:r w:rsidRPr="00C64BA4">
        <w:rPr>
          <w:lang w:val="en"/>
        </w:rPr>
        <w:t xml:space="preserve">Total </w:t>
      </w:r>
      <w:proofErr w:type="gramStart"/>
      <w:r w:rsidRPr="00C64BA4">
        <w:rPr>
          <w:lang w:val="en"/>
        </w:rPr>
        <w:t>public school</w:t>
      </w:r>
      <w:proofErr w:type="gramEnd"/>
      <w:r w:rsidRPr="00C64BA4">
        <w:rPr>
          <w:lang w:val="en"/>
        </w:rPr>
        <w:t xml:space="preserve"> enrollment in the SNHPC region</w:t>
      </w:r>
      <w:r w:rsidR="390DC780" w:rsidRPr="00C64BA4">
        <w:rPr>
          <w:lang w:val="en"/>
        </w:rPr>
        <w:t xml:space="preserve"> has been</w:t>
      </w:r>
      <w:r w:rsidRPr="00C64BA4">
        <w:rPr>
          <w:lang w:val="en"/>
        </w:rPr>
        <w:t xml:space="preserve"> </w:t>
      </w:r>
      <w:r w:rsidR="6916A3A4" w:rsidRPr="00C64BA4">
        <w:rPr>
          <w:lang w:val="en"/>
        </w:rPr>
        <w:t xml:space="preserve">steadily </w:t>
      </w:r>
      <w:r w:rsidRPr="00C64BA4">
        <w:rPr>
          <w:lang w:val="en"/>
        </w:rPr>
        <w:t>decreas</w:t>
      </w:r>
      <w:r w:rsidR="6483BF65" w:rsidRPr="00C64BA4">
        <w:rPr>
          <w:lang w:val="en"/>
        </w:rPr>
        <w:t>ing</w:t>
      </w:r>
      <w:r w:rsidRPr="00C64BA4">
        <w:rPr>
          <w:lang w:val="en"/>
        </w:rPr>
        <w:t xml:space="preserve"> from 2013 to 2021. </w:t>
      </w:r>
      <w:r w:rsidR="7CA21627" w:rsidRPr="00C64BA4">
        <w:rPr>
          <w:lang w:val="en"/>
        </w:rPr>
        <w:t xml:space="preserve">This is true for nearly every </w:t>
      </w:r>
      <w:r w:rsidR="50288FDE" w:rsidRPr="00C64BA4">
        <w:rPr>
          <w:lang w:val="en"/>
        </w:rPr>
        <w:t>community</w:t>
      </w:r>
      <w:r w:rsidR="7CA21627" w:rsidRPr="00C64BA4">
        <w:rPr>
          <w:lang w:val="en"/>
        </w:rPr>
        <w:t xml:space="preserve"> in the region except for Auburn, Deerfield, </w:t>
      </w:r>
      <w:r w:rsidR="2B630964" w:rsidRPr="00C64BA4">
        <w:rPr>
          <w:lang w:val="en"/>
        </w:rPr>
        <w:t>Goffstown, New Boston, and Windham.</w:t>
      </w:r>
      <w:r w:rsidR="51F2FB0D" w:rsidRPr="00C64BA4">
        <w:rPr>
          <w:lang w:val="en"/>
        </w:rPr>
        <w:t xml:space="preserve"> These towns have seen an increase in public school enrollment from 2013</w:t>
      </w:r>
      <w:r w:rsidR="1F971082" w:rsidRPr="00C64BA4">
        <w:rPr>
          <w:lang w:val="en"/>
        </w:rPr>
        <w:t xml:space="preserve"> to 2021.</w:t>
      </w:r>
      <w:r w:rsidR="78C9E90C" w:rsidRPr="00C64BA4">
        <w:rPr>
          <w:lang w:val="en"/>
        </w:rPr>
        <w:t xml:space="preserve">  This is consistent with statewide enrollment, which has fallen by 20% over the past two decades.</w:t>
      </w:r>
      <w:r w:rsidR="1F971082" w:rsidRPr="00C64BA4">
        <w:rPr>
          <w:lang w:val="en"/>
        </w:rPr>
        <w:t xml:space="preserve"> (Source: NH Department of Education)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2"/>
      </w:tblGrid>
      <w:tr w:rsidR="0047644E" w:rsidRPr="00C64BA4" w14:paraId="64F72881" w14:textId="77777777" w:rsidTr="0047644E">
        <w:tc>
          <w:tcPr>
            <w:tcW w:w="7308" w:type="dxa"/>
          </w:tcPr>
          <w:p w14:paraId="0A8D6DE3" w14:textId="77777777" w:rsidR="009C0A17" w:rsidRDefault="0047644E" w:rsidP="00206C45">
            <w:pPr>
              <w:pStyle w:val="Heading4"/>
              <w:keepNext/>
              <w:pBdr>
                <w:bottom w:val="none" w:sz="0" w:space="0" w:color="auto"/>
              </w:pBdr>
              <w:spacing w:line="300" w:lineRule="auto"/>
            </w:pPr>
            <w:r w:rsidRPr="00C64BA4">
              <w:rPr>
                <w:noProof/>
              </w:rPr>
              <w:drawing>
                <wp:inline distT="0" distB="0" distL="0" distR="0" wp14:anchorId="2E71B359" wp14:editId="74371413">
                  <wp:extent cx="4899804" cy="3588589"/>
                  <wp:effectExtent l="0" t="0" r="0" b="0"/>
                  <wp:docPr id="13" name="Chart 13">
                    <a:extLst xmlns:a="http://schemas.openxmlformats.org/drawingml/2006/main">
                      <a:ext uri="{FF2B5EF4-FFF2-40B4-BE49-F238E27FC236}">
                        <a16:creationId xmlns:a16="http://schemas.microsoft.com/office/drawing/2014/main" id="{F222E106-2521-8662-3453-13314B7397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CC96366" w14:textId="44C01EEE" w:rsidR="0047644E" w:rsidRPr="00C64BA4" w:rsidRDefault="009C0A17" w:rsidP="00206C45">
            <w:pPr>
              <w:pStyle w:val="Caption"/>
              <w:spacing w:line="300" w:lineRule="auto"/>
            </w:pPr>
            <w:bookmarkStart w:id="79" w:name="_Toc128137865"/>
            <w:r>
              <w:t xml:space="preserve">Figure </w:t>
            </w:r>
            <w:r w:rsidR="0062538A">
              <w:fldChar w:fldCharType="begin"/>
            </w:r>
            <w:r w:rsidR="0062538A">
              <w:instrText xml:space="preserve"> SEQ Figure \* ARABIC </w:instrText>
            </w:r>
            <w:r w:rsidR="0062538A">
              <w:fldChar w:fldCharType="separate"/>
            </w:r>
            <w:r w:rsidR="00E75682">
              <w:rPr>
                <w:noProof/>
              </w:rPr>
              <w:t>6</w:t>
            </w:r>
            <w:r w:rsidR="0062538A">
              <w:rPr>
                <w:noProof/>
              </w:rPr>
              <w:fldChar w:fldCharType="end"/>
            </w:r>
            <w:r>
              <w:t>: SNHPC Public School Enrollment by Municipality</w:t>
            </w:r>
            <w:bookmarkEnd w:id="79"/>
          </w:p>
        </w:tc>
      </w:tr>
    </w:tbl>
    <w:p w14:paraId="3BC29328" w14:textId="77777777" w:rsidR="00706861" w:rsidRDefault="00706861" w:rsidP="00206C45">
      <w:pPr>
        <w:pStyle w:val="Body"/>
        <w:spacing w:line="300" w:lineRule="auto"/>
      </w:pPr>
    </w:p>
    <w:p w14:paraId="64343DE5" w14:textId="44578DFD" w:rsidR="00E6444F" w:rsidRPr="00C64BA4" w:rsidRDefault="135E5A68" w:rsidP="000F76E3">
      <w:pPr>
        <w:pStyle w:val="Heading3"/>
        <w:keepNext/>
        <w:keepLines/>
        <w:spacing w:line="300" w:lineRule="auto"/>
        <w:rPr>
          <w:lang w:val="en"/>
        </w:rPr>
      </w:pPr>
      <w:bookmarkStart w:id="80" w:name="_Toc128137959"/>
      <w:r w:rsidRPr="00C64BA4">
        <w:rPr>
          <w:lang w:val="en"/>
        </w:rPr>
        <w:lastRenderedPageBreak/>
        <w:t>Net Migration</w:t>
      </w:r>
      <w:bookmarkEnd w:id="80"/>
    </w:p>
    <w:p w14:paraId="26248BB1" w14:textId="77777777" w:rsidR="00ED32C9" w:rsidRPr="00C64BA4" w:rsidRDefault="00ED32C9" w:rsidP="000F76E3">
      <w:pPr>
        <w:keepNext/>
        <w:keepLines/>
        <w:spacing w:line="300" w:lineRule="auto"/>
        <w:rPr>
          <w:lang w:val="en"/>
        </w:rPr>
      </w:pPr>
      <w:r w:rsidRPr="00C64BA4">
        <w:rPr>
          <w:lang w:val="en"/>
        </w:rPr>
        <w:t xml:space="preserve">The SNHPC region saw a net migration of 11,270 people (4% of the 2010 population) from 2010-2020. Every community in the region experienced a positive net migration </w:t>
      </w:r>
      <w:proofErr w:type="gramStart"/>
      <w:r w:rsidRPr="00C64BA4">
        <w:rPr>
          <w:lang w:val="en"/>
        </w:rPr>
        <w:t>with the exception of</w:t>
      </w:r>
      <w:proofErr w:type="gramEnd"/>
      <w:r w:rsidRPr="00C64BA4">
        <w:rPr>
          <w:lang w:val="en"/>
        </w:rPr>
        <w:t xml:space="preserve"> </w:t>
      </w:r>
      <w:proofErr w:type="spellStart"/>
      <w:r w:rsidRPr="00C64BA4">
        <w:rPr>
          <w:lang w:val="en"/>
        </w:rPr>
        <w:t>Weare</w:t>
      </w:r>
      <w:proofErr w:type="spellEnd"/>
      <w:r w:rsidRPr="00C64BA4">
        <w:rPr>
          <w:lang w:val="en"/>
        </w:rPr>
        <w:t xml:space="preserve"> (-160 people or –2%). The communities with the largest net migration were Auburn (16%), Windham (14%), Bedford (13%), and New Boston (11%).</w:t>
      </w:r>
    </w:p>
    <w:p w14:paraId="10052E9D" w14:textId="17D1450C" w:rsidR="00706861" w:rsidRDefault="00706861" w:rsidP="00206C45">
      <w:pPr>
        <w:pStyle w:val="Caption"/>
        <w:keepNext/>
        <w:spacing w:line="300" w:lineRule="auto"/>
      </w:pPr>
      <w:bookmarkStart w:id="81" w:name="_Toc128137901"/>
      <w:r>
        <w:t xml:space="preserve">Table </w:t>
      </w:r>
      <w:r w:rsidR="0062538A">
        <w:fldChar w:fldCharType="begin"/>
      </w:r>
      <w:r w:rsidR="0062538A">
        <w:instrText xml:space="preserve"> SEQ Table \* ARABIC </w:instrText>
      </w:r>
      <w:r w:rsidR="0062538A">
        <w:fldChar w:fldCharType="separate"/>
      </w:r>
      <w:r w:rsidR="008B512A">
        <w:rPr>
          <w:noProof/>
        </w:rPr>
        <w:t>10</w:t>
      </w:r>
      <w:r w:rsidR="0062538A">
        <w:rPr>
          <w:noProof/>
        </w:rPr>
        <w:fldChar w:fldCharType="end"/>
      </w:r>
      <w:r>
        <w:t>: Net Migration (2010-20)</w:t>
      </w:r>
      <w:bookmarkEnd w:id="81"/>
    </w:p>
    <w:tbl>
      <w:tblPr>
        <w:tblW w:w="0" w:type="auto"/>
        <w:tblLayout w:type="fixed"/>
        <w:tblLook w:val="04A0" w:firstRow="1" w:lastRow="0" w:firstColumn="1" w:lastColumn="0" w:noHBand="0" w:noVBand="1"/>
      </w:tblPr>
      <w:tblGrid>
        <w:gridCol w:w="1980"/>
        <w:gridCol w:w="1350"/>
        <w:gridCol w:w="2700"/>
      </w:tblGrid>
      <w:tr w:rsidR="00EE4EB0" w:rsidRPr="00C64BA4" w14:paraId="7EC51241" w14:textId="77777777" w:rsidTr="0031131F">
        <w:trPr>
          <w:trHeight w:val="80"/>
        </w:trPr>
        <w:tc>
          <w:tcPr>
            <w:tcW w:w="1980" w:type="dxa"/>
            <w:tcBorders>
              <w:top w:val="nil"/>
              <w:left w:val="nil"/>
              <w:bottom w:val="nil"/>
              <w:right w:val="nil"/>
            </w:tcBorders>
            <w:vAlign w:val="bottom"/>
          </w:tcPr>
          <w:p w14:paraId="19437C00" w14:textId="77777777" w:rsidR="00EE4EB0" w:rsidRPr="00C64BA4" w:rsidRDefault="00EE4EB0" w:rsidP="00206C45">
            <w:pPr>
              <w:spacing w:after="0" w:line="300" w:lineRule="auto"/>
              <w:rPr>
                <w:rFonts w:eastAsia="Times New Roman" w:cs="Times New Roman"/>
                <w:color w:val="000000" w:themeColor="text1"/>
                <w:sz w:val="20"/>
                <w:szCs w:val="20"/>
              </w:rPr>
            </w:pPr>
          </w:p>
        </w:tc>
        <w:tc>
          <w:tcPr>
            <w:tcW w:w="4050" w:type="dxa"/>
            <w:gridSpan w:val="2"/>
            <w:tcBorders>
              <w:top w:val="nil"/>
              <w:left w:val="nil"/>
              <w:bottom w:val="nil"/>
              <w:right w:val="nil"/>
            </w:tcBorders>
            <w:vAlign w:val="bottom"/>
          </w:tcPr>
          <w:p w14:paraId="4CF8C5B2"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Net Migration (2010-20)</w:t>
            </w:r>
          </w:p>
        </w:tc>
      </w:tr>
      <w:tr w:rsidR="00EE4EB0" w:rsidRPr="00C64BA4" w14:paraId="6456822F" w14:textId="77777777" w:rsidTr="0031131F">
        <w:trPr>
          <w:trHeight w:val="378"/>
        </w:trPr>
        <w:tc>
          <w:tcPr>
            <w:tcW w:w="1980" w:type="dxa"/>
            <w:tcBorders>
              <w:top w:val="nil"/>
              <w:left w:val="nil"/>
              <w:bottom w:val="single" w:sz="6" w:space="0" w:color="auto"/>
              <w:right w:val="nil"/>
            </w:tcBorders>
            <w:vAlign w:val="bottom"/>
          </w:tcPr>
          <w:p w14:paraId="695A4A96" w14:textId="77777777" w:rsidR="00EE4EB0" w:rsidRPr="00C64BA4" w:rsidRDefault="00EE4EB0" w:rsidP="00206C45">
            <w:pPr>
              <w:spacing w:after="0" w:line="300" w:lineRule="auto"/>
              <w:rPr>
                <w:rFonts w:eastAsia="Tw Cen MT" w:cs="Tw Cen MT"/>
                <w:color w:val="000000" w:themeColor="text1"/>
              </w:rPr>
            </w:pPr>
            <w:r w:rsidRPr="00C64BA4">
              <w:rPr>
                <w:rFonts w:eastAsia="Tw Cen MT" w:cs="Tw Cen MT"/>
                <w:color w:val="000000" w:themeColor="text1"/>
              </w:rPr>
              <w:t> </w:t>
            </w:r>
          </w:p>
        </w:tc>
        <w:tc>
          <w:tcPr>
            <w:tcW w:w="1350" w:type="dxa"/>
            <w:tcBorders>
              <w:top w:val="nil"/>
              <w:left w:val="nil"/>
              <w:bottom w:val="single" w:sz="6" w:space="0" w:color="auto"/>
              <w:right w:val="nil"/>
            </w:tcBorders>
            <w:vAlign w:val="bottom"/>
          </w:tcPr>
          <w:p w14:paraId="47EC49D0" w14:textId="77777777" w:rsidR="00EE4EB0" w:rsidRPr="00C64BA4" w:rsidRDefault="00EE4EB0" w:rsidP="00206C45">
            <w:pPr>
              <w:spacing w:after="0" w:line="300" w:lineRule="auto"/>
              <w:rPr>
                <w:rFonts w:eastAsia="Tw Cen MT" w:cs="Tw Cen MT"/>
                <w:color w:val="000000" w:themeColor="text1"/>
              </w:rPr>
            </w:pPr>
            <w:r w:rsidRPr="00C64BA4">
              <w:rPr>
                <w:rFonts w:eastAsia="Tw Cen MT" w:cs="Tw Cen MT"/>
                <w:color w:val="000000" w:themeColor="text1"/>
              </w:rPr>
              <w:t> </w:t>
            </w:r>
          </w:p>
        </w:tc>
        <w:tc>
          <w:tcPr>
            <w:tcW w:w="2700" w:type="dxa"/>
            <w:tcBorders>
              <w:top w:val="nil"/>
              <w:left w:val="nil"/>
              <w:bottom w:val="single" w:sz="6" w:space="0" w:color="auto"/>
              <w:right w:val="nil"/>
            </w:tcBorders>
            <w:vAlign w:val="bottom"/>
          </w:tcPr>
          <w:p w14:paraId="4ED88AED"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As % of 2010 Population</w:t>
            </w:r>
          </w:p>
        </w:tc>
      </w:tr>
      <w:tr w:rsidR="00EE4EB0" w:rsidRPr="00C64BA4" w14:paraId="15458EB5" w14:textId="77777777" w:rsidTr="0031131F">
        <w:trPr>
          <w:trHeight w:val="270"/>
        </w:trPr>
        <w:tc>
          <w:tcPr>
            <w:tcW w:w="1980" w:type="dxa"/>
            <w:tcBorders>
              <w:top w:val="single" w:sz="6" w:space="0" w:color="auto"/>
              <w:left w:val="nil"/>
              <w:bottom w:val="single" w:sz="6" w:space="0" w:color="auto"/>
              <w:right w:val="nil"/>
            </w:tcBorders>
            <w:vAlign w:val="bottom"/>
          </w:tcPr>
          <w:p w14:paraId="65CD27FA"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Auburn</w:t>
            </w:r>
          </w:p>
        </w:tc>
        <w:tc>
          <w:tcPr>
            <w:tcW w:w="1350" w:type="dxa"/>
            <w:tcBorders>
              <w:top w:val="single" w:sz="6" w:space="0" w:color="auto"/>
              <w:left w:val="nil"/>
              <w:bottom w:val="single" w:sz="6" w:space="0" w:color="auto"/>
              <w:right w:val="nil"/>
            </w:tcBorders>
            <w:vAlign w:val="bottom"/>
          </w:tcPr>
          <w:p w14:paraId="0A839909"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810</w:t>
            </w:r>
          </w:p>
        </w:tc>
        <w:tc>
          <w:tcPr>
            <w:tcW w:w="2700" w:type="dxa"/>
            <w:tcBorders>
              <w:top w:val="single" w:sz="6" w:space="0" w:color="auto"/>
              <w:left w:val="nil"/>
              <w:bottom w:val="single" w:sz="6" w:space="0" w:color="auto"/>
              <w:right w:val="nil"/>
            </w:tcBorders>
            <w:vAlign w:val="bottom"/>
          </w:tcPr>
          <w:p w14:paraId="7592A15E"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16%</w:t>
            </w:r>
          </w:p>
        </w:tc>
      </w:tr>
      <w:tr w:rsidR="00EE4EB0" w:rsidRPr="00C64BA4" w14:paraId="6D02F87F" w14:textId="77777777" w:rsidTr="0031131F">
        <w:trPr>
          <w:trHeight w:val="270"/>
        </w:trPr>
        <w:tc>
          <w:tcPr>
            <w:tcW w:w="1980" w:type="dxa"/>
            <w:tcBorders>
              <w:top w:val="single" w:sz="6" w:space="0" w:color="auto"/>
              <w:left w:val="nil"/>
              <w:bottom w:val="single" w:sz="6" w:space="0" w:color="auto"/>
              <w:right w:val="nil"/>
            </w:tcBorders>
            <w:shd w:val="clear" w:color="auto" w:fill="E7E6E6"/>
            <w:vAlign w:val="bottom"/>
          </w:tcPr>
          <w:p w14:paraId="28807D76"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Bedford</w:t>
            </w:r>
          </w:p>
        </w:tc>
        <w:tc>
          <w:tcPr>
            <w:tcW w:w="1350" w:type="dxa"/>
            <w:tcBorders>
              <w:top w:val="single" w:sz="6" w:space="0" w:color="auto"/>
              <w:left w:val="nil"/>
              <w:bottom w:val="nil"/>
              <w:right w:val="nil"/>
            </w:tcBorders>
            <w:shd w:val="clear" w:color="auto" w:fill="E7E6E6"/>
            <w:vAlign w:val="bottom"/>
          </w:tcPr>
          <w:p w14:paraId="6459EB30"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2,850</w:t>
            </w:r>
          </w:p>
        </w:tc>
        <w:tc>
          <w:tcPr>
            <w:tcW w:w="2700" w:type="dxa"/>
            <w:tcBorders>
              <w:top w:val="single" w:sz="6" w:space="0" w:color="auto"/>
              <w:left w:val="nil"/>
              <w:bottom w:val="nil"/>
              <w:right w:val="nil"/>
            </w:tcBorders>
            <w:shd w:val="clear" w:color="auto" w:fill="E7E6E6"/>
            <w:vAlign w:val="bottom"/>
          </w:tcPr>
          <w:p w14:paraId="68A069AD"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13%</w:t>
            </w:r>
          </w:p>
        </w:tc>
      </w:tr>
      <w:tr w:rsidR="00EE4EB0" w:rsidRPr="00C64BA4" w14:paraId="7640CF5F" w14:textId="77777777" w:rsidTr="0031131F">
        <w:trPr>
          <w:trHeight w:val="270"/>
        </w:trPr>
        <w:tc>
          <w:tcPr>
            <w:tcW w:w="1980" w:type="dxa"/>
            <w:tcBorders>
              <w:top w:val="single" w:sz="6" w:space="0" w:color="auto"/>
              <w:left w:val="nil"/>
              <w:bottom w:val="single" w:sz="6" w:space="0" w:color="auto"/>
              <w:right w:val="nil"/>
            </w:tcBorders>
            <w:vAlign w:val="bottom"/>
          </w:tcPr>
          <w:p w14:paraId="26041A7F"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Candia</w:t>
            </w:r>
          </w:p>
        </w:tc>
        <w:tc>
          <w:tcPr>
            <w:tcW w:w="1350" w:type="dxa"/>
            <w:tcBorders>
              <w:top w:val="single" w:sz="6" w:space="0" w:color="auto"/>
              <w:left w:val="nil"/>
              <w:bottom w:val="single" w:sz="6" w:space="0" w:color="auto"/>
              <w:right w:val="nil"/>
            </w:tcBorders>
            <w:vAlign w:val="bottom"/>
          </w:tcPr>
          <w:p w14:paraId="06794572"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60</w:t>
            </w:r>
          </w:p>
        </w:tc>
        <w:tc>
          <w:tcPr>
            <w:tcW w:w="2700" w:type="dxa"/>
            <w:tcBorders>
              <w:top w:val="single" w:sz="6" w:space="0" w:color="auto"/>
              <w:left w:val="nil"/>
              <w:bottom w:val="single" w:sz="6" w:space="0" w:color="auto"/>
              <w:right w:val="nil"/>
            </w:tcBorders>
            <w:vAlign w:val="bottom"/>
          </w:tcPr>
          <w:p w14:paraId="7569C894"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1%</w:t>
            </w:r>
          </w:p>
        </w:tc>
      </w:tr>
      <w:tr w:rsidR="00EE4EB0" w:rsidRPr="00C64BA4" w14:paraId="66A277C9" w14:textId="77777777" w:rsidTr="0031131F">
        <w:trPr>
          <w:trHeight w:val="270"/>
        </w:trPr>
        <w:tc>
          <w:tcPr>
            <w:tcW w:w="1980" w:type="dxa"/>
            <w:tcBorders>
              <w:top w:val="single" w:sz="6" w:space="0" w:color="auto"/>
              <w:left w:val="nil"/>
              <w:bottom w:val="single" w:sz="6" w:space="0" w:color="auto"/>
              <w:right w:val="nil"/>
            </w:tcBorders>
            <w:shd w:val="clear" w:color="auto" w:fill="E7E6E6"/>
            <w:vAlign w:val="bottom"/>
          </w:tcPr>
          <w:p w14:paraId="2F606839"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Chester</w:t>
            </w:r>
          </w:p>
        </w:tc>
        <w:tc>
          <w:tcPr>
            <w:tcW w:w="1350" w:type="dxa"/>
            <w:tcBorders>
              <w:top w:val="single" w:sz="6" w:space="0" w:color="auto"/>
              <w:left w:val="nil"/>
              <w:bottom w:val="nil"/>
              <w:right w:val="nil"/>
            </w:tcBorders>
            <w:shd w:val="clear" w:color="auto" w:fill="E7E6E6"/>
            <w:vAlign w:val="bottom"/>
          </w:tcPr>
          <w:p w14:paraId="208B1E29"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270</w:t>
            </w:r>
          </w:p>
        </w:tc>
        <w:tc>
          <w:tcPr>
            <w:tcW w:w="2700" w:type="dxa"/>
            <w:tcBorders>
              <w:top w:val="single" w:sz="6" w:space="0" w:color="auto"/>
              <w:left w:val="nil"/>
              <w:bottom w:val="nil"/>
              <w:right w:val="nil"/>
            </w:tcBorders>
            <w:shd w:val="clear" w:color="auto" w:fill="E7E6E6"/>
            <w:vAlign w:val="bottom"/>
          </w:tcPr>
          <w:p w14:paraId="1410E15D"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6%</w:t>
            </w:r>
          </w:p>
        </w:tc>
      </w:tr>
      <w:tr w:rsidR="00EE4EB0" w:rsidRPr="00C64BA4" w14:paraId="52C81B44" w14:textId="77777777" w:rsidTr="0031131F">
        <w:trPr>
          <w:trHeight w:val="270"/>
        </w:trPr>
        <w:tc>
          <w:tcPr>
            <w:tcW w:w="1980" w:type="dxa"/>
            <w:tcBorders>
              <w:top w:val="single" w:sz="6" w:space="0" w:color="auto"/>
              <w:left w:val="nil"/>
              <w:bottom w:val="single" w:sz="6" w:space="0" w:color="auto"/>
              <w:right w:val="nil"/>
            </w:tcBorders>
            <w:vAlign w:val="bottom"/>
          </w:tcPr>
          <w:p w14:paraId="01DA5368"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Deerfield</w:t>
            </w:r>
          </w:p>
        </w:tc>
        <w:tc>
          <w:tcPr>
            <w:tcW w:w="1350" w:type="dxa"/>
            <w:tcBorders>
              <w:top w:val="single" w:sz="6" w:space="0" w:color="auto"/>
              <w:left w:val="nil"/>
              <w:bottom w:val="single" w:sz="6" w:space="0" w:color="auto"/>
              <w:right w:val="nil"/>
            </w:tcBorders>
            <w:vAlign w:val="bottom"/>
          </w:tcPr>
          <w:p w14:paraId="2FBE7A26"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380</w:t>
            </w:r>
          </w:p>
        </w:tc>
        <w:tc>
          <w:tcPr>
            <w:tcW w:w="2700" w:type="dxa"/>
            <w:tcBorders>
              <w:top w:val="single" w:sz="6" w:space="0" w:color="auto"/>
              <w:left w:val="nil"/>
              <w:bottom w:val="single" w:sz="6" w:space="0" w:color="auto"/>
              <w:right w:val="nil"/>
            </w:tcBorders>
            <w:vAlign w:val="bottom"/>
          </w:tcPr>
          <w:p w14:paraId="3960D495"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9%</w:t>
            </w:r>
          </w:p>
        </w:tc>
      </w:tr>
      <w:tr w:rsidR="00EE4EB0" w:rsidRPr="00C64BA4" w14:paraId="6480F95C" w14:textId="77777777" w:rsidTr="0031131F">
        <w:trPr>
          <w:trHeight w:val="270"/>
        </w:trPr>
        <w:tc>
          <w:tcPr>
            <w:tcW w:w="1980" w:type="dxa"/>
            <w:tcBorders>
              <w:top w:val="single" w:sz="6" w:space="0" w:color="auto"/>
              <w:left w:val="nil"/>
              <w:bottom w:val="single" w:sz="6" w:space="0" w:color="auto"/>
              <w:right w:val="nil"/>
            </w:tcBorders>
            <w:shd w:val="clear" w:color="auto" w:fill="E7E6E6"/>
            <w:vAlign w:val="bottom"/>
          </w:tcPr>
          <w:p w14:paraId="61CACFF3"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Derry</w:t>
            </w:r>
          </w:p>
        </w:tc>
        <w:tc>
          <w:tcPr>
            <w:tcW w:w="1350" w:type="dxa"/>
            <w:tcBorders>
              <w:top w:val="single" w:sz="6" w:space="0" w:color="auto"/>
              <w:left w:val="nil"/>
              <w:bottom w:val="nil"/>
              <w:right w:val="nil"/>
            </w:tcBorders>
            <w:shd w:val="clear" w:color="auto" w:fill="E7E6E6"/>
            <w:vAlign w:val="bottom"/>
          </w:tcPr>
          <w:p w14:paraId="3C988BB9"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130</w:t>
            </w:r>
          </w:p>
        </w:tc>
        <w:tc>
          <w:tcPr>
            <w:tcW w:w="2700" w:type="dxa"/>
            <w:tcBorders>
              <w:top w:val="single" w:sz="6" w:space="0" w:color="auto"/>
              <w:left w:val="nil"/>
              <w:bottom w:val="nil"/>
              <w:right w:val="nil"/>
            </w:tcBorders>
            <w:shd w:val="clear" w:color="auto" w:fill="E7E6E6"/>
            <w:vAlign w:val="bottom"/>
          </w:tcPr>
          <w:p w14:paraId="43350801"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0%</w:t>
            </w:r>
          </w:p>
        </w:tc>
      </w:tr>
      <w:tr w:rsidR="00EE4EB0" w:rsidRPr="00C64BA4" w14:paraId="795F74A6" w14:textId="77777777" w:rsidTr="0031131F">
        <w:trPr>
          <w:trHeight w:val="270"/>
        </w:trPr>
        <w:tc>
          <w:tcPr>
            <w:tcW w:w="1980" w:type="dxa"/>
            <w:tcBorders>
              <w:top w:val="single" w:sz="6" w:space="0" w:color="auto"/>
              <w:left w:val="nil"/>
              <w:bottom w:val="single" w:sz="6" w:space="0" w:color="auto"/>
              <w:right w:val="nil"/>
            </w:tcBorders>
            <w:vAlign w:val="bottom"/>
          </w:tcPr>
          <w:p w14:paraId="42EB26F2" w14:textId="77777777" w:rsidR="00EE4EB0" w:rsidRPr="00C64BA4" w:rsidRDefault="00EE4EB0" w:rsidP="00206C45">
            <w:pPr>
              <w:spacing w:after="0" w:line="300" w:lineRule="auto"/>
              <w:jc w:val="center"/>
              <w:rPr>
                <w:rFonts w:eastAsia="Tw Cen MT" w:cs="Tw Cen MT"/>
                <w:color w:val="000000" w:themeColor="text1"/>
              </w:rPr>
            </w:pPr>
            <w:proofErr w:type="spellStart"/>
            <w:r w:rsidRPr="00C64BA4">
              <w:rPr>
                <w:rFonts w:eastAsia="Tw Cen MT" w:cs="Tw Cen MT"/>
                <w:color w:val="000000" w:themeColor="text1"/>
              </w:rPr>
              <w:t>Francestown</w:t>
            </w:r>
            <w:proofErr w:type="spellEnd"/>
          </w:p>
        </w:tc>
        <w:tc>
          <w:tcPr>
            <w:tcW w:w="1350" w:type="dxa"/>
            <w:tcBorders>
              <w:top w:val="single" w:sz="6" w:space="0" w:color="auto"/>
              <w:left w:val="nil"/>
              <w:bottom w:val="single" w:sz="6" w:space="0" w:color="auto"/>
              <w:right w:val="nil"/>
            </w:tcBorders>
            <w:vAlign w:val="bottom"/>
          </w:tcPr>
          <w:p w14:paraId="5241FAAA"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40</w:t>
            </w:r>
          </w:p>
        </w:tc>
        <w:tc>
          <w:tcPr>
            <w:tcW w:w="2700" w:type="dxa"/>
            <w:tcBorders>
              <w:top w:val="single" w:sz="6" w:space="0" w:color="auto"/>
              <w:left w:val="nil"/>
              <w:bottom w:val="single" w:sz="6" w:space="0" w:color="auto"/>
              <w:right w:val="nil"/>
            </w:tcBorders>
            <w:vAlign w:val="bottom"/>
          </w:tcPr>
          <w:p w14:paraId="483A230D"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2%</w:t>
            </w:r>
          </w:p>
        </w:tc>
      </w:tr>
      <w:tr w:rsidR="00EE4EB0" w:rsidRPr="00C64BA4" w14:paraId="267CA6B9" w14:textId="77777777" w:rsidTr="0031131F">
        <w:trPr>
          <w:trHeight w:val="270"/>
        </w:trPr>
        <w:tc>
          <w:tcPr>
            <w:tcW w:w="1980" w:type="dxa"/>
            <w:tcBorders>
              <w:top w:val="single" w:sz="6" w:space="0" w:color="auto"/>
              <w:left w:val="nil"/>
              <w:bottom w:val="single" w:sz="6" w:space="0" w:color="auto"/>
              <w:right w:val="nil"/>
            </w:tcBorders>
            <w:shd w:val="clear" w:color="auto" w:fill="E7E6E6"/>
            <w:vAlign w:val="bottom"/>
          </w:tcPr>
          <w:p w14:paraId="5E0AF6B8"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Goffstown</w:t>
            </w:r>
          </w:p>
        </w:tc>
        <w:tc>
          <w:tcPr>
            <w:tcW w:w="1350" w:type="dxa"/>
            <w:tcBorders>
              <w:top w:val="single" w:sz="6" w:space="0" w:color="auto"/>
              <w:left w:val="nil"/>
              <w:bottom w:val="nil"/>
              <w:right w:val="nil"/>
            </w:tcBorders>
            <w:shd w:val="clear" w:color="auto" w:fill="E7E6E6"/>
            <w:vAlign w:val="bottom"/>
          </w:tcPr>
          <w:p w14:paraId="65A7D8C4"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1,120</w:t>
            </w:r>
          </w:p>
        </w:tc>
        <w:tc>
          <w:tcPr>
            <w:tcW w:w="2700" w:type="dxa"/>
            <w:tcBorders>
              <w:top w:val="single" w:sz="6" w:space="0" w:color="auto"/>
              <w:left w:val="nil"/>
              <w:bottom w:val="nil"/>
              <w:right w:val="nil"/>
            </w:tcBorders>
            <w:shd w:val="clear" w:color="auto" w:fill="E7E6E6"/>
            <w:vAlign w:val="bottom"/>
          </w:tcPr>
          <w:p w14:paraId="7333D4EE"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6%</w:t>
            </w:r>
          </w:p>
        </w:tc>
      </w:tr>
      <w:tr w:rsidR="00EE4EB0" w:rsidRPr="00C64BA4" w14:paraId="15587094" w14:textId="77777777" w:rsidTr="0031131F">
        <w:trPr>
          <w:trHeight w:val="270"/>
        </w:trPr>
        <w:tc>
          <w:tcPr>
            <w:tcW w:w="1980" w:type="dxa"/>
            <w:tcBorders>
              <w:top w:val="single" w:sz="6" w:space="0" w:color="auto"/>
              <w:left w:val="nil"/>
              <w:bottom w:val="single" w:sz="6" w:space="0" w:color="auto"/>
              <w:right w:val="nil"/>
            </w:tcBorders>
            <w:vAlign w:val="bottom"/>
          </w:tcPr>
          <w:p w14:paraId="1714CF37"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Hooksett</w:t>
            </w:r>
          </w:p>
        </w:tc>
        <w:tc>
          <w:tcPr>
            <w:tcW w:w="1350" w:type="dxa"/>
            <w:tcBorders>
              <w:top w:val="single" w:sz="6" w:space="0" w:color="auto"/>
              <w:left w:val="nil"/>
              <w:bottom w:val="single" w:sz="6" w:space="0" w:color="auto"/>
              <w:right w:val="nil"/>
            </w:tcBorders>
            <w:vAlign w:val="bottom"/>
          </w:tcPr>
          <w:p w14:paraId="145E39D0"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970</w:t>
            </w:r>
          </w:p>
        </w:tc>
        <w:tc>
          <w:tcPr>
            <w:tcW w:w="2700" w:type="dxa"/>
            <w:tcBorders>
              <w:top w:val="single" w:sz="6" w:space="0" w:color="auto"/>
              <w:left w:val="nil"/>
              <w:bottom w:val="single" w:sz="6" w:space="0" w:color="auto"/>
              <w:right w:val="nil"/>
            </w:tcBorders>
            <w:vAlign w:val="bottom"/>
          </w:tcPr>
          <w:p w14:paraId="7DDCA950"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7%</w:t>
            </w:r>
          </w:p>
        </w:tc>
      </w:tr>
      <w:tr w:rsidR="00EE4EB0" w:rsidRPr="00C64BA4" w14:paraId="6024F3D6" w14:textId="77777777" w:rsidTr="0031131F">
        <w:trPr>
          <w:trHeight w:val="270"/>
        </w:trPr>
        <w:tc>
          <w:tcPr>
            <w:tcW w:w="1980" w:type="dxa"/>
            <w:tcBorders>
              <w:top w:val="single" w:sz="6" w:space="0" w:color="auto"/>
              <w:left w:val="nil"/>
              <w:bottom w:val="single" w:sz="6" w:space="0" w:color="auto"/>
              <w:right w:val="nil"/>
            </w:tcBorders>
            <w:shd w:val="clear" w:color="auto" w:fill="E7E6E6"/>
            <w:vAlign w:val="bottom"/>
          </w:tcPr>
          <w:p w14:paraId="7CE3A3D2"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Londonderry</w:t>
            </w:r>
          </w:p>
        </w:tc>
        <w:tc>
          <w:tcPr>
            <w:tcW w:w="1350" w:type="dxa"/>
            <w:tcBorders>
              <w:top w:val="single" w:sz="6" w:space="0" w:color="auto"/>
              <w:left w:val="nil"/>
              <w:bottom w:val="nil"/>
              <w:right w:val="nil"/>
            </w:tcBorders>
            <w:shd w:val="clear" w:color="auto" w:fill="E7E6E6"/>
            <w:vAlign w:val="bottom"/>
          </w:tcPr>
          <w:p w14:paraId="4410A91F"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940</w:t>
            </w:r>
          </w:p>
        </w:tc>
        <w:tc>
          <w:tcPr>
            <w:tcW w:w="2700" w:type="dxa"/>
            <w:tcBorders>
              <w:top w:val="single" w:sz="6" w:space="0" w:color="auto"/>
              <w:left w:val="nil"/>
              <w:bottom w:val="nil"/>
              <w:right w:val="nil"/>
            </w:tcBorders>
            <w:shd w:val="clear" w:color="auto" w:fill="E7E6E6"/>
            <w:vAlign w:val="bottom"/>
          </w:tcPr>
          <w:p w14:paraId="4E34F196"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4%</w:t>
            </w:r>
          </w:p>
        </w:tc>
      </w:tr>
      <w:tr w:rsidR="00EE4EB0" w:rsidRPr="00C64BA4" w14:paraId="2769443C" w14:textId="77777777" w:rsidTr="0031131F">
        <w:trPr>
          <w:trHeight w:val="270"/>
        </w:trPr>
        <w:tc>
          <w:tcPr>
            <w:tcW w:w="1980" w:type="dxa"/>
            <w:tcBorders>
              <w:top w:val="single" w:sz="6" w:space="0" w:color="auto"/>
              <w:left w:val="nil"/>
              <w:bottom w:val="single" w:sz="6" w:space="0" w:color="auto"/>
              <w:right w:val="nil"/>
            </w:tcBorders>
            <w:vAlign w:val="bottom"/>
          </w:tcPr>
          <w:p w14:paraId="04AB4B9C"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Manchester</w:t>
            </w:r>
          </w:p>
        </w:tc>
        <w:tc>
          <w:tcPr>
            <w:tcW w:w="1350" w:type="dxa"/>
            <w:tcBorders>
              <w:top w:val="single" w:sz="6" w:space="0" w:color="auto"/>
              <w:left w:val="nil"/>
              <w:bottom w:val="single" w:sz="6" w:space="0" w:color="auto"/>
              <w:right w:val="nil"/>
            </w:tcBorders>
            <w:vAlign w:val="bottom"/>
          </w:tcPr>
          <w:p w14:paraId="3A80649B"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1,400</w:t>
            </w:r>
          </w:p>
        </w:tc>
        <w:tc>
          <w:tcPr>
            <w:tcW w:w="2700" w:type="dxa"/>
            <w:tcBorders>
              <w:top w:val="single" w:sz="6" w:space="0" w:color="auto"/>
              <w:left w:val="nil"/>
              <w:bottom w:val="single" w:sz="6" w:space="0" w:color="auto"/>
              <w:right w:val="nil"/>
            </w:tcBorders>
            <w:vAlign w:val="bottom"/>
          </w:tcPr>
          <w:p w14:paraId="6AA06C57"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1%</w:t>
            </w:r>
          </w:p>
        </w:tc>
      </w:tr>
      <w:tr w:rsidR="00EE4EB0" w:rsidRPr="00C64BA4" w14:paraId="268AEAF2" w14:textId="77777777" w:rsidTr="0031131F">
        <w:trPr>
          <w:trHeight w:val="270"/>
        </w:trPr>
        <w:tc>
          <w:tcPr>
            <w:tcW w:w="1980" w:type="dxa"/>
            <w:tcBorders>
              <w:top w:val="single" w:sz="6" w:space="0" w:color="auto"/>
              <w:left w:val="nil"/>
              <w:bottom w:val="single" w:sz="6" w:space="0" w:color="auto"/>
              <w:right w:val="nil"/>
            </w:tcBorders>
            <w:shd w:val="clear" w:color="auto" w:fill="E7E6E6"/>
            <w:vAlign w:val="bottom"/>
          </w:tcPr>
          <w:p w14:paraId="0C6B8A97"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New Boston</w:t>
            </w:r>
          </w:p>
        </w:tc>
        <w:tc>
          <w:tcPr>
            <w:tcW w:w="1350" w:type="dxa"/>
            <w:tcBorders>
              <w:top w:val="single" w:sz="6" w:space="0" w:color="auto"/>
              <w:left w:val="nil"/>
              <w:bottom w:val="nil"/>
              <w:right w:val="nil"/>
            </w:tcBorders>
            <w:shd w:val="clear" w:color="auto" w:fill="E7E6E6"/>
            <w:vAlign w:val="bottom"/>
          </w:tcPr>
          <w:p w14:paraId="14B07FB3"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580</w:t>
            </w:r>
          </w:p>
        </w:tc>
        <w:tc>
          <w:tcPr>
            <w:tcW w:w="2700" w:type="dxa"/>
            <w:tcBorders>
              <w:top w:val="single" w:sz="6" w:space="0" w:color="auto"/>
              <w:left w:val="nil"/>
              <w:bottom w:val="nil"/>
              <w:right w:val="nil"/>
            </w:tcBorders>
            <w:shd w:val="clear" w:color="auto" w:fill="E7E6E6"/>
            <w:vAlign w:val="bottom"/>
          </w:tcPr>
          <w:p w14:paraId="521FBC62"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11%</w:t>
            </w:r>
          </w:p>
        </w:tc>
      </w:tr>
      <w:tr w:rsidR="00EE4EB0" w:rsidRPr="00C64BA4" w14:paraId="607E79DA" w14:textId="77777777" w:rsidTr="0031131F">
        <w:trPr>
          <w:trHeight w:val="270"/>
        </w:trPr>
        <w:tc>
          <w:tcPr>
            <w:tcW w:w="1980" w:type="dxa"/>
            <w:tcBorders>
              <w:top w:val="single" w:sz="6" w:space="0" w:color="auto"/>
              <w:left w:val="nil"/>
              <w:bottom w:val="single" w:sz="6" w:space="0" w:color="auto"/>
              <w:right w:val="nil"/>
            </w:tcBorders>
            <w:vAlign w:val="bottom"/>
          </w:tcPr>
          <w:p w14:paraId="3A641C9B" w14:textId="77777777" w:rsidR="00EE4EB0" w:rsidRPr="00C64BA4" w:rsidRDefault="00EE4EB0" w:rsidP="00206C45">
            <w:pPr>
              <w:spacing w:after="0" w:line="300" w:lineRule="auto"/>
              <w:jc w:val="center"/>
              <w:rPr>
                <w:rFonts w:eastAsia="Tw Cen MT" w:cs="Tw Cen MT"/>
                <w:color w:val="000000" w:themeColor="text1"/>
              </w:rPr>
            </w:pPr>
            <w:proofErr w:type="spellStart"/>
            <w:r w:rsidRPr="00C64BA4">
              <w:rPr>
                <w:rFonts w:eastAsia="Tw Cen MT" w:cs="Tw Cen MT"/>
                <w:color w:val="000000" w:themeColor="text1"/>
              </w:rPr>
              <w:t>Weare</w:t>
            </w:r>
            <w:proofErr w:type="spellEnd"/>
          </w:p>
        </w:tc>
        <w:tc>
          <w:tcPr>
            <w:tcW w:w="1350" w:type="dxa"/>
            <w:tcBorders>
              <w:top w:val="single" w:sz="6" w:space="0" w:color="auto"/>
              <w:left w:val="nil"/>
              <w:bottom w:val="single" w:sz="6" w:space="0" w:color="auto"/>
              <w:right w:val="nil"/>
            </w:tcBorders>
            <w:vAlign w:val="bottom"/>
          </w:tcPr>
          <w:p w14:paraId="2DAA4638" w14:textId="77777777" w:rsidR="00EE4EB0" w:rsidRPr="00C64BA4" w:rsidRDefault="00EE4EB0" w:rsidP="00206C45">
            <w:pPr>
              <w:spacing w:after="0" w:line="300" w:lineRule="auto"/>
              <w:jc w:val="center"/>
              <w:rPr>
                <w:rFonts w:eastAsia="Tw Cen MT" w:cs="Tw Cen MT"/>
                <w:color w:val="C00000"/>
              </w:rPr>
            </w:pPr>
            <w:r w:rsidRPr="00C64BA4">
              <w:rPr>
                <w:rFonts w:eastAsia="Tw Cen MT" w:cs="Tw Cen MT"/>
                <w:color w:val="C00000"/>
              </w:rPr>
              <w:t>-160</w:t>
            </w:r>
          </w:p>
        </w:tc>
        <w:tc>
          <w:tcPr>
            <w:tcW w:w="2700" w:type="dxa"/>
            <w:tcBorders>
              <w:top w:val="single" w:sz="6" w:space="0" w:color="auto"/>
              <w:left w:val="nil"/>
              <w:bottom w:val="single" w:sz="6" w:space="0" w:color="auto"/>
              <w:right w:val="nil"/>
            </w:tcBorders>
            <w:vAlign w:val="bottom"/>
          </w:tcPr>
          <w:p w14:paraId="785498FF" w14:textId="77777777" w:rsidR="00EE4EB0" w:rsidRPr="00C64BA4" w:rsidRDefault="00EE4EB0" w:rsidP="00206C45">
            <w:pPr>
              <w:spacing w:after="0" w:line="300" w:lineRule="auto"/>
              <w:jc w:val="center"/>
              <w:rPr>
                <w:rFonts w:eastAsia="Tw Cen MT" w:cs="Tw Cen MT"/>
                <w:color w:val="C00000"/>
              </w:rPr>
            </w:pPr>
            <w:r w:rsidRPr="00C64BA4">
              <w:rPr>
                <w:rFonts w:eastAsia="Tw Cen MT" w:cs="Tw Cen MT"/>
                <w:color w:val="C00000"/>
              </w:rPr>
              <w:t>-2%</w:t>
            </w:r>
          </w:p>
        </w:tc>
      </w:tr>
      <w:tr w:rsidR="00EE4EB0" w:rsidRPr="00C64BA4" w14:paraId="097F589E" w14:textId="77777777" w:rsidTr="0031131F">
        <w:trPr>
          <w:trHeight w:val="270"/>
        </w:trPr>
        <w:tc>
          <w:tcPr>
            <w:tcW w:w="1980" w:type="dxa"/>
            <w:tcBorders>
              <w:top w:val="single" w:sz="6" w:space="0" w:color="auto"/>
              <w:left w:val="nil"/>
              <w:bottom w:val="single" w:sz="12" w:space="0" w:color="404040" w:themeColor="text1" w:themeTint="BF"/>
              <w:right w:val="nil"/>
            </w:tcBorders>
            <w:shd w:val="clear" w:color="auto" w:fill="E7E6E6"/>
            <w:vAlign w:val="bottom"/>
          </w:tcPr>
          <w:p w14:paraId="6F158CEA"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Windham</w:t>
            </w:r>
          </w:p>
        </w:tc>
        <w:tc>
          <w:tcPr>
            <w:tcW w:w="1350" w:type="dxa"/>
            <w:tcBorders>
              <w:top w:val="single" w:sz="6" w:space="0" w:color="auto"/>
              <w:left w:val="nil"/>
              <w:bottom w:val="single" w:sz="12" w:space="0" w:color="404040" w:themeColor="text1" w:themeTint="BF"/>
              <w:right w:val="nil"/>
            </w:tcBorders>
            <w:shd w:val="clear" w:color="auto" w:fill="E7E6E6"/>
            <w:vAlign w:val="bottom"/>
          </w:tcPr>
          <w:p w14:paraId="28CBDC5A"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1,890</w:t>
            </w:r>
          </w:p>
        </w:tc>
        <w:tc>
          <w:tcPr>
            <w:tcW w:w="2700" w:type="dxa"/>
            <w:tcBorders>
              <w:top w:val="single" w:sz="6" w:space="0" w:color="auto"/>
              <w:left w:val="nil"/>
              <w:bottom w:val="single" w:sz="12" w:space="0" w:color="404040" w:themeColor="text1" w:themeTint="BF"/>
              <w:right w:val="nil"/>
            </w:tcBorders>
            <w:shd w:val="clear" w:color="auto" w:fill="E7E6E6"/>
            <w:vAlign w:val="bottom"/>
          </w:tcPr>
          <w:p w14:paraId="2FD13F8A"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14%</w:t>
            </w:r>
          </w:p>
        </w:tc>
      </w:tr>
      <w:tr w:rsidR="00EE4EB0" w:rsidRPr="00C64BA4" w14:paraId="0116B596" w14:textId="77777777" w:rsidTr="0031131F">
        <w:trPr>
          <w:trHeight w:val="270"/>
        </w:trPr>
        <w:tc>
          <w:tcPr>
            <w:tcW w:w="1980" w:type="dxa"/>
            <w:tcBorders>
              <w:top w:val="single" w:sz="12" w:space="0" w:color="404040" w:themeColor="text1" w:themeTint="BF"/>
              <w:left w:val="nil"/>
              <w:bottom w:val="single" w:sz="12" w:space="0" w:color="404040" w:themeColor="text1" w:themeTint="BF"/>
              <w:right w:val="nil"/>
            </w:tcBorders>
            <w:vAlign w:val="bottom"/>
          </w:tcPr>
          <w:p w14:paraId="757763D0"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SNHPC</w:t>
            </w:r>
          </w:p>
        </w:tc>
        <w:tc>
          <w:tcPr>
            <w:tcW w:w="1350" w:type="dxa"/>
            <w:tcBorders>
              <w:top w:val="single" w:sz="12" w:space="0" w:color="404040" w:themeColor="text1" w:themeTint="BF"/>
              <w:left w:val="nil"/>
              <w:bottom w:val="single" w:sz="12" w:space="0" w:color="404040" w:themeColor="text1" w:themeTint="BF"/>
              <w:right w:val="nil"/>
            </w:tcBorders>
            <w:vAlign w:val="bottom"/>
          </w:tcPr>
          <w:p w14:paraId="003D082B"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11,270</w:t>
            </w:r>
          </w:p>
        </w:tc>
        <w:tc>
          <w:tcPr>
            <w:tcW w:w="2700" w:type="dxa"/>
            <w:tcBorders>
              <w:top w:val="single" w:sz="12" w:space="0" w:color="404040" w:themeColor="text1" w:themeTint="BF"/>
              <w:left w:val="nil"/>
              <w:bottom w:val="single" w:sz="12" w:space="0" w:color="404040" w:themeColor="text1" w:themeTint="BF"/>
              <w:right w:val="nil"/>
            </w:tcBorders>
            <w:vAlign w:val="bottom"/>
          </w:tcPr>
          <w:p w14:paraId="406F18C9"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4%</w:t>
            </w:r>
          </w:p>
        </w:tc>
      </w:tr>
      <w:tr w:rsidR="00EE4EB0" w:rsidRPr="00C64BA4" w14:paraId="6B0C29B2" w14:textId="77777777" w:rsidTr="0031131F">
        <w:trPr>
          <w:trHeight w:val="270"/>
        </w:trPr>
        <w:tc>
          <w:tcPr>
            <w:tcW w:w="1980" w:type="dxa"/>
            <w:tcBorders>
              <w:top w:val="single" w:sz="12" w:space="0" w:color="404040" w:themeColor="text1" w:themeTint="BF"/>
              <w:left w:val="nil"/>
              <w:bottom w:val="nil"/>
              <w:right w:val="nil"/>
            </w:tcBorders>
            <w:shd w:val="clear" w:color="auto" w:fill="E7E6E6"/>
            <w:vAlign w:val="bottom"/>
          </w:tcPr>
          <w:p w14:paraId="5F40DFD5"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NH</w:t>
            </w:r>
          </w:p>
        </w:tc>
        <w:tc>
          <w:tcPr>
            <w:tcW w:w="1350" w:type="dxa"/>
            <w:tcBorders>
              <w:top w:val="single" w:sz="12" w:space="0" w:color="404040" w:themeColor="text1" w:themeTint="BF"/>
              <w:left w:val="nil"/>
              <w:bottom w:val="nil"/>
              <w:right w:val="nil"/>
            </w:tcBorders>
            <w:shd w:val="clear" w:color="auto" w:fill="E7E6E6"/>
            <w:vAlign w:val="bottom"/>
          </w:tcPr>
          <w:p w14:paraId="56D7CBE4"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53,660</w:t>
            </w:r>
          </w:p>
        </w:tc>
        <w:tc>
          <w:tcPr>
            <w:tcW w:w="2700" w:type="dxa"/>
            <w:tcBorders>
              <w:top w:val="single" w:sz="12" w:space="0" w:color="404040" w:themeColor="text1" w:themeTint="BF"/>
              <w:left w:val="nil"/>
              <w:bottom w:val="nil"/>
              <w:right w:val="nil"/>
            </w:tcBorders>
            <w:shd w:val="clear" w:color="auto" w:fill="E7E6E6"/>
            <w:vAlign w:val="bottom"/>
          </w:tcPr>
          <w:p w14:paraId="2FB5C325" w14:textId="77777777" w:rsidR="00EE4EB0" w:rsidRPr="00C64BA4" w:rsidRDefault="00EE4EB0" w:rsidP="00206C45">
            <w:pPr>
              <w:spacing w:after="0" w:line="300" w:lineRule="auto"/>
              <w:jc w:val="center"/>
              <w:rPr>
                <w:rFonts w:eastAsia="Tw Cen MT" w:cs="Tw Cen MT"/>
                <w:color w:val="000000" w:themeColor="text1"/>
              </w:rPr>
            </w:pPr>
            <w:r w:rsidRPr="00C64BA4">
              <w:rPr>
                <w:rFonts w:eastAsia="Tw Cen MT" w:cs="Tw Cen MT"/>
                <w:color w:val="000000" w:themeColor="text1"/>
              </w:rPr>
              <w:t>4%</w:t>
            </w:r>
          </w:p>
        </w:tc>
      </w:tr>
      <w:tr w:rsidR="00EE4EB0" w:rsidRPr="00C64BA4" w14:paraId="787274AB" w14:textId="77777777" w:rsidTr="0031131F">
        <w:trPr>
          <w:trHeight w:val="75"/>
        </w:trPr>
        <w:tc>
          <w:tcPr>
            <w:tcW w:w="6030" w:type="dxa"/>
            <w:gridSpan w:val="3"/>
            <w:tcBorders>
              <w:top w:val="nil"/>
              <w:left w:val="nil"/>
              <w:bottom w:val="nil"/>
              <w:right w:val="nil"/>
            </w:tcBorders>
            <w:vAlign w:val="bottom"/>
          </w:tcPr>
          <w:p w14:paraId="4CA887E7" w14:textId="77777777" w:rsidR="00EE4EB0" w:rsidRPr="00C64BA4" w:rsidRDefault="00EE4EB0" w:rsidP="00206C45">
            <w:pPr>
              <w:spacing w:after="0"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Sources: NH Department of State; US Census Bureau.</w:t>
            </w:r>
          </w:p>
        </w:tc>
      </w:tr>
    </w:tbl>
    <w:p w14:paraId="47C24A41" w14:textId="77777777" w:rsidR="00275B6A" w:rsidRPr="00C64BA4" w:rsidRDefault="00275B6A" w:rsidP="00206C45">
      <w:pPr>
        <w:spacing w:line="300" w:lineRule="auto"/>
        <w:rPr>
          <w:lang w:val="en"/>
        </w:rPr>
      </w:pPr>
    </w:p>
    <w:p w14:paraId="3EEFADF0" w14:textId="6DEF0EF5" w:rsidR="00E6444F" w:rsidRPr="00C64BA4" w:rsidRDefault="376D50E2" w:rsidP="00206C45">
      <w:pPr>
        <w:pStyle w:val="Heading3"/>
        <w:spacing w:line="300" w:lineRule="auto"/>
        <w:rPr>
          <w:lang w:val="en"/>
        </w:rPr>
      </w:pPr>
      <w:bookmarkStart w:id="82" w:name="_Communities_of_Interest"/>
      <w:bookmarkStart w:id="83" w:name="_Communities_of_Interest_1"/>
      <w:bookmarkStart w:id="84" w:name="_Toc145534576"/>
      <w:bookmarkStart w:id="85" w:name="_Toc557840155"/>
      <w:bookmarkStart w:id="86" w:name="_Toc128137960"/>
      <w:bookmarkEnd w:id="82"/>
      <w:bookmarkEnd w:id="83"/>
      <w:r w:rsidRPr="00C64BA4">
        <w:rPr>
          <w:lang w:val="en"/>
        </w:rPr>
        <w:t>Communities of Interest</w:t>
      </w:r>
      <w:bookmarkEnd w:id="84"/>
      <w:bookmarkEnd w:id="85"/>
      <w:bookmarkEnd w:id="86"/>
    </w:p>
    <w:p w14:paraId="26C66E7D" w14:textId="424F6814" w:rsidR="0031131F" w:rsidRPr="00275B6A" w:rsidRDefault="09A70516" w:rsidP="00206C45">
      <w:pPr>
        <w:spacing w:line="300" w:lineRule="auto"/>
        <w:jc w:val="both"/>
        <w:rPr>
          <w:rFonts w:eastAsia="Tw Cen MT" w:cs="Tw Cen MT"/>
          <w:lang w:val="en"/>
        </w:rPr>
      </w:pPr>
      <w:r w:rsidRPr="00C64BA4">
        <w:rPr>
          <w:rFonts w:eastAsia="Tw Cen MT" w:cs="Tw Cen MT"/>
          <w:lang w:val="en"/>
        </w:rPr>
        <w:t xml:space="preserve">SNHPC’s Regional Housing Needs Assessment sets out to engage residents and stakeholders substantively and meaningfully in the development of a shared understanding of housing needs. This includes communities traditionally marginalized from such processes.  The federal Fair Housing Act (FHA) guards against housing discrimination and promotes integration of the nation. The FHA protects people from discriminatory practices based on race, religion, sex, national origin, family status, or disability. Further, the State of New Hampshire adds three additional classifications of protection through state statute. The state’s laws protect people from discriminatory housing practices based on age, marital status, and sexual orientation. For additional information on protections of state and federal law, see the </w:t>
      </w:r>
      <w:r w:rsidRPr="000F12AD">
        <w:rPr>
          <w:rFonts w:eastAsia="Tw Cen MT" w:cs="Tw Cen MT"/>
          <w:lang w:val="en"/>
        </w:rPr>
        <w:t>History of Fair Housing</w:t>
      </w:r>
      <w:r w:rsidR="00EB69D3" w:rsidRPr="000F12AD">
        <w:rPr>
          <w:rFonts w:eastAsia="Tw Cen MT" w:cs="Tw Cen MT"/>
          <w:lang w:val="en"/>
        </w:rPr>
        <w:t>,</w:t>
      </w:r>
      <w:r w:rsidRPr="000F12AD">
        <w:rPr>
          <w:rFonts w:eastAsia="Tw Cen MT" w:cs="Tw Cen MT"/>
          <w:lang w:val="en"/>
        </w:rPr>
        <w:t xml:space="preserve"> </w:t>
      </w:r>
      <w:r w:rsidR="000F12AD" w:rsidRPr="000F12AD">
        <w:rPr>
          <w:rFonts w:eastAsia="Tw Cen MT" w:cs="Tw Cen MT"/>
          <w:color w:val="003CB4" w:themeColor="accent2" w:themeShade="80"/>
          <w:highlight w:val="yellow"/>
          <w:lang w:val="en"/>
        </w:rPr>
        <w:t>page 112</w:t>
      </w:r>
      <w:r w:rsidR="000F12AD">
        <w:rPr>
          <w:rFonts w:eastAsia="Tw Cen MT" w:cs="Tw Cen MT"/>
          <w:color w:val="003CB4" w:themeColor="accent2" w:themeShade="80"/>
          <w:u w:val="single"/>
          <w:lang w:val="en"/>
        </w:rPr>
        <w:t xml:space="preserve"> </w:t>
      </w:r>
      <w:r w:rsidRPr="00C64BA4">
        <w:rPr>
          <w:rFonts w:eastAsia="Tw Cen MT" w:cs="Tw Cen MT"/>
          <w:lang w:val="en"/>
        </w:rPr>
        <w:t>of this report. Beyond the protections of law, the identified populations are more likely to be vulnerable to shocks in the housing market, disruptions which can displace them from their homes and communities. Special attention was given to the housing needs assessment methodology to account for populations at risk of being marginalized in the housing market or by housing policy decision-making.</w:t>
      </w:r>
    </w:p>
    <w:p w14:paraId="00877A3F" w14:textId="7CD5971C" w:rsidR="00275B6A" w:rsidRPr="00CA0468" w:rsidRDefault="09A70516" w:rsidP="000F76E3">
      <w:pPr>
        <w:pStyle w:val="Heading4"/>
        <w:keepNext/>
        <w:keepLines/>
        <w:spacing w:line="300" w:lineRule="auto"/>
        <w:rPr>
          <w:rFonts w:eastAsia="Tw Cen MT" w:cs="Tw Cen MT"/>
          <w:color w:val="003BB3"/>
          <w:lang w:val="en"/>
        </w:rPr>
      </w:pPr>
      <w:r w:rsidRPr="00C64BA4">
        <w:rPr>
          <w:rFonts w:eastAsia="Tw Cen MT" w:cs="Tw Cen MT"/>
          <w:color w:val="003BB3"/>
          <w:lang w:val="en"/>
        </w:rPr>
        <w:lastRenderedPageBreak/>
        <w:t>Low-Income Populations</w:t>
      </w:r>
    </w:p>
    <w:p w14:paraId="048EC584" w14:textId="1F556439" w:rsidR="00CA0468" w:rsidRDefault="00CA0468" w:rsidP="000F76E3">
      <w:pPr>
        <w:pStyle w:val="Caption"/>
        <w:keepNext/>
        <w:keepLines/>
        <w:spacing w:line="300" w:lineRule="auto"/>
      </w:pPr>
      <w:bookmarkStart w:id="87" w:name="_Toc128137902"/>
      <w:r>
        <w:t xml:space="preserve">Table </w:t>
      </w:r>
      <w:r w:rsidR="0062538A">
        <w:fldChar w:fldCharType="begin"/>
      </w:r>
      <w:r w:rsidR="0062538A">
        <w:instrText xml:space="preserve"> SEQ</w:instrText>
      </w:r>
      <w:r w:rsidR="0062538A">
        <w:instrText xml:space="preserve"> Table \* ARABIC </w:instrText>
      </w:r>
      <w:r w:rsidR="0062538A">
        <w:fldChar w:fldCharType="separate"/>
      </w:r>
      <w:r w:rsidR="008B512A">
        <w:rPr>
          <w:noProof/>
        </w:rPr>
        <w:t>11</w:t>
      </w:r>
      <w:r w:rsidR="0062538A">
        <w:rPr>
          <w:noProof/>
        </w:rPr>
        <w:fldChar w:fldCharType="end"/>
      </w:r>
      <w:r>
        <w:t>: Percent of Residents</w:t>
      </w:r>
      <w:bookmarkEnd w:id="87"/>
    </w:p>
    <w:tbl>
      <w:tblPr>
        <w:tblStyle w:val="TableGrid"/>
        <w:tblpPr w:leftFromText="180" w:rightFromText="180" w:vertAnchor="text" w:tblpY="1"/>
        <w:tblOverlap w:val="never"/>
        <w:tblW w:w="0" w:type="auto"/>
        <w:tblLayout w:type="fixed"/>
        <w:tblLook w:val="06A0" w:firstRow="1" w:lastRow="0" w:firstColumn="1" w:lastColumn="0" w:noHBand="1" w:noVBand="1"/>
      </w:tblPr>
      <w:tblGrid>
        <w:gridCol w:w="1908"/>
        <w:gridCol w:w="1419"/>
      </w:tblGrid>
      <w:tr w:rsidR="00FA48AD" w:rsidRPr="00C64BA4" w14:paraId="7C4FC666" w14:textId="77777777" w:rsidTr="00275B6A">
        <w:trPr>
          <w:trHeight w:val="300"/>
        </w:trPr>
        <w:tc>
          <w:tcPr>
            <w:tcW w:w="3327" w:type="dxa"/>
            <w:gridSpan w:val="2"/>
            <w:tcBorders>
              <w:top w:val="nil"/>
              <w:left w:val="nil"/>
              <w:bottom w:val="nil"/>
              <w:right w:val="nil"/>
            </w:tcBorders>
            <w:vAlign w:val="bottom"/>
          </w:tcPr>
          <w:p w14:paraId="0AFBE368" w14:textId="77777777" w:rsidR="00FA48AD" w:rsidRPr="00C64BA4" w:rsidRDefault="00FA48AD" w:rsidP="000F76E3">
            <w:pPr>
              <w:keepNext/>
              <w:keepLines/>
              <w:spacing w:line="300" w:lineRule="auto"/>
              <w:jc w:val="center"/>
              <w:rPr>
                <w:rFonts w:eastAsia="Tw Cen MT" w:cs="Tw Cen MT"/>
                <w:b/>
                <w:bCs/>
                <w:color w:val="595959" w:themeColor="text1" w:themeTint="A6"/>
                <w:sz w:val="22"/>
                <w:szCs w:val="22"/>
              </w:rPr>
            </w:pPr>
            <w:r w:rsidRPr="00C64BA4">
              <w:rPr>
                <w:rFonts w:eastAsia="Tw Cen MT" w:cs="Tw Cen MT"/>
                <w:b/>
                <w:bCs/>
                <w:color w:val="595959" w:themeColor="text1" w:themeTint="A6"/>
                <w:sz w:val="22"/>
                <w:szCs w:val="22"/>
              </w:rPr>
              <w:t xml:space="preserve">% </w:t>
            </w:r>
            <w:proofErr w:type="gramStart"/>
            <w:r w:rsidRPr="00C64BA4">
              <w:rPr>
                <w:rFonts w:eastAsia="Tw Cen MT" w:cs="Tw Cen MT"/>
                <w:b/>
                <w:bCs/>
                <w:color w:val="595959" w:themeColor="text1" w:themeTint="A6"/>
                <w:sz w:val="22"/>
                <w:szCs w:val="22"/>
              </w:rPr>
              <w:t>of</w:t>
            </w:r>
            <w:proofErr w:type="gramEnd"/>
            <w:r w:rsidRPr="00C64BA4">
              <w:rPr>
                <w:rFonts w:eastAsia="Tw Cen MT" w:cs="Tw Cen MT"/>
                <w:b/>
                <w:bCs/>
                <w:color w:val="595959" w:themeColor="text1" w:themeTint="A6"/>
                <w:sz w:val="22"/>
                <w:szCs w:val="22"/>
              </w:rPr>
              <w:t xml:space="preserve"> Residents Below the Poverty Threshold</w:t>
            </w:r>
          </w:p>
        </w:tc>
      </w:tr>
      <w:tr w:rsidR="00FA48AD" w:rsidRPr="00C64BA4" w14:paraId="2EC73D84" w14:textId="77777777" w:rsidTr="00275B6A">
        <w:trPr>
          <w:trHeight w:val="300"/>
        </w:trPr>
        <w:tc>
          <w:tcPr>
            <w:tcW w:w="1908" w:type="dxa"/>
            <w:tcBorders>
              <w:top w:val="nil"/>
              <w:left w:val="nil"/>
              <w:bottom w:val="single" w:sz="8" w:space="0" w:color="auto"/>
              <w:right w:val="nil"/>
            </w:tcBorders>
            <w:vAlign w:val="bottom"/>
          </w:tcPr>
          <w:p w14:paraId="1B7B2B0C" w14:textId="77777777" w:rsidR="00FA48AD" w:rsidRPr="00C64BA4" w:rsidRDefault="00FA48AD" w:rsidP="000F76E3">
            <w:pPr>
              <w:keepNext/>
              <w:keepLines/>
              <w:spacing w:line="300" w:lineRule="auto"/>
              <w:rPr>
                <w:rFonts w:eastAsia="Tw Cen MT" w:cs="Tw Cen MT"/>
                <w:color w:val="000000" w:themeColor="text1"/>
                <w:sz w:val="22"/>
                <w:szCs w:val="22"/>
              </w:rPr>
            </w:pPr>
            <w:r w:rsidRPr="00C64BA4">
              <w:rPr>
                <w:rFonts w:eastAsia="Tw Cen MT" w:cs="Tw Cen MT"/>
                <w:color w:val="000000" w:themeColor="text1"/>
                <w:sz w:val="22"/>
                <w:szCs w:val="22"/>
              </w:rPr>
              <w:t xml:space="preserve"> </w:t>
            </w:r>
          </w:p>
        </w:tc>
        <w:tc>
          <w:tcPr>
            <w:tcW w:w="1419" w:type="dxa"/>
            <w:tcBorders>
              <w:top w:val="nil"/>
              <w:left w:val="nil"/>
              <w:bottom w:val="single" w:sz="8" w:space="0" w:color="auto"/>
              <w:right w:val="nil"/>
            </w:tcBorders>
            <w:vAlign w:val="bottom"/>
          </w:tcPr>
          <w:p w14:paraId="5F2F25BA" w14:textId="77777777" w:rsidR="00FA48AD" w:rsidRPr="00C64BA4" w:rsidRDefault="00FA48AD" w:rsidP="000F76E3">
            <w:pPr>
              <w:keepNext/>
              <w:keepLines/>
              <w:spacing w:line="300" w:lineRule="auto"/>
              <w:jc w:val="center"/>
              <w:rPr>
                <w:rFonts w:eastAsia="Tw Cen MT" w:cs="Tw Cen MT"/>
                <w:b/>
                <w:bCs/>
                <w:color w:val="595959" w:themeColor="text1" w:themeTint="A6"/>
                <w:sz w:val="22"/>
                <w:szCs w:val="22"/>
              </w:rPr>
            </w:pPr>
            <w:r w:rsidRPr="00C64BA4">
              <w:rPr>
                <w:rFonts w:eastAsia="Tw Cen MT" w:cs="Tw Cen MT"/>
                <w:b/>
                <w:bCs/>
                <w:color w:val="595959" w:themeColor="text1" w:themeTint="A6"/>
                <w:sz w:val="22"/>
                <w:szCs w:val="22"/>
              </w:rPr>
              <w:t>2020</w:t>
            </w:r>
          </w:p>
        </w:tc>
      </w:tr>
      <w:tr w:rsidR="00FA48AD" w:rsidRPr="00C64BA4" w14:paraId="02C1FB5C" w14:textId="77777777" w:rsidTr="00275B6A">
        <w:trPr>
          <w:trHeight w:val="300"/>
        </w:trPr>
        <w:tc>
          <w:tcPr>
            <w:tcW w:w="1908" w:type="dxa"/>
            <w:tcBorders>
              <w:top w:val="single" w:sz="8" w:space="0" w:color="auto"/>
              <w:left w:val="nil"/>
              <w:bottom w:val="single" w:sz="8" w:space="0" w:color="auto"/>
              <w:right w:val="nil"/>
            </w:tcBorders>
            <w:vAlign w:val="center"/>
          </w:tcPr>
          <w:p w14:paraId="2C8FCED7"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Auburn</w:t>
            </w:r>
          </w:p>
        </w:tc>
        <w:tc>
          <w:tcPr>
            <w:tcW w:w="1419" w:type="dxa"/>
            <w:tcBorders>
              <w:top w:val="single" w:sz="8" w:space="0" w:color="auto"/>
              <w:left w:val="nil"/>
              <w:bottom w:val="nil"/>
              <w:right w:val="nil"/>
            </w:tcBorders>
            <w:vAlign w:val="center"/>
          </w:tcPr>
          <w:p w14:paraId="23FED870"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w:t>
            </w:r>
          </w:p>
        </w:tc>
      </w:tr>
      <w:tr w:rsidR="00FA48AD" w:rsidRPr="00C64BA4" w14:paraId="5DF3FAE3" w14:textId="77777777" w:rsidTr="00275B6A">
        <w:trPr>
          <w:trHeight w:val="300"/>
        </w:trPr>
        <w:tc>
          <w:tcPr>
            <w:tcW w:w="1908" w:type="dxa"/>
            <w:tcBorders>
              <w:top w:val="single" w:sz="8" w:space="0" w:color="auto"/>
              <w:left w:val="nil"/>
              <w:bottom w:val="single" w:sz="8" w:space="0" w:color="auto"/>
              <w:right w:val="nil"/>
            </w:tcBorders>
            <w:shd w:val="clear" w:color="auto" w:fill="E7E6E6"/>
            <w:vAlign w:val="center"/>
          </w:tcPr>
          <w:p w14:paraId="66D4B483"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Bedford</w:t>
            </w:r>
          </w:p>
        </w:tc>
        <w:tc>
          <w:tcPr>
            <w:tcW w:w="1419" w:type="dxa"/>
            <w:tcBorders>
              <w:top w:val="single" w:sz="8" w:space="0" w:color="auto"/>
              <w:left w:val="nil"/>
              <w:bottom w:val="single" w:sz="8" w:space="0" w:color="auto"/>
              <w:right w:val="nil"/>
            </w:tcBorders>
            <w:shd w:val="clear" w:color="auto" w:fill="E7E6E6"/>
            <w:vAlign w:val="center"/>
          </w:tcPr>
          <w:p w14:paraId="091DF95C"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3%</w:t>
            </w:r>
          </w:p>
        </w:tc>
      </w:tr>
      <w:tr w:rsidR="00FA48AD" w:rsidRPr="00C64BA4" w14:paraId="75443D7F" w14:textId="77777777" w:rsidTr="00275B6A">
        <w:trPr>
          <w:trHeight w:val="300"/>
        </w:trPr>
        <w:tc>
          <w:tcPr>
            <w:tcW w:w="1908" w:type="dxa"/>
            <w:tcBorders>
              <w:top w:val="single" w:sz="8" w:space="0" w:color="auto"/>
              <w:left w:val="nil"/>
              <w:bottom w:val="single" w:sz="8" w:space="0" w:color="auto"/>
              <w:right w:val="nil"/>
            </w:tcBorders>
            <w:vAlign w:val="center"/>
          </w:tcPr>
          <w:p w14:paraId="73ECC6B4"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Candia</w:t>
            </w:r>
          </w:p>
        </w:tc>
        <w:tc>
          <w:tcPr>
            <w:tcW w:w="1419" w:type="dxa"/>
            <w:tcBorders>
              <w:top w:val="single" w:sz="8" w:space="0" w:color="auto"/>
              <w:left w:val="nil"/>
              <w:bottom w:val="nil"/>
              <w:right w:val="nil"/>
            </w:tcBorders>
            <w:vAlign w:val="center"/>
          </w:tcPr>
          <w:p w14:paraId="5D8FEB56"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3%</w:t>
            </w:r>
          </w:p>
        </w:tc>
      </w:tr>
      <w:tr w:rsidR="00FA48AD" w:rsidRPr="00C64BA4" w14:paraId="36B4EA72" w14:textId="77777777" w:rsidTr="00275B6A">
        <w:trPr>
          <w:trHeight w:val="300"/>
        </w:trPr>
        <w:tc>
          <w:tcPr>
            <w:tcW w:w="1908" w:type="dxa"/>
            <w:tcBorders>
              <w:top w:val="single" w:sz="8" w:space="0" w:color="auto"/>
              <w:left w:val="nil"/>
              <w:bottom w:val="single" w:sz="8" w:space="0" w:color="auto"/>
              <w:right w:val="nil"/>
            </w:tcBorders>
            <w:shd w:val="clear" w:color="auto" w:fill="E7E6E6"/>
            <w:vAlign w:val="center"/>
          </w:tcPr>
          <w:p w14:paraId="55F8299F"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Chester</w:t>
            </w:r>
          </w:p>
        </w:tc>
        <w:tc>
          <w:tcPr>
            <w:tcW w:w="1419" w:type="dxa"/>
            <w:tcBorders>
              <w:top w:val="single" w:sz="8" w:space="0" w:color="auto"/>
              <w:left w:val="nil"/>
              <w:bottom w:val="single" w:sz="8" w:space="0" w:color="auto"/>
              <w:right w:val="nil"/>
            </w:tcBorders>
            <w:shd w:val="clear" w:color="auto" w:fill="E7E6E6"/>
            <w:vAlign w:val="center"/>
          </w:tcPr>
          <w:p w14:paraId="2C619599"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w:t>
            </w:r>
          </w:p>
        </w:tc>
      </w:tr>
      <w:tr w:rsidR="00FA48AD" w:rsidRPr="00C64BA4" w14:paraId="375A9B2F" w14:textId="77777777" w:rsidTr="00275B6A">
        <w:trPr>
          <w:trHeight w:val="300"/>
        </w:trPr>
        <w:tc>
          <w:tcPr>
            <w:tcW w:w="1908" w:type="dxa"/>
            <w:tcBorders>
              <w:top w:val="single" w:sz="8" w:space="0" w:color="auto"/>
              <w:left w:val="nil"/>
              <w:bottom w:val="single" w:sz="8" w:space="0" w:color="auto"/>
              <w:right w:val="nil"/>
            </w:tcBorders>
            <w:vAlign w:val="center"/>
          </w:tcPr>
          <w:p w14:paraId="5592E56A"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Deerfield</w:t>
            </w:r>
          </w:p>
        </w:tc>
        <w:tc>
          <w:tcPr>
            <w:tcW w:w="1419" w:type="dxa"/>
            <w:tcBorders>
              <w:top w:val="single" w:sz="8" w:space="0" w:color="auto"/>
              <w:left w:val="nil"/>
              <w:bottom w:val="nil"/>
              <w:right w:val="nil"/>
            </w:tcBorders>
            <w:vAlign w:val="center"/>
          </w:tcPr>
          <w:p w14:paraId="7F77F0B7"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5%</w:t>
            </w:r>
          </w:p>
        </w:tc>
      </w:tr>
      <w:tr w:rsidR="00FA48AD" w:rsidRPr="00C64BA4" w14:paraId="39E828DB" w14:textId="77777777" w:rsidTr="00275B6A">
        <w:trPr>
          <w:trHeight w:val="300"/>
        </w:trPr>
        <w:tc>
          <w:tcPr>
            <w:tcW w:w="1908" w:type="dxa"/>
            <w:tcBorders>
              <w:top w:val="single" w:sz="8" w:space="0" w:color="auto"/>
              <w:left w:val="nil"/>
              <w:bottom w:val="single" w:sz="8" w:space="0" w:color="auto"/>
              <w:right w:val="nil"/>
            </w:tcBorders>
            <w:shd w:val="clear" w:color="auto" w:fill="E7E6E6"/>
            <w:vAlign w:val="center"/>
          </w:tcPr>
          <w:p w14:paraId="2A0039E9"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Derry</w:t>
            </w:r>
          </w:p>
        </w:tc>
        <w:tc>
          <w:tcPr>
            <w:tcW w:w="1419" w:type="dxa"/>
            <w:tcBorders>
              <w:top w:val="single" w:sz="8" w:space="0" w:color="auto"/>
              <w:left w:val="nil"/>
              <w:bottom w:val="single" w:sz="8" w:space="0" w:color="auto"/>
              <w:right w:val="nil"/>
            </w:tcBorders>
            <w:shd w:val="clear" w:color="auto" w:fill="E7E6E6"/>
            <w:vAlign w:val="center"/>
          </w:tcPr>
          <w:p w14:paraId="65BA5F55"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6%</w:t>
            </w:r>
          </w:p>
        </w:tc>
      </w:tr>
      <w:tr w:rsidR="00FA48AD" w:rsidRPr="00C64BA4" w14:paraId="38ACC527" w14:textId="77777777" w:rsidTr="00275B6A">
        <w:trPr>
          <w:trHeight w:val="300"/>
        </w:trPr>
        <w:tc>
          <w:tcPr>
            <w:tcW w:w="1908" w:type="dxa"/>
            <w:tcBorders>
              <w:top w:val="single" w:sz="8" w:space="0" w:color="auto"/>
              <w:left w:val="nil"/>
              <w:bottom w:val="single" w:sz="8" w:space="0" w:color="auto"/>
              <w:right w:val="nil"/>
            </w:tcBorders>
            <w:vAlign w:val="center"/>
          </w:tcPr>
          <w:p w14:paraId="1A741F65" w14:textId="77777777" w:rsidR="00FA48AD" w:rsidRPr="00C64BA4" w:rsidRDefault="00FA48AD" w:rsidP="000F76E3">
            <w:pPr>
              <w:keepNext/>
              <w:keepLines/>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Francestown</w:t>
            </w:r>
            <w:proofErr w:type="spellEnd"/>
          </w:p>
        </w:tc>
        <w:tc>
          <w:tcPr>
            <w:tcW w:w="1419" w:type="dxa"/>
            <w:tcBorders>
              <w:top w:val="single" w:sz="8" w:space="0" w:color="auto"/>
              <w:left w:val="nil"/>
              <w:bottom w:val="nil"/>
              <w:right w:val="nil"/>
            </w:tcBorders>
            <w:vAlign w:val="center"/>
          </w:tcPr>
          <w:p w14:paraId="73E52441"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w:t>
            </w:r>
          </w:p>
        </w:tc>
      </w:tr>
      <w:tr w:rsidR="00FA48AD" w:rsidRPr="00C64BA4" w14:paraId="5FE77E32" w14:textId="77777777" w:rsidTr="00275B6A">
        <w:trPr>
          <w:trHeight w:val="300"/>
        </w:trPr>
        <w:tc>
          <w:tcPr>
            <w:tcW w:w="1908" w:type="dxa"/>
            <w:tcBorders>
              <w:top w:val="single" w:sz="8" w:space="0" w:color="auto"/>
              <w:left w:val="nil"/>
              <w:bottom w:val="single" w:sz="8" w:space="0" w:color="auto"/>
              <w:right w:val="nil"/>
            </w:tcBorders>
            <w:shd w:val="clear" w:color="auto" w:fill="E7E6E6"/>
            <w:vAlign w:val="center"/>
          </w:tcPr>
          <w:p w14:paraId="5714469A"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Goffstown</w:t>
            </w:r>
          </w:p>
        </w:tc>
        <w:tc>
          <w:tcPr>
            <w:tcW w:w="1419" w:type="dxa"/>
            <w:tcBorders>
              <w:top w:val="single" w:sz="8" w:space="0" w:color="auto"/>
              <w:left w:val="nil"/>
              <w:bottom w:val="single" w:sz="8" w:space="0" w:color="auto"/>
              <w:right w:val="nil"/>
            </w:tcBorders>
            <w:shd w:val="clear" w:color="auto" w:fill="E7E6E6"/>
            <w:vAlign w:val="center"/>
          </w:tcPr>
          <w:p w14:paraId="3FE56F31"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7%</w:t>
            </w:r>
          </w:p>
        </w:tc>
      </w:tr>
      <w:tr w:rsidR="00FA48AD" w:rsidRPr="00C64BA4" w14:paraId="7CDC015D" w14:textId="77777777" w:rsidTr="00275B6A">
        <w:trPr>
          <w:trHeight w:val="300"/>
        </w:trPr>
        <w:tc>
          <w:tcPr>
            <w:tcW w:w="1908" w:type="dxa"/>
            <w:tcBorders>
              <w:top w:val="single" w:sz="8" w:space="0" w:color="auto"/>
              <w:left w:val="nil"/>
              <w:bottom w:val="single" w:sz="8" w:space="0" w:color="auto"/>
              <w:right w:val="nil"/>
            </w:tcBorders>
            <w:vAlign w:val="center"/>
          </w:tcPr>
          <w:p w14:paraId="4EE1245F"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Hooksett</w:t>
            </w:r>
          </w:p>
        </w:tc>
        <w:tc>
          <w:tcPr>
            <w:tcW w:w="1419" w:type="dxa"/>
            <w:tcBorders>
              <w:top w:val="single" w:sz="8" w:space="0" w:color="auto"/>
              <w:left w:val="nil"/>
              <w:bottom w:val="nil"/>
              <w:right w:val="nil"/>
            </w:tcBorders>
            <w:vAlign w:val="center"/>
          </w:tcPr>
          <w:p w14:paraId="2E3D330B"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4%</w:t>
            </w:r>
          </w:p>
        </w:tc>
      </w:tr>
      <w:tr w:rsidR="00FA48AD" w:rsidRPr="00C64BA4" w14:paraId="65728ED9" w14:textId="77777777" w:rsidTr="00275B6A">
        <w:trPr>
          <w:trHeight w:val="300"/>
        </w:trPr>
        <w:tc>
          <w:tcPr>
            <w:tcW w:w="1908" w:type="dxa"/>
            <w:tcBorders>
              <w:top w:val="single" w:sz="8" w:space="0" w:color="auto"/>
              <w:left w:val="nil"/>
              <w:bottom w:val="single" w:sz="8" w:space="0" w:color="auto"/>
              <w:right w:val="nil"/>
            </w:tcBorders>
            <w:shd w:val="clear" w:color="auto" w:fill="E7E6E6"/>
            <w:vAlign w:val="center"/>
          </w:tcPr>
          <w:p w14:paraId="1F2D3ADB"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Londonderry</w:t>
            </w:r>
          </w:p>
        </w:tc>
        <w:tc>
          <w:tcPr>
            <w:tcW w:w="1419" w:type="dxa"/>
            <w:tcBorders>
              <w:top w:val="single" w:sz="8" w:space="0" w:color="auto"/>
              <w:left w:val="nil"/>
              <w:bottom w:val="single" w:sz="8" w:space="0" w:color="auto"/>
              <w:right w:val="nil"/>
            </w:tcBorders>
            <w:shd w:val="clear" w:color="auto" w:fill="E7E6E6"/>
            <w:vAlign w:val="center"/>
          </w:tcPr>
          <w:p w14:paraId="2537B6F5"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w:t>
            </w:r>
          </w:p>
        </w:tc>
      </w:tr>
      <w:tr w:rsidR="00FA48AD" w:rsidRPr="00C64BA4" w14:paraId="25C19F64" w14:textId="77777777" w:rsidTr="00275B6A">
        <w:trPr>
          <w:trHeight w:val="300"/>
        </w:trPr>
        <w:tc>
          <w:tcPr>
            <w:tcW w:w="1908" w:type="dxa"/>
            <w:tcBorders>
              <w:top w:val="single" w:sz="8" w:space="0" w:color="auto"/>
              <w:left w:val="nil"/>
              <w:bottom w:val="single" w:sz="8" w:space="0" w:color="auto"/>
              <w:right w:val="nil"/>
            </w:tcBorders>
            <w:vAlign w:val="center"/>
          </w:tcPr>
          <w:p w14:paraId="76DEFD5C"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Manchester</w:t>
            </w:r>
          </w:p>
        </w:tc>
        <w:tc>
          <w:tcPr>
            <w:tcW w:w="1419" w:type="dxa"/>
            <w:tcBorders>
              <w:top w:val="single" w:sz="8" w:space="0" w:color="auto"/>
              <w:left w:val="nil"/>
              <w:bottom w:val="nil"/>
              <w:right w:val="nil"/>
            </w:tcBorders>
            <w:vAlign w:val="center"/>
          </w:tcPr>
          <w:p w14:paraId="63AAAD27"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13%</w:t>
            </w:r>
          </w:p>
        </w:tc>
      </w:tr>
      <w:tr w:rsidR="00FA48AD" w:rsidRPr="00C64BA4" w14:paraId="7349B9CA" w14:textId="77777777" w:rsidTr="00275B6A">
        <w:trPr>
          <w:trHeight w:val="300"/>
        </w:trPr>
        <w:tc>
          <w:tcPr>
            <w:tcW w:w="1908" w:type="dxa"/>
            <w:tcBorders>
              <w:top w:val="single" w:sz="8" w:space="0" w:color="auto"/>
              <w:left w:val="nil"/>
              <w:bottom w:val="single" w:sz="8" w:space="0" w:color="auto"/>
              <w:right w:val="nil"/>
            </w:tcBorders>
            <w:shd w:val="clear" w:color="auto" w:fill="E7E6E6"/>
            <w:vAlign w:val="center"/>
          </w:tcPr>
          <w:p w14:paraId="100C7A3A"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New Boston</w:t>
            </w:r>
          </w:p>
        </w:tc>
        <w:tc>
          <w:tcPr>
            <w:tcW w:w="1419" w:type="dxa"/>
            <w:tcBorders>
              <w:top w:val="single" w:sz="8" w:space="0" w:color="auto"/>
              <w:left w:val="nil"/>
              <w:bottom w:val="single" w:sz="8" w:space="0" w:color="auto"/>
              <w:right w:val="nil"/>
            </w:tcBorders>
            <w:shd w:val="clear" w:color="auto" w:fill="E7E6E6"/>
            <w:vAlign w:val="center"/>
          </w:tcPr>
          <w:p w14:paraId="49B9ADB4"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w:t>
            </w:r>
          </w:p>
        </w:tc>
      </w:tr>
      <w:tr w:rsidR="00FA48AD" w:rsidRPr="00C64BA4" w14:paraId="32C44566" w14:textId="77777777" w:rsidTr="00275B6A">
        <w:trPr>
          <w:trHeight w:val="300"/>
        </w:trPr>
        <w:tc>
          <w:tcPr>
            <w:tcW w:w="1908" w:type="dxa"/>
            <w:tcBorders>
              <w:top w:val="single" w:sz="8" w:space="0" w:color="auto"/>
              <w:left w:val="nil"/>
              <w:bottom w:val="single" w:sz="8" w:space="0" w:color="auto"/>
              <w:right w:val="nil"/>
            </w:tcBorders>
            <w:vAlign w:val="center"/>
          </w:tcPr>
          <w:p w14:paraId="6E696DB2" w14:textId="77777777" w:rsidR="00FA48AD" w:rsidRPr="00C64BA4" w:rsidRDefault="00FA48AD" w:rsidP="000F76E3">
            <w:pPr>
              <w:keepNext/>
              <w:keepLines/>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Weare</w:t>
            </w:r>
            <w:proofErr w:type="spellEnd"/>
          </w:p>
        </w:tc>
        <w:tc>
          <w:tcPr>
            <w:tcW w:w="1419" w:type="dxa"/>
            <w:tcBorders>
              <w:top w:val="single" w:sz="8" w:space="0" w:color="auto"/>
              <w:left w:val="nil"/>
              <w:bottom w:val="nil"/>
              <w:right w:val="nil"/>
            </w:tcBorders>
            <w:vAlign w:val="center"/>
          </w:tcPr>
          <w:p w14:paraId="5DA2347B"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4%</w:t>
            </w:r>
          </w:p>
        </w:tc>
      </w:tr>
      <w:tr w:rsidR="00FA48AD" w:rsidRPr="00C64BA4" w14:paraId="5834CD89" w14:textId="77777777" w:rsidTr="00275B6A">
        <w:trPr>
          <w:trHeight w:val="315"/>
        </w:trPr>
        <w:tc>
          <w:tcPr>
            <w:tcW w:w="1908" w:type="dxa"/>
            <w:tcBorders>
              <w:top w:val="single" w:sz="8" w:space="0" w:color="auto"/>
              <w:left w:val="nil"/>
              <w:bottom w:val="single" w:sz="12" w:space="0" w:color="404040" w:themeColor="text1" w:themeTint="BF"/>
              <w:right w:val="nil"/>
            </w:tcBorders>
            <w:shd w:val="clear" w:color="auto" w:fill="E7E6E6"/>
            <w:vAlign w:val="center"/>
          </w:tcPr>
          <w:p w14:paraId="2EA7376B"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Windham</w:t>
            </w:r>
          </w:p>
        </w:tc>
        <w:tc>
          <w:tcPr>
            <w:tcW w:w="1419" w:type="dxa"/>
            <w:tcBorders>
              <w:top w:val="single" w:sz="8" w:space="0" w:color="auto"/>
              <w:left w:val="nil"/>
              <w:bottom w:val="single" w:sz="12" w:space="0" w:color="404040" w:themeColor="text1" w:themeTint="BF"/>
              <w:right w:val="nil"/>
            </w:tcBorders>
            <w:shd w:val="clear" w:color="auto" w:fill="E7E6E6"/>
            <w:vAlign w:val="center"/>
          </w:tcPr>
          <w:p w14:paraId="6005C3C9"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w:t>
            </w:r>
          </w:p>
        </w:tc>
      </w:tr>
      <w:tr w:rsidR="00FA48AD" w:rsidRPr="00C64BA4" w14:paraId="0DAF74C4" w14:textId="77777777" w:rsidTr="00275B6A">
        <w:trPr>
          <w:trHeight w:val="315"/>
        </w:trPr>
        <w:tc>
          <w:tcPr>
            <w:tcW w:w="1908" w:type="dxa"/>
            <w:tcBorders>
              <w:top w:val="single" w:sz="12" w:space="0" w:color="404040" w:themeColor="text1" w:themeTint="BF"/>
              <w:left w:val="nil"/>
              <w:bottom w:val="single" w:sz="12" w:space="0" w:color="404040" w:themeColor="text1" w:themeTint="BF"/>
              <w:right w:val="nil"/>
            </w:tcBorders>
            <w:vAlign w:val="center"/>
          </w:tcPr>
          <w:p w14:paraId="7CBDE099"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SNHPC</w:t>
            </w:r>
          </w:p>
        </w:tc>
        <w:tc>
          <w:tcPr>
            <w:tcW w:w="1419" w:type="dxa"/>
            <w:tcBorders>
              <w:top w:val="single" w:sz="12" w:space="0" w:color="404040" w:themeColor="text1" w:themeTint="BF"/>
              <w:left w:val="nil"/>
              <w:bottom w:val="single" w:sz="12" w:space="0" w:color="404040" w:themeColor="text1" w:themeTint="BF"/>
              <w:right w:val="nil"/>
            </w:tcBorders>
            <w:vAlign w:val="center"/>
          </w:tcPr>
          <w:p w14:paraId="1B5E5A00"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8%</w:t>
            </w:r>
          </w:p>
        </w:tc>
      </w:tr>
      <w:tr w:rsidR="00FA48AD" w:rsidRPr="00C64BA4" w14:paraId="1E3F705A" w14:textId="77777777" w:rsidTr="00275B6A">
        <w:trPr>
          <w:trHeight w:val="300"/>
        </w:trPr>
        <w:tc>
          <w:tcPr>
            <w:tcW w:w="1908" w:type="dxa"/>
            <w:tcBorders>
              <w:top w:val="single" w:sz="12" w:space="0" w:color="404040" w:themeColor="text1" w:themeTint="BF"/>
              <w:left w:val="nil"/>
              <w:bottom w:val="nil"/>
              <w:right w:val="nil"/>
            </w:tcBorders>
            <w:shd w:val="clear" w:color="auto" w:fill="E7E6E6"/>
            <w:vAlign w:val="center"/>
          </w:tcPr>
          <w:p w14:paraId="1F1F309D"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NH</w:t>
            </w:r>
          </w:p>
        </w:tc>
        <w:tc>
          <w:tcPr>
            <w:tcW w:w="1419" w:type="dxa"/>
            <w:tcBorders>
              <w:top w:val="single" w:sz="12" w:space="0" w:color="404040" w:themeColor="text1" w:themeTint="BF"/>
              <w:left w:val="nil"/>
              <w:bottom w:val="nil"/>
              <w:right w:val="nil"/>
            </w:tcBorders>
            <w:shd w:val="clear" w:color="auto" w:fill="E7E6E6"/>
            <w:vAlign w:val="center"/>
          </w:tcPr>
          <w:p w14:paraId="0A98AD5D" w14:textId="77777777" w:rsidR="00FA48AD" w:rsidRPr="00C64BA4" w:rsidRDefault="00FA48AD" w:rsidP="000F76E3">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7%</w:t>
            </w:r>
          </w:p>
        </w:tc>
      </w:tr>
      <w:tr w:rsidR="00FA48AD" w:rsidRPr="00C64BA4" w14:paraId="7BABCFDC" w14:textId="77777777" w:rsidTr="00275B6A">
        <w:trPr>
          <w:trHeight w:val="645"/>
        </w:trPr>
        <w:tc>
          <w:tcPr>
            <w:tcW w:w="3327" w:type="dxa"/>
            <w:gridSpan w:val="2"/>
            <w:tcBorders>
              <w:top w:val="nil"/>
              <w:left w:val="nil"/>
              <w:bottom w:val="nil"/>
              <w:right w:val="nil"/>
            </w:tcBorders>
            <w:vAlign w:val="center"/>
          </w:tcPr>
          <w:p w14:paraId="02C5DC94" w14:textId="77777777" w:rsidR="00FA48AD" w:rsidRPr="00C64BA4" w:rsidRDefault="00FA48AD" w:rsidP="000F76E3">
            <w:pPr>
              <w:keepNext/>
              <w:keepLines/>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5-Year American Community Survey</w:t>
            </w:r>
          </w:p>
        </w:tc>
      </w:tr>
      <w:tr w:rsidR="00FA48AD" w:rsidRPr="00C64BA4" w14:paraId="312209BB" w14:textId="77777777" w:rsidTr="00275B6A">
        <w:trPr>
          <w:trHeight w:val="83"/>
        </w:trPr>
        <w:tc>
          <w:tcPr>
            <w:tcW w:w="3327" w:type="dxa"/>
            <w:gridSpan w:val="2"/>
            <w:tcBorders>
              <w:top w:val="nil"/>
              <w:left w:val="nil"/>
              <w:bottom w:val="nil"/>
              <w:right w:val="nil"/>
            </w:tcBorders>
            <w:vAlign w:val="center"/>
          </w:tcPr>
          <w:p w14:paraId="095230AD" w14:textId="77777777" w:rsidR="00FA48AD" w:rsidRPr="00C64BA4" w:rsidRDefault="00FA48AD" w:rsidP="000F76E3">
            <w:pPr>
              <w:keepNext/>
              <w:keepLines/>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US Census Bureau</w:t>
            </w:r>
          </w:p>
        </w:tc>
      </w:tr>
    </w:tbl>
    <w:p w14:paraId="6724E5AE" w14:textId="3B405AFA" w:rsidR="00FB3623" w:rsidRPr="00C64BA4" w:rsidRDefault="09A70516" w:rsidP="000F76E3">
      <w:pPr>
        <w:keepNext/>
        <w:keepLines/>
        <w:spacing w:line="300" w:lineRule="auto"/>
        <w:jc w:val="both"/>
        <w:rPr>
          <w:rFonts w:eastAsia="Tw Cen MT" w:cs="Tw Cen MT"/>
          <w:lang w:val="en"/>
        </w:rPr>
      </w:pPr>
      <w:r w:rsidRPr="00C64BA4">
        <w:rPr>
          <w:rFonts w:eastAsia="Tw Cen MT" w:cs="Tw Cen MT"/>
          <w:lang w:val="en"/>
        </w:rPr>
        <w:t>A shortage of affordable housing in the state can lead to an increasing number of low-income households to suffer from housing instability. When housing demand and housing costs are high, low-income households may be less likely to be able to afford those costs or compete against households with greater purchasing power.</w:t>
      </w:r>
    </w:p>
    <w:p w14:paraId="0D3E97ED" w14:textId="0FE5055F" w:rsidR="00FB3623" w:rsidRPr="00C64BA4" w:rsidRDefault="09A70516" w:rsidP="00206C45">
      <w:pPr>
        <w:spacing w:line="300" w:lineRule="auto"/>
        <w:jc w:val="both"/>
        <w:rPr>
          <w:rFonts w:eastAsia="Tw Cen MT" w:cs="Tw Cen MT"/>
          <w:lang w:val="en"/>
        </w:rPr>
      </w:pPr>
      <w:r w:rsidRPr="00C64BA4">
        <w:rPr>
          <w:rFonts w:eastAsia="Tw Cen MT" w:cs="Tw Cen MT"/>
          <w:lang w:val="en"/>
        </w:rPr>
        <w:t>The US Census Bureau uses a set of nationwide income thresholds that vary by family size and composition to determine who is in poverty. The official poverty definition examines income before taxes and does not include capital gains or noncash benefits (such as public housing, Medicaid, or the Supplemental Nutrition Assistance Program). The measure is intended to weigh household income against costs to determine the minimum amount necessary to afford basic living expenses.</w:t>
      </w:r>
    </w:p>
    <w:p w14:paraId="74593EA9" w14:textId="320610F4" w:rsidR="00FA48AD" w:rsidRDefault="09A70516" w:rsidP="00206C45">
      <w:pPr>
        <w:spacing w:line="300" w:lineRule="auto"/>
        <w:jc w:val="both"/>
        <w:rPr>
          <w:rFonts w:eastAsia="Tw Cen MT" w:cs="Tw Cen MT"/>
          <w:lang w:val="en"/>
        </w:rPr>
      </w:pPr>
      <w:r w:rsidRPr="00C64BA4">
        <w:rPr>
          <w:rFonts w:eastAsia="Tw Cen MT" w:cs="Tw Cen MT"/>
          <w:lang w:val="en"/>
        </w:rPr>
        <w:t xml:space="preserve">Around 20,700 SNHPC residents, or close to 8% of the total population, live below the poverty threshold. The rate is slightly lower for the </w:t>
      </w:r>
      <w:proofErr w:type="gramStart"/>
      <w:r w:rsidRPr="00C64BA4">
        <w:rPr>
          <w:rFonts w:eastAsia="Tw Cen MT" w:cs="Tw Cen MT"/>
          <w:lang w:val="en"/>
        </w:rPr>
        <w:t>state as a whole</w:t>
      </w:r>
      <w:proofErr w:type="gramEnd"/>
      <w:r w:rsidRPr="00C64BA4">
        <w:rPr>
          <w:rFonts w:eastAsia="Tw Cen MT" w:cs="Tw Cen MT"/>
          <w:lang w:val="en"/>
        </w:rPr>
        <w:t>. Nearly 7 in 10 SNHPC low-income residents live in Manchester. While the vast majority of SNHPC low-income residents are White and not Hispanic or Latino, minority residents are more likely to be living below the poverty line. The poverty rate for Black or African American persons living in the SNHPC region is three and half times higher than it is for non-Hispanic White persons. Around 38,400 individuals in the SNHPC region, or 1 in 7, make less than 150% of the federal poverty threshold. 31,800 families with children under the age of 18, approximately 1 in 10, live below the poverty line. The figure is closer to 1 in 5 for the City of Manchester.</w:t>
      </w:r>
    </w:p>
    <w:p w14:paraId="2DC533BD" w14:textId="77777777" w:rsidR="00275B6A" w:rsidRPr="00C64BA4" w:rsidRDefault="00275B6A" w:rsidP="00206C45">
      <w:pPr>
        <w:spacing w:line="300" w:lineRule="auto"/>
        <w:jc w:val="both"/>
        <w:rPr>
          <w:rFonts w:eastAsia="Tw Cen MT" w:cs="Tw Cen MT"/>
          <w:lang w:val="en"/>
        </w:rPr>
      </w:pPr>
    </w:p>
    <w:p w14:paraId="6FDDB016" w14:textId="5C54B506" w:rsidR="00FB3623" w:rsidRDefault="09A70516" w:rsidP="000F76E3">
      <w:pPr>
        <w:pStyle w:val="Heading4"/>
        <w:keepNext/>
        <w:keepLines/>
        <w:spacing w:line="300" w:lineRule="auto"/>
        <w:rPr>
          <w:rFonts w:eastAsia="Tw Cen MT" w:cs="Tw Cen MT"/>
          <w:color w:val="003BB3"/>
          <w:lang w:val="en"/>
        </w:rPr>
      </w:pPr>
      <w:r w:rsidRPr="00C64BA4">
        <w:rPr>
          <w:rFonts w:eastAsia="Tw Cen MT" w:cs="Tw Cen MT"/>
          <w:color w:val="003BB3"/>
          <w:lang w:val="en"/>
        </w:rPr>
        <w:lastRenderedPageBreak/>
        <w:t>Minorities, Immigrants, &amp; the Limited English Proficient</w:t>
      </w:r>
    </w:p>
    <w:p w14:paraId="605C3067" w14:textId="0FEA9859" w:rsidR="00921975" w:rsidRDefault="00921975" w:rsidP="00921975">
      <w:pPr>
        <w:pStyle w:val="Caption"/>
        <w:keepNext/>
      </w:pPr>
      <w:bookmarkStart w:id="88" w:name="_Toc128137903"/>
      <w:r>
        <w:t xml:space="preserve">Table </w:t>
      </w:r>
      <w:r w:rsidR="0062538A">
        <w:fldChar w:fldCharType="begin"/>
      </w:r>
      <w:r w:rsidR="0062538A">
        <w:instrText xml:space="preserve"> SEQ Table \* ARABIC </w:instrText>
      </w:r>
      <w:r w:rsidR="0062538A">
        <w:fldChar w:fldCharType="separate"/>
      </w:r>
      <w:r w:rsidR="008B512A">
        <w:rPr>
          <w:noProof/>
        </w:rPr>
        <w:t>12</w:t>
      </w:r>
      <w:r w:rsidR="0062538A">
        <w:rPr>
          <w:noProof/>
        </w:rPr>
        <w:fldChar w:fldCharType="end"/>
      </w:r>
      <w:r>
        <w:t>: Percent Racial or Hispanic/Latino Minority</w:t>
      </w:r>
      <w:bookmarkEnd w:id="88"/>
    </w:p>
    <w:tbl>
      <w:tblPr>
        <w:tblStyle w:val="TableGrid"/>
        <w:tblpPr w:leftFromText="288" w:rightFromText="288" w:vertAnchor="text" w:horzAnchor="margin" w:tblpY="-28"/>
        <w:tblOverlap w:val="never"/>
        <w:tblW w:w="0" w:type="auto"/>
        <w:tblLayout w:type="fixed"/>
        <w:tblLook w:val="06A0" w:firstRow="1" w:lastRow="0" w:firstColumn="1" w:lastColumn="0" w:noHBand="1" w:noVBand="1"/>
      </w:tblPr>
      <w:tblGrid>
        <w:gridCol w:w="1728"/>
        <w:gridCol w:w="1404"/>
      </w:tblGrid>
      <w:tr w:rsidR="009E1E18" w:rsidRPr="00C64BA4" w14:paraId="77D34F0B" w14:textId="77777777" w:rsidTr="00F47168">
        <w:trPr>
          <w:trHeight w:val="300"/>
        </w:trPr>
        <w:tc>
          <w:tcPr>
            <w:tcW w:w="3132" w:type="dxa"/>
            <w:gridSpan w:val="2"/>
            <w:tcBorders>
              <w:top w:val="nil"/>
              <w:left w:val="nil"/>
              <w:bottom w:val="nil"/>
              <w:right w:val="nil"/>
            </w:tcBorders>
            <w:vAlign w:val="bottom"/>
          </w:tcPr>
          <w:p w14:paraId="0C140A14" w14:textId="5D6A914A" w:rsidR="009E1E18" w:rsidRPr="00C64BA4" w:rsidRDefault="00921975" w:rsidP="00F47168">
            <w:pPr>
              <w:keepNext/>
              <w:keepLines/>
              <w:spacing w:line="300" w:lineRule="auto"/>
              <w:jc w:val="center"/>
              <w:rPr>
                <w:rFonts w:eastAsia="Tw Cen MT" w:cs="Tw Cen MT"/>
                <w:b/>
                <w:bCs/>
                <w:color w:val="595959" w:themeColor="text1" w:themeTint="A6"/>
                <w:sz w:val="22"/>
                <w:szCs w:val="22"/>
              </w:rPr>
            </w:pPr>
            <w:r>
              <w:rPr>
                <w:rFonts w:eastAsia="Tw Cen MT" w:cs="Tw Cen MT"/>
                <w:b/>
                <w:bCs/>
                <w:color w:val="595959" w:themeColor="text1" w:themeTint="A6"/>
                <w:sz w:val="22"/>
                <w:szCs w:val="22"/>
              </w:rPr>
              <w:t>Percent</w:t>
            </w:r>
            <w:r w:rsidR="009E1E18" w:rsidRPr="00C64BA4">
              <w:rPr>
                <w:rFonts w:eastAsia="Tw Cen MT" w:cs="Tw Cen MT"/>
                <w:b/>
                <w:bCs/>
                <w:color w:val="595959" w:themeColor="text1" w:themeTint="A6"/>
                <w:sz w:val="22"/>
                <w:szCs w:val="22"/>
              </w:rPr>
              <w:t xml:space="preserve"> Racial or Hispanic/Latino Minority</w:t>
            </w:r>
          </w:p>
        </w:tc>
      </w:tr>
      <w:tr w:rsidR="009E1E18" w:rsidRPr="00C64BA4" w14:paraId="0D7A43A6" w14:textId="77777777" w:rsidTr="00F47168">
        <w:trPr>
          <w:trHeight w:val="300"/>
        </w:trPr>
        <w:tc>
          <w:tcPr>
            <w:tcW w:w="1728" w:type="dxa"/>
            <w:tcBorders>
              <w:top w:val="nil"/>
              <w:left w:val="nil"/>
              <w:bottom w:val="single" w:sz="8" w:space="0" w:color="auto"/>
              <w:right w:val="nil"/>
            </w:tcBorders>
            <w:vAlign w:val="bottom"/>
          </w:tcPr>
          <w:p w14:paraId="008C5887" w14:textId="77777777" w:rsidR="009E1E18" w:rsidRPr="00C64BA4" w:rsidRDefault="009E1E18" w:rsidP="00F47168">
            <w:pPr>
              <w:keepNext/>
              <w:keepLines/>
              <w:spacing w:line="300" w:lineRule="auto"/>
              <w:rPr>
                <w:rFonts w:eastAsia="Tw Cen MT" w:cs="Tw Cen MT"/>
                <w:color w:val="000000" w:themeColor="text1"/>
                <w:sz w:val="22"/>
                <w:szCs w:val="22"/>
              </w:rPr>
            </w:pPr>
            <w:r w:rsidRPr="00C64BA4">
              <w:rPr>
                <w:rFonts w:eastAsia="Tw Cen MT" w:cs="Tw Cen MT"/>
                <w:color w:val="000000" w:themeColor="text1"/>
                <w:sz w:val="22"/>
                <w:szCs w:val="22"/>
              </w:rPr>
              <w:t xml:space="preserve"> </w:t>
            </w:r>
          </w:p>
        </w:tc>
        <w:tc>
          <w:tcPr>
            <w:tcW w:w="1404" w:type="dxa"/>
            <w:tcBorders>
              <w:top w:val="nil"/>
              <w:left w:val="nil"/>
              <w:bottom w:val="single" w:sz="8" w:space="0" w:color="auto"/>
              <w:right w:val="nil"/>
            </w:tcBorders>
            <w:vAlign w:val="bottom"/>
          </w:tcPr>
          <w:p w14:paraId="232CEC84" w14:textId="77777777" w:rsidR="009E1E18" w:rsidRPr="00C64BA4" w:rsidRDefault="009E1E18" w:rsidP="00F47168">
            <w:pPr>
              <w:keepNext/>
              <w:keepLines/>
              <w:spacing w:line="300" w:lineRule="auto"/>
              <w:jc w:val="center"/>
              <w:rPr>
                <w:rFonts w:eastAsia="Tw Cen MT" w:cs="Tw Cen MT"/>
                <w:b/>
                <w:bCs/>
                <w:color w:val="595959" w:themeColor="text1" w:themeTint="A6"/>
                <w:sz w:val="22"/>
                <w:szCs w:val="22"/>
              </w:rPr>
            </w:pPr>
            <w:r w:rsidRPr="00C64BA4">
              <w:rPr>
                <w:rFonts w:eastAsia="Tw Cen MT" w:cs="Tw Cen MT"/>
                <w:b/>
                <w:bCs/>
                <w:color w:val="595959" w:themeColor="text1" w:themeTint="A6"/>
                <w:sz w:val="22"/>
                <w:szCs w:val="22"/>
              </w:rPr>
              <w:t>2020</w:t>
            </w:r>
          </w:p>
        </w:tc>
      </w:tr>
      <w:tr w:rsidR="009E1E18" w:rsidRPr="00C64BA4" w14:paraId="2557D005" w14:textId="77777777" w:rsidTr="00F47168">
        <w:trPr>
          <w:trHeight w:val="465"/>
        </w:trPr>
        <w:tc>
          <w:tcPr>
            <w:tcW w:w="1728" w:type="dxa"/>
            <w:tcBorders>
              <w:top w:val="single" w:sz="8" w:space="0" w:color="auto"/>
              <w:left w:val="nil"/>
              <w:bottom w:val="single" w:sz="8" w:space="0" w:color="auto"/>
              <w:right w:val="nil"/>
            </w:tcBorders>
            <w:vAlign w:val="center"/>
          </w:tcPr>
          <w:p w14:paraId="2681DF0E"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Auburn</w:t>
            </w:r>
          </w:p>
        </w:tc>
        <w:tc>
          <w:tcPr>
            <w:tcW w:w="1404" w:type="dxa"/>
            <w:tcBorders>
              <w:top w:val="single" w:sz="8" w:space="0" w:color="auto"/>
              <w:left w:val="nil"/>
              <w:bottom w:val="nil"/>
              <w:right w:val="nil"/>
            </w:tcBorders>
            <w:vAlign w:val="center"/>
          </w:tcPr>
          <w:p w14:paraId="5F56F091"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8%</w:t>
            </w:r>
          </w:p>
        </w:tc>
      </w:tr>
      <w:tr w:rsidR="009E1E18" w:rsidRPr="00C64BA4" w14:paraId="3C9C7E40" w14:textId="77777777" w:rsidTr="00F47168">
        <w:trPr>
          <w:trHeight w:val="300"/>
        </w:trPr>
        <w:tc>
          <w:tcPr>
            <w:tcW w:w="1728" w:type="dxa"/>
            <w:tcBorders>
              <w:top w:val="single" w:sz="8" w:space="0" w:color="auto"/>
              <w:left w:val="nil"/>
              <w:bottom w:val="single" w:sz="8" w:space="0" w:color="auto"/>
              <w:right w:val="nil"/>
            </w:tcBorders>
            <w:shd w:val="clear" w:color="auto" w:fill="E7E6E6"/>
            <w:vAlign w:val="center"/>
          </w:tcPr>
          <w:p w14:paraId="34D409D0"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Bedford</w:t>
            </w:r>
          </w:p>
        </w:tc>
        <w:tc>
          <w:tcPr>
            <w:tcW w:w="1404" w:type="dxa"/>
            <w:tcBorders>
              <w:top w:val="single" w:sz="8" w:space="0" w:color="auto"/>
              <w:left w:val="nil"/>
              <w:bottom w:val="single" w:sz="8" w:space="0" w:color="auto"/>
              <w:right w:val="nil"/>
            </w:tcBorders>
            <w:shd w:val="clear" w:color="auto" w:fill="E7E6E6"/>
            <w:vAlign w:val="center"/>
          </w:tcPr>
          <w:p w14:paraId="45893AAB"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14%</w:t>
            </w:r>
          </w:p>
        </w:tc>
      </w:tr>
      <w:tr w:rsidR="009E1E18" w:rsidRPr="00C64BA4" w14:paraId="5AC8D24C" w14:textId="77777777" w:rsidTr="00F47168">
        <w:trPr>
          <w:trHeight w:val="300"/>
        </w:trPr>
        <w:tc>
          <w:tcPr>
            <w:tcW w:w="1728" w:type="dxa"/>
            <w:tcBorders>
              <w:top w:val="single" w:sz="8" w:space="0" w:color="auto"/>
              <w:left w:val="nil"/>
              <w:bottom w:val="single" w:sz="8" w:space="0" w:color="auto"/>
              <w:right w:val="nil"/>
            </w:tcBorders>
            <w:vAlign w:val="center"/>
          </w:tcPr>
          <w:p w14:paraId="5AA425B4"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Candia</w:t>
            </w:r>
          </w:p>
        </w:tc>
        <w:tc>
          <w:tcPr>
            <w:tcW w:w="1404" w:type="dxa"/>
            <w:tcBorders>
              <w:top w:val="single" w:sz="8" w:space="0" w:color="auto"/>
              <w:left w:val="nil"/>
              <w:bottom w:val="nil"/>
              <w:right w:val="nil"/>
            </w:tcBorders>
            <w:vAlign w:val="center"/>
          </w:tcPr>
          <w:p w14:paraId="66475D07"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8%</w:t>
            </w:r>
          </w:p>
        </w:tc>
      </w:tr>
      <w:tr w:rsidR="009E1E18" w:rsidRPr="00C64BA4" w14:paraId="0BCD3702" w14:textId="77777777" w:rsidTr="00F47168">
        <w:trPr>
          <w:trHeight w:val="300"/>
        </w:trPr>
        <w:tc>
          <w:tcPr>
            <w:tcW w:w="1728" w:type="dxa"/>
            <w:tcBorders>
              <w:top w:val="single" w:sz="8" w:space="0" w:color="auto"/>
              <w:left w:val="nil"/>
              <w:bottom w:val="single" w:sz="8" w:space="0" w:color="auto"/>
              <w:right w:val="nil"/>
            </w:tcBorders>
            <w:shd w:val="clear" w:color="auto" w:fill="E7E6E6"/>
            <w:vAlign w:val="center"/>
          </w:tcPr>
          <w:p w14:paraId="65389801"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Chester</w:t>
            </w:r>
          </w:p>
        </w:tc>
        <w:tc>
          <w:tcPr>
            <w:tcW w:w="1404" w:type="dxa"/>
            <w:tcBorders>
              <w:top w:val="single" w:sz="8" w:space="0" w:color="auto"/>
              <w:left w:val="nil"/>
              <w:bottom w:val="single" w:sz="8" w:space="0" w:color="auto"/>
              <w:right w:val="nil"/>
            </w:tcBorders>
            <w:shd w:val="clear" w:color="auto" w:fill="E7E6E6"/>
            <w:vAlign w:val="center"/>
          </w:tcPr>
          <w:p w14:paraId="472C5BDE"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7%</w:t>
            </w:r>
          </w:p>
        </w:tc>
      </w:tr>
      <w:tr w:rsidR="009E1E18" w:rsidRPr="00C64BA4" w14:paraId="599B90CB" w14:textId="77777777" w:rsidTr="00F47168">
        <w:trPr>
          <w:trHeight w:val="300"/>
        </w:trPr>
        <w:tc>
          <w:tcPr>
            <w:tcW w:w="1728" w:type="dxa"/>
            <w:tcBorders>
              <w:top w:val="single" w:sz="8" w:space="0" w:color="auto"/>
              <w:left w:val="nil"/>
              <w:bottom w:val="single" w:sz="8" w:space="0" w:color="auto"/>
              <w:right w:val="nil"/>
            </w:tcBorders>
            <w:vAlign w:val="center"/>
          </w:tcPr>
          <w:p w14:paraId="5AC3F5A8"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Deerfield</w:t>
            </w:r>
          </w:p>
        </w:tc>
        <w:tc>
          <w:tcPr>
            <w:tcW w:w="1404" w:type="dxa"/>
            <w:tcBorders>
              <w:top w:val="single" w:sz="8" w:space="0" w:color="auto"/>
              <w:left w:val="nil"/>
              <w:bottom w:val="nil"/>
              <w:right w:val="nil"/>
            </w:tcBorders>
            <w:vAlign w:val="center"/>
          </w:tcPr>
          <w:p w14:paraId="2AB41522"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6%</w:t>
            </w:r>
          </w:p>
        </w:tc>
      </w:tr>
      <w:tr w:rsidR="009E1E18" w:rsidRPr="00C64BA4" w14:paraId="550E5D11" w14:textId="77777777" w:rsidTr="00F47168">
        <w:trPr>
          <w:trHeight w:val="300"/>
        </w:trPr>
        <w:tc>
          <w:tcPr>
            <w:tcW w:w="1728" w:type="dxa"/>
            <w:tcBorders>
              <w:top w:val="single" w:sz="8" w:space="0" w:color="auto"/>
              <w:left w:val="nil"/>
              <w:bottom w:val="single" w:sz="8" w:space="0" w:color="auto"/>
              <w:right w:val="nil"/>
            </w:tcBorders>
            <w:shd w:val="clear" w:color="auto" w:fill="E7E6E6"/>
            <w:vAlign w:val="center"/>
          </w:tcPr>
          <w:p w14:paraId="400E949D"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Derry</w:t>
            </w:r>
          </w:p>
        </w:tc>
        <w:tc>
          <w:tcPr>
            <w:tcW w:w="1404" w:type="dxa"/>
            <w:tcBorders>
              <w:top w:val="single" w:sz="8" w:space="0" w:color="auto"/>
              <w:left w:val="nil"/>
              <w:bottom w:val="single" w:sz="8" w:space="0" w:color="auto"/>
              <w:right w:val="nil"/>
            </w:tcBorders>
            <w:shd w:val="clear" w:color="auto" w:fill="E7E6E6"/>
            <w:vAlign w:val="center"/>
          </w:tcPr>
          <w:p w14:paraId="0A680ED9"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12%</w:t>
            </w:r>
          </w:p>
        </w:tc>
      </w:tr>
      <w:tr w:rsidR="009E1E18" w:rsidRPr="00C64BA4" w14:paraId="75793316" w14:textId="77777777" w:rsidTr="00F47168">
        <w:trPr>
          <w:trHeight w:val="300"/>
        </w:trPr>
        <w:tc>
          <w:tcPr>
            <w:tcW w:w="1728" w:type="dxa"/>
            <w:tcBorders>
              <w:top w:val="single" w:sz="8" w:space="0" w:color="auto"/>
              <w:left w:val="nil"/>
              <w:bottom w:val="single" w:sz="8" w:space="0" w:color="auto"/>
              <w:right w:val="nil"/>
            </w:tcBorders>
            <w:vAlign w:val="center"/>
          </w:tcPr>
          <w:p w14:paraId="231544E5" w14:textId="77777777" w:rsidR="009E1E18" w:rsidRPr="00C64BA4" w:rsidRDefault="009E1E18" w:rsidP="00F47168">
            <w:pPr>
              <w:keepNext/>
              <w:keepLines/>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Francestown</w:t>
            </w:r>
            <w:proofErr w:type="spellEnd"/>
          </w:p>
        </w:tc>
        <w:tc>
          <w:tcPr>
            <w:tcW w:w="1404" w:type="dxa"/>
            <w:tcBorders>
              <w:top w:val="single" w:sz="8" w:space="0" w:color="auto"/>
              <w:left w:val="nil"/>
              <w:bottom w:val="nil"/>
              <w:right w:val="nil"/>
            </w:tcBorders>
            <w:vAlign w:val="center"/>
          </w:tcPr>
          <w:p w14:paraId="0200D85E"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6%</w:t>
            </w:r>
          </w:p>
        </w:tc>
      </w:tr>
      <w:tr w:rsidR="009E1E18" w:rsidRPr="00C64BA4" w14:paraId="7751148E" w14:textId="77777777" w:rsidTr="00F47168">
        <w:trPr>
          <w:trHeight w:val="300"/>
        </w:trPr>
        <w:tc>
          <w:tcPr>
            <w:tcW w:w="1728" w:type="dxa"/>
            <w:tcBorders>
              <w:top w:val="single" w:sz="8" w:space="0" w:color="auto"/>
              <w:left w:val="nil"/>
              <w:bottom w:val="single" w:sz="8" w:space="0" w:color="auto"/>
              <w:right w:val="nil"/>
            </w:tcBorders>
            <w:shd w:val="clear" w:color="auto" w:fill="E7E6E6"/>
            <w:vAlign w:val="center"/>
          </w:tcPr>
          <w:p w14:paraId="45A9C1E3"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Goffstown</w:t>
            </w:r>
          </w:p>
        </w:tc>
        <w:tc>
          <w:tcPr>
            <w:tcW w:w="1404" w:type="dxa"/>
            <w:tcBorders>
              <w:top w:val="single" w:sz="8" w:space="0" w:color="auto"/>
              <w:left w:val="nil"/>
              <w:bottom w:val="single" w:sz="8" w:space="0" w:color="auto"/>
              <w:right w:val="nil"/>
            </w:tcBorders>
            <w:shd w:val="clear" w:color="auto" w:fill="E7E6E6"/>
            <w:vAlign w:val="center"/>
          </w:tcPr>
          <w:p w14:paraId="1C800BCA"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10%</w:t>
            </w:r>
          </w:p>
        </w:tc>
      </w:tr>
      <w:tr w:rsidR="009E1E18" w:rsidRPr="00C64BA4" w14:paraId="75E8D080" w14:textId="77777777" w:rsidTr="00F47168">
        <w:trPr>
          <w:trHeight w:val="300"/>
        </w:trPr>
        <w:tc>
          <w:tcPr>
            <w:tcW w:w="1728" w:type="dxa"/>
            <w:tcBorders>
              <w:top w:val="single" w:sz="8" w:space="0" w:color="auto"/>
              <w:left w:val="nil"/>
              <w:bottom w:val="single" w:sz="8" w:space="0" w:color="auto"/>
              <w:right w:val="nil"/>
            </w:tcBorders>
            <w:vAlign w:val="center"/>
          </w:tcPr>
          <w:p w14:paraId="7C8E730F"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Hooksett</w:t>
            </w:r>
          </w:p>
        </w:tc>
        <w:tc>
          <w:tcPr>
            <w:tcW w:w="1404" w:type="dxa"/>
            <w:tcBorders>
              <w:top w:val="single" w:sz="8" w:space="0" w:color="auto"/>
              <w:left w:val="nil"/>
              <w:bottom w:val="nil"/>
              <w:right w:val="nil"/>
            </w:tcBorders>
            <w:vAlign w:val="center"/>
          </w:tcPr>
          <w:p w14:paraId="7FE100CE"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12%</w:t>
            </w:r>
          </w:p>
        </w:tc>
      </w:tr>
      <w:tr w:rsidR="009E1E18" w:rsidRPr="00C64BA4" w14:paraId="4DABE94B" w14:textId="77777777" w:rsidTr="00F47168">
        <w:trPr>
          <w:trHeight w:val="300"/>
        </w:trPr>
        <w:tc>
          <w:tcPr>
            <w:tcW w:w="1728" w:type="dxa"/>
            <w:tcBorders>
              <w:top w:val="single" w:sz="8" w:space="0" w:color="auto"/>
              <w:left w:val="nil"/>
              <w:bottom w:val="single" w:sz="8" w:space="0" w:color="auto"/>
              <w:right w:val="nil"/>
            </w:tcBorders>
            <w:shd w:val="clear" w:color="auto" w:fill="E7E6E6"/>
            <w:vAlign w:val="center"/>
          </w:tcPr>
          <w:p w14:paraId="7F93AD77"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Londonderry</w:t>
            </w:r>
          </w:p>
        </w:tc>
        <w:tc>
          <w:tcPr>
            <w:tcW w:w="1404" w:type="dxa"/>
            <w:tcBorders>
              <w:top w:val="single" w:sz="8" w:space="0" w:color="auto"/>
              <w:left w:val="nil"/>
              <w:bottom w:val="single" w:sz="8" w:space="0" w:color="auto"/>
              <w:right w:val="nil"/>
            </w:tcBorders>
            <w:shd w:val="clear" w:color="auto" w:fill="E7E6E6"/>
            <w:vAlign w:val="center"/>
          </w:tcPr>
          <w:p w14:paraId="5F72AEE1"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11%</w:t>
            </w:r>
          </w:p>
        </w:tc>
      </w:tr>
      <w:tr w:rsidR="009E1E18" w:rsidRPr="00C64BA4" w14:paraId="4994BCBC" w14:textId="77777777" w:rsidTr="00F47168">
        <w:trPr>
          <w:trHeight w:val="300"/>
        </w:trPr>
        <w:tc>
          <w:tcPr>
            <w:tcW w:w="1728" w:type="dxa"/>
            <w:tcBorders>
              <w:top w:val="single" w:sz="8" w:space="0" w:color="auto"/>
              <w:left w:val="nil"/>
              <w:bottom w:val="single" w:sz="8" w:space="0" w:color="auto"/>
              <w:right w:val="nil"/>
            </w:tcBorders>
            <w:vAlign w:val="center"/>
          </w:tcPr>
          <w:p w14:paraId="5721D03D"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Manchester</w:t>
            </w:r>
          </w:p>
        </w:tc>
        <w:tc>
          <w:tcPr>
            <w:tcW w:w="1404" w:type="dxa"/>
            <w:tcBorders>
              <w:top w:val="single" w:sz="8" w:space="0" w:color="auto"/>
              <w:left w:val="nil"/>
              <w:bottom w:val="nil"/>
              <w:right w:val="nil"/>
            </w:tcBorders>
            <w:vAlign w:val="center"/>
          </w:tcPr>
          <w:p w14:paraId="473EA6E0"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26%</w:t>
            </w:r>
          </w:p>
        </w:tc>
      </w:tr>
      <w:tr w:rsidR="009E1E18" w:rsidRPr="00C64BA4" w14:paraId="4E1F8B34" w14:textId="77777777" w:rsidTr="00F47168">
        <w:trPr>
          <w:trHeight w:val="300"/>
        </w:trPr>
        <w:tc>
          <w:tcPr>
            <w:tcW w:w="1728" w:type="dxa"/>
            <w:tcBorders>
              <w:top w:val="single" w:sz="8" w:space="0" w:color="auto"/>
              <w:left w:val="nil"/>
              <w:bottom w:val="single" w:sz="8" w:space="0" w:color="auto"/>
              <w:right w:val="nil"/>
            </w:tcBorders>
            <w:shd w:val="clear" w:color="auto" w:fill="E7E6E6"/>
            <w:vAlign w:val="center"/>
          </w:tcPr>
          <w:p w14:paraId="6A195E92"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New Boston</w:t>
            </w:r>
          </w:p>
        </w:tc>
        <w:tc>
          <w:tcPr>
            <w:tcW w:w="1404" w:type="dxa"/>
            <w:tcBorders>
              <w:top w:val="single" w:sz="8" w:space="0" w:color="auto"/>
              <w:left w:val="nil"/>
              <w:bottom w:val="single" w:sz="8" w:space="0" w:color="auto"/>
              <w:right w:val="nil"/>
            </w:tcBorders>
            <w:shd w:val="clear" w:color="auto" w:fill="E7E6E6"/>
            <w:vAlign w:val="center"/>
          </w:tcPr>
          <w:p w14:paraId="6A4E04EB"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8%</w:t>
            </w:r>
          </w:p>
        </w:tc>
      </w:tr>
      <w:tr w:rsidR="009E1E18" w:rsidRPr="00C64BA4" w14:paraId="583815E0" w14:textId="77777777" w:rsidTr="00F47168">
        <w:trPr>
          <w:trHeight w:val="300"/>
        </w:trPr>
        <w:tc>
          <w:tcPr>
            <w:tcW w:w="1728" w:type="dxa"/>
            <w:tcBorders>
              <w:top w:val="single" w:sz="8" w:space="0" w:color="auto"/>
              <w:left w:val="nil"/>
              <w:bottom w:val="single" w:sz="8" w:space="0" w:color="auto"/>
              <w:right w:val="nil"/>
            </w:tcBorders>
            <w:vAlign w:val="center"/>
          </w:tcPr>
          <w:p w14:paraId="2B2C2FF2" w14:textId="77777777" w:rsidR="009E1E18" w:rsidRPr="00C64BA4" w:rsidRDefault="009E1E18" w:rsidP="00F47168">
            <w:pPr>
              <w:keepNext/>
              <w:keepLines/>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Weare</w:t>
            </w:r>
            <w:proofErr w:type="spellEnd"/>
          </w:p>
        </w:tc>
        <w:tc>
          <w:tcPr>
            <w:tcW w:w="1404" w:type="dxa"/>
            <w:tcBorders>
              <w:top w:val="single" w:sz="8" w:space="0" w:color="auto"/>
              <w:left w:val="nil"/>
              <w:bottom w:val="single" w:sz="8" w:space="0" w:color="auto"/>
              <w:right w:val="nil"/>
            </w:tcBorders>
            <w:vAlign w:val="center"/>
          </w:tcPr>
          <w:p w14:paraId="59381986"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7%</w:t>
            </w:r>
          </w:p>
        </w:tc>
      </w:tr>
      <w:tr w:rsidR="009E1E18" w:rsidRPr="00C64BA4" w14:paraId="1CACF707" w14:textId="77777777" w:rsidTr="00F47168">
        <w:trPr>
          <w:trHeight w:val="315"/>
        </w:trPr>
        <w:tc>
          <w:tcPr>
            <w:tcW w:w="1728" w:type="dxa"/>
            <w:tcBorders>
              <w:top w:val="single" w:sz="8" w:space="0" w:color="auto"/>
              <w:left w:val="nil"/>
              <w:bottom w:val="single" w:sz="12" w:space="0" w:color="404040" w:themeColor="text1" w:themeTint="BF"/>
              <w:right w:val="nil"/>
            </w:tcBorders>
            <w:shd w:val="clear" w:color="auto" w:fill="E7E6E6"/>
            <w:vAlign w:val="center"/>
          </w:tcPr>
          <w:p w14:paraId="7AAC174D"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Windham</w:t>
            </w:r>
          </w:p>
        </w:tc>
        <w:tc>
          <w:tcPr>
            <w:tcW w:w="1404" w:type="dxa"/>
            <w:tcBorders>
              <w:top w:val="single" w:sz="8" w:space="0" w:color="auto"/>
              <w:left w:val="nil"/>
              <w:bottom w:val="single" w:sz="12" w:space="0" w:color="404040" w:themeColor="text1" w:themeTint="BF"/>
              <w:right w:val="nil"/>
            </w:tcBorders>
            <w:shd w:val="clear" w:color="auto" w:fill="E7E6E6"/>
            <w:vAlign w:val="center"/>
          </w:tcPr>
          <w:p w14:paraId="3706D883"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12%</w:t>
            </w:r>
          </w:p>
        </w:tc>
      </w:tr>
      <w:tr w:rsidR="009E1E18" w:rsidRPr="00C64BA4" w14:paraId="6DB4F67B" w14:textId="77777777" w:rsidTr="00F47168">
        <w:trPr>
          <w:trHeight w:val="315"/>
        </w:trPr>
        <w:tc>
          <w:tcPr>
            <w:tcW w:w="1728" w:type="dxa"/>
            <w:tcBorders>
              <w:top w:val="single" w:sz="12" w:space="0" w:color="404040" w:themeColor="text1" w:themeTint="BF"/>
              <w:left w:val="nil"/>
              <w:bottom w:val="single" w:sz="12" w:space="0" w:color="404040" w:themeColor="text1" w:themeTint="BF"/>
              <w:right w:val="nil"/>
            </w:tcBorders>
            <w:vAlign w:val="center"/>
          </w:tcPr>
          <w:p w14:paraId="328D8E6D"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SNHPC</w:t>
            </w:r>
          </w:p>
        </w:tc>
        <w:tc>
          <w:tcPr>
            <w:tcW w:w="1404" w:type="dxa"/>
            <w:tcBorders>
              <w:top w:val="single" w:sz="12" w:space="0" w:color="404040" w:themeColor="text1" w:themeTint="BF"/>
              <w:left w:val="nil"/>
              <w:bottom w:val="single" w:sz="12" w:space="0" w:color="404040" w:themeColor="text1" w:themeTint="BF"/>
              <w:right w:val="nil"/>
            </w:tcBorders>
            <w:vAlign w:val="center"/>
          </w:tcPr>
          <w:p w14:paraId="7B9DBEFD"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17%</w:t>
            </w:r>
          </w:p>
        </w:tc>
      </w:tr>
      <w:tr w:rsidR="009E1E18" w:rsidRPr="00C64BA4" w14:paraId="328D1546" w14:textId="77777777" w:rsidTr="00F47168">
        <w:trPr>
          <w:trHeight w:val="300"/>
        </w:trPr>
        <w:tc>
          <w:tcPr>
            <w:tcW w:w="1728" w:type="dxa"/>
            <w:tcBorders>
              <w:top w:val="single" w:sz="12" w:space="0" w:color="404040" w:themeColor="text1" w:themeTint="BF"/>
              <w:left w:val="nil"/>
              <w:bottom w:val="nil"/>
              <w:right w:val="nil"/>
            </w:tcBorders>
            <w:shd w:val="clear" w:color="auto" w:fill="E7E6E6"/>
            <w:vAlign w:val="center"/>
          </w:tcPr>
          <w:p w14:paraId="5260AF37"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NH</w:t>
            </w:r>
          </w:p>
        </w:tc>
        <w:tc>
          <w:tcPr>
            <w:tcW w:w="1404" w:type="dxa"/>
            <w:tcBorders>
              <w:top w:val="single" w:sz="12" w:space="0" w:color="404040" w:themeColor="text1" w:themeTint="BF"/>
              <w:left w:val="nil"/>
              <w:bottom w:val="nil"/>
              <w:right w:val="nil"/>
            </w:tcBorders>
            <w:shd w:val="clear" w:color="auto" w:fill="E7E6E6"/>
            <w:vAlign w:val="center"/>
          </w:tcPr>
          <w:p w14:paraId="622EA56C" w14:textId="77777777" w:rsidR="009E1E18" w:rsidRPr="00C64BA4" w:rsidRDefault="009E1E18" w:rsidP="00F47168">
            <w:pPr>
              <w:keepNext/>
              <w:keepLines/>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13%</w:t>
            </w:r>
          </w:p>
        </w:tc>
      </w:tr>
      <w:tr w:rsidR="009E1E18" w:rsidRPr="00C64BA4" w14:paraId="6C2A131A" w14:textId="77777777" w:rsidTr="00F47168">
        <w:trPr>
          <w:trHeight w:val="83"/>
        </w:trPr>
        <w:tc>
          <w:tcPr>
            <w:tcW w:w="3132" w:type="dxa"/>
            <w:gridSpan w:val="2"/>
            <w:tcBorders>
              <w:top w:val="nil"/>
              <w:left w:val="nil"/>
              <w:bottom w:val="nil"/>
              <w:right w:val="nil"/>
            </w:tcBorders>
            <w:vAlign w:val="center"/>
          </w:tcPr>
          <w:p w14:paraId="6975EDA0" w14:textId="77777777" w:rsidR="009E1E18" w:rsidRPr="00C64BA4" w:rsidRDefault="009E1E18" w:rsidP="00F47168">
            <w:pPr>
              <w:keepNext/>
              <w:keepLines/>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Decennial Census</w:t>
            </w:r>
          </w:p>
        </w:tc>
      </w:tr>
      <w:tr w:rsidR="009E1E18" w:rsidRPr="00C64BA4" w14:paraId="17FB803C" w14:textId="77777777" w:rsidTr="00F47168">
        <w:trPr>
          <w:trHeight w:val="100"/>
        </w:trPr>
        <w:tc>
          <w:tcPr>
            <w:tcW w:w="3132" w:type="dxa"/>
            <w:gridSpan w:val="2"/>
            <w:tcBorders>
              <w:top w:val="nil"/>
              <w:left w:val="nil"/>
              <w:bottom w:val="nil"/>
              <w:right w:val="nil"/>
            </w:tcBorders>
            <w:vAlign w:val="center"/>
          </w:tcPr>
          <w:p w14:paraId="252BAF94" w14:textId="77777777" w:rsidR="009E1E18" w:rsidRPr="00C64BA4" w:rsidRDefault="009E1E18" w:rsidP="00F47168">
            <w:pPr>
              <w:keepNext/>
              <w:keepLines/>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US Census Bureau</w:t>
            </w:r>
          </w:p>
        </w:tc>
      </w:tr>
    </w:tbl>
    <w:p w14:paraId="4F0B6766" w14:textId="20AC133D" w:rsidR="00FB3623" w:rsidRPr="00C64BA4" w:rsidRDefault="09A70516" w:rsidP="000F76E3">
      <w:pPr>
        <w:keepNext/>
        <w:keepLines/>
        <w:spacing w:line="300" w:lineRule="auto"/>
        <w:jc w:val="both"/>
        <w:rPr>
          <w:rFonts w:eastAsia="Tw Cen MT" w:cs="Tw Cen MT"/>
          <w:lang w:val="en"/>
        </w:rPr>
      </w:pPr>
      <w:r w:rsidRPr="00C64BA4">
        <w:rPr>
          <w:rFonts w:eastAsia="Tw Cen MT" w:cs="Tw Cen MT"/>
          <w:lang w:val="en"/>
        </w:rPr>
        <w:t xml:space="preserve">Housing discrimination based on race, color, or national origin has been illegal nationally since 1968. However, instances still occur and are often difficult to monitor and prosecute. Minorities and immigrants also frequently face additional challenges in the housing market as they many times have smaller financial means than the </w:t>
      </w:r>
      <w:proofErr w:type="gramStart"/>
      <w:r w:rsidRPr="00C64BA4">
        <w:rPr>
          <w:rFonts w:eastAsia="Tw Cen MT" w:cs="Tw Cen MT"/>
          <w:lang w:val="en"/>
        </w:rPr>
        <w:t>general public</w:t>
      </w:r>
      <w:proofErr w:type="gramEnd"/>
      <w:r w:rsidRPr="00C64BA4">
        <w:rPr>
          <w:rFonts w:eastAsia="Tw Cen MT" w:cs="Tw Cen MT"/>
          <w:lang w:val="en"/>
        </w:rPr>
        <w:t>. In the SNHPC region, 48,300 individuals, 17%, are a racial or Hispanic/Latino ethnicity minority. Around 60% live in Manchester and higher concentrations of Black or Latino residents are found in the city. Regionwide, Hispanics and Latinos of any race are the largest group with 19,400 residents followed by 11,200 residents of two or more races.</w:t>
      </w:r>
    </w:p>
    <w:p w14:paraId="4651481E" w14:textId="2551143E" w:rsidR="000F76E3" w:rsidRDefault="000F76E3" w:rsidP="00206C45">
      <w:pPr>
        <w:spacing w:line="300" w:lineRule="auto"/>
        <w:jc w:val="both"/>
        <w:rPr>
          <w:rFonts w:eastAsia="Tw Cen MT" w:cs="Tw Cen MT"/>
          <w:lang w:val="en"/>
        </w:rPr>
      </w:pPr>
      <w:r w:rsidRPr="00C64BA4">
        <w:rPr>
          <w:noProof/>
        </w:rPr>
        <w:drawing>
          <wp:anchor distT="0" distB="0" distL="114300" distR="114300" simplePos="0" relativeHeight="251675648" behindDoc="0" locked="0" layoutInCell="1" allowOverlap="1" wp14:anchorId="68EA0288" wp14:editId="3E994C86">
            <wp:simplePos x="0" y="0"/>
            <wp:positionH relativeFrom="column">
              <wp:posOffset>3780089</wp:posOffset>
            </wp:positionH>
            <wp:positionV relativeFrom="paragraph">
              <wp:posOffset>1792324</wp:posOffset>
            </wp:positionV>
            <wp:extent cx="2430397" cy="2430397"/>
            <wp:effectExtent l="0" t="0" r="8255" b="8255"/>
            <wp:wrapSquare wrapText="bothSides"/>
            <wp:docPr id="12" name="Picture 1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pie char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30397" cy="2430397"/>
                    </a:xfrm>
                    <a:prstGeom prst="rect">
                      <a:avLst/>
                    </a:prstGeom>
                    <a:noFill/>
                  </pic:spPr>
                </pic:pic>
              </a:graphicData>
            </a:graphic>
            <wp14:sizeRelH relativeFrom="page">
              <wp14:pctWidth>0</wp14:pctWidth>
            </wp14:sizeRelH>
            <wp14:sizeRelV relativeFrom="page">
              <wp14:pctHeight>0</wp14:pctHeight>
            </wp14:sizeRelV>
          </wp:anchor>
        </w:drawing>
      </w:r>
      <w:r w:rsidR="09A70516" w:rsidRPr="00C64BA4">
        <w:rPr>
          <w:rFonts w:eastAsia="Tw Cen MT" w:cs="Tw Cen MT"/>
          <w:lang w:val="en"/>
        </w:rPr>
        <w:t xml:space="preserve">Immigration numbers are only known for Manchester as they are not tracked for smaller municipalities. Around 16,400 Manchester residents, 1 in 7, are foreign-born with 5,800 having arrived since 2010. For the counties that SNHPC is a part of </w:t>
      </w:r>
      <w:r w:rsidR="00CA6863">
        <w:rPr>
          <w:rFonts w:eastAsia="Tw Cen MT" w:cs="Tw Cen MT"/>
          <w:lang w:val="en"/>
        </w:rPr>
        <w:t>(</w:t>
      </w:r>
      <w:r w:rsidR="09A70516" w:rsidRPr="00C64BA4">
        <w:rPr>
          <w:rFonts w:eastAsia="Tw Cen MT" w:cs="Tw Cen MT"/>
          <w:lang w:val="en"/>
        </w:rPr>
        <w:t>Hillsborough, Merrimack, and Rockingham</w:t>
      </w:r>
      <w:r w:rsidR="00CA6863">
        <w:rPr>
          <w:rFonts w:eastAsia="Tw Cen MT" w:cs="Tw Cen MT"/>
          <w:lang w:val="en"/>
        </w:rPr>
        <w:t>)</w:t>
      </w:r>
      <w:r w:rsidR="09A70516" w:rsidRPr="00C64BA4">
        <w:rPr>
          <w:rFonts w:eastAsia="Tw Cen MT" w:cs="Tw Cen MT"/>
          <w:lang w:val="en"/>
        </w:rPr>
        <w:t>, 64,100 or 7% of residents are foreign-born with 17,300 arriving since 2010. Numbers on refugees are more limited. Typically</w:t>
      </w:r>
      <w:r w:rsidR="000E6746">
        <w:rPr>
          <w:rFonts w:eastAsia="Tw Cen MT" w:cs="Tw Cen MT"/>
          <w:lang w:val="en"/>
        </w:rPr>
        <w:t>,</w:t>
      </w:r>
      <w:r w:rsidR="09A70516" w:rsidRPr="00C64BA4">
        <w:rPr>
          <w:rFonts w:eastAsia="Tw Cen MT" w:cs="Tw Cen MT"/>
          <w:lang w:val="en"/>
        </w:rPr>
        <w:t xml:space="preserve"> government agencies only track the initial placement of refugees when they arrive in the state. Approximately 3,000 refugees were placed in NH between 2012 and 2021. Three quarters of them were resettled in Concord or Manchester with a smaller number going to Nashua. </w:t>
      </w:r>
      <w:r w:rsidR="000E6746">
        <w:rPr>
          <w:rFonts w:eastAsia="Tw Cen MT" w:cs="Tw Cen MT"/>
          <w:lang w:val="en"/>
        </w:rPr>
        <w:t>The</w:t>
      </w:r>
      <w:r w:rsidR="09A70516" w:rsidRPr="00C64BA4">
        <w:rPr>
          <w:rFonts w:eastAsia="Tw Cen MT" w:cs="Tw Cen MT"/>
          <w:lang w:val="en"/>
        </w:rPr>
        <w:t xml:space="preserve"> remaining 26</w:t>
      </w:r>
      <w:r w:rsidR="000E6746">
        <w:rPr>
          <w:rFonts w:eastAsia="Tw Cen MT" w:cs="Tw Cen MT"/>
          <w:lang w:val="en"/>
        </w:rPr>
        <w:t xml:space="preserve"> percent</w:t>
      </w:r>
      <w:r w:rsidR="09A70516" w:rsidRPr="00C64BA4">
        <w:rPr>
          <w:rFonts w:eastAsia="Tw Cen MT" w:cs="Tw Cen MT"/>
          <w:lang w:val="en"/>
        </w:rPr>
        <w:t xml:space="preserve"> were divided among Dover, Exeter, Keene, and Laconia.</w:t>
      </w:r>
    </w:p>
    <w:p w14:paraId="7DABA32C" w14:textId="0BF3D011" w:rsidR="00FB3623" w:rsidRPr="000F76E3" w:rsidRDefault="00F47168" w:rsidP="00206C45">
      <w:pPr>
        <w:spacing w:line="300" w:lineRule="auto"/>
        <w:jc w:val="both"/>
        <w:rPr>
          <w:rFonts w:eastAsia="Tw Cen MT" w:cs="Tw Cen MT"/>
          <w:lang w:val="en"/>
        </w:rPr>
      </w:pPr>
      <w:r>
        <w:rPr>
          <w:noProof/>
        </w:rPr>
        <mc:AlternateContent>
          <mc:Choice Requires="wps">
            <w:drawing>
              <wp:anchor distT="0" distB="0" distL="114300" distR="114300" simplePos="0" relativeHeight="251685888" behindDoc="0" locked="0" layoutInCell="1" allowOverlap="1" wp14:anchorId="278E4646" wp14:editId="5BF5B176">
                <wp:simplePos x="0" y="0"/>
                <wp:positionH relativeFrom="column">
                  <wp:posOffset>3913184</wp:posOffset>
                </wp:positionH>
                <wp:positionV relativeFrom="paragraph">
                  <wp:posOffset>1440980</wp:posOffset>
                </wp:positionV>
                <wp:extent cx="2430145" cy="635"/>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2430145" cy="635"/>
                        </a:xfrm>
                        <a:prstGeom prst="rect">
                          <a:avLst/>
                        </a:prstGeom>
                        <a:solidFill>
                          <a:prstClr val="white"/>
                        </a:solidFill>
                        <a:ln>
                          <a:noFill/>
                        </a:ln>
                      </wps:spPr>
                      <wps:txbx>
                        <w:txbxContent>
                          <w:p w14:paraId="12A9BFAC" w14:textId="14B07F2E" w:rsidR="00275B6A" w:rsidRPr="003F4960" w:rsidRDefault="00275B6A" w:rsidP="00275B6A">
                            <w:pPr>
                              <w:pStyle w:val="Caption"/>
                              <w:rPr>
                                <w:noProof/>
                              </w:rPr>
                            </w:pPr>
                            <w:bookmarkStart w:id="89" w:name="_Toc128137866"/>
                            <w:r>
                              <w:t xml:space="preserve">Figure </w:t>
                            </w:r>
                            <w:r w:rsidR="0062538A">
                              <w:fldChar w:fldCharType="begin"/>
                            </w:r>
                            <w:r w:rsidR="0062538A">
                              <w:instrText xml:space="preserve"> SEQ Figure \* ARABIC </w:instrText>
                            </w:r>
                            <w:r w:rsidR="0062538A">
                              <w:fldChar w:fldCharType="separate"/>
                            </w:r>
                            <w:r w:rsidR="00E75682">
                              <w:rPr>
                                <w:noProof/>
                              </w:rPr>
                              <w:t>7</w:t>
                            </w:r>
                            <w:r w:rsidR="0062538A">
                              <w:rPr>
                                <w:noProof/>
                              </w:rPr>
                              <w:fldChar w:fldCharType="end"/>
                            </w:r>
                            <w:r>
                              <w:t>: Refugees by City of Resettlement (2012-2021)</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8E4646" id="Text Box 31" o:spid="_x0000_s1028" type="#_x0000_t202" style="position:absolute;left:0;text-align:left;margin-left:308.1pt;margin-top:113.45pt;width:191.35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" stroked="f">
                <v:textbox style="mso-fit-shape-to-text:t" inset="0,0,0,0">
                  <w:txbxContent>
                    <w:p w14:paraId="12A9BFAC" w14:textId="14B07F2E" w:rsidR="00275B6A" w:rsidRPr="003F4960" w:rsidRDefault="00275B6A" w:rsidP="00275B6A">
                      <w:pPr>
                        <w:pStyle w:val="Caption"/>
                        <w:rPr>
                          <w:noProof/>
                        </w:rPr>
                      </w:pPr>
                      <w:bookmarkStart w:id="90" w:name="_Toc128137866"/>
                      <w:r>
                        <w:t xml:space="preserve">Figure </w:t>
                      </w:r>
                      <w:r w:rsidR="0062538A">
                        <w:fldChar w:fldCharType="begin"/>
                      </w:r>
                      <w:r w:rsidR="0062538A">
                        <w:instrText xml:space="preserve"> SEQ Figure \* ARABIC </w:instrText>
                      </w:r>
                      <w:r w:rsidR="0062538A">
                        <w:fldChar w:fldCharType="separate"/>
                      </w:r>
                      <w:r w:rsidR="00E75682">
                        <w:rPr>
                          <w:noProof/>
                        </w:rPr>
                        <w:t>7</w:t>
                      </w:r>
                      <w:r w:rsidR="0062538A">
                        <w:rPr>
                          <w:noProof/>
                        </w:rPr>
                        <w:fldChar w:fldCharType="end"/>
                      </w:r>
                      <w:r>
                        <w:t>: Refugees by City of Resettlement (2012-2021)</w:t>
                      </w:r>
                      <w:bookmarkEnd w:id="90"/>
                    </w:p>
                  </w:txbxContent>
                </v:textbox>
                <w10:wrap type="square"/>
              </v:shape>
            </w:pict>
          </mc:Fallback>
        </mc:AlternateContent>
      </w:r>
      <w:r w:rsidR="09A70516" w:rsidRPr="00C64BA4">
        <w:rPr>
          <w:rFonts w:eastAsia="Tw Cen MT" w:cs="Tw Cen MT"/>
          <w:lang w:val="en"/>
        </w:rPr>
        <w:t xml:space="preserve">The measure of the population with limited English proficiency (LEP) is defined as individuals five years of age or older who speak English less than "very well.”  As English is not a primary language for this population, they may </w:t>
      </w:r>
      <w:proofErr w:type="gramStart"/>
      <w:r w:rsidR="09A70516" w:rsidRPr="00C64BA4">
        <w:rPr>
          <w:rFonts w:eastAsia="Tw Cen MT" w:cs="Tw Cen MT"/>
          <w:lang w:val="en"/>
        </w:rPr>
        <w:t>experience difficulty</w:t>
      </w:r>
      <w:proofErr w:type="gramEnd"/>
      <w:r w:rsidR="09A70516" w:rsidRPr="00C64BA4">
        <w:rPr>
          <w:rFonts w:eastAsia="Tw Cen MT" w:cs="Tw Cen MT"/>
          <w:lang w:val="en"/>
        </w:rPr>
        <w:t xml:space="preserve"> communicating in it, and may need an interpreter or document translation in order to have meaningful access to federally funded programs.  The LEP community in the region has grown slowly over last decade with more than 4 in 5 living in Manchester and majority of those within the center city.</w:t>
      </w:r>
    </w:p>
    <w:p w14:paraId="21D6915F" w14:textId="0C7552BD" w:rsidR="00FB3623" w:rsidRPr="00C64BA4" w:rsidRDefault="00FB3623" w:rsidP="00206C45">
      <w:pPr>
        <w:spacing w:line="300" w:lineRule="auto"/>
        <w:jc w:val="both"/>
        <w:rPr>
          <w:rFonts w:eastAsia="Tw Cen MT" w:cs="Tw Cen MT"/>
          <w:lang w:val="en"/>
        </w:rPr>
      </w:pPr>
    </w:p>
    <w:p w14:paraId="6D651737" w14:textId="7F2BD3A8" w:rsidR="009E1E18" w:rsidRPr="00C64BA4" w:rsidRDefault="009E1E18" w:rsidP="00206C45">
      <w:pPr>
        <w:spacing w:line="300" w:lineRule="auto"/>
        <w:rPr>
          <w:rFonts w:eastAsia="Tw Cen MT" w:cs="Tw Cen MT"/>
          <w:caps/>
          <w:color w:val="003BB3"/>
          <w:spacing w:val="10"/>
          <w:lang w:val="en"/>
        </w:rPr>
      </w:pPr>
      <w:r w:rsidRPr="00C64BA4">
        <w:rPr>
          <w:rFonts w:eastAsia="Tw Cen MT" w:cs="Tw Cen MT"/>
          <w:color w:val="003BB3"/>
          <w:lang w:val="en"/>
        </w:rPr>
        <w:br w:type="page"/>
      </w:r>
    </w:p>
    <w:p w14:paraId="4670CD1E" w14:textId="1C1504C7" w:rsidR="00FB3623" w:rsidRPr="00C64BA4" w:rsidRDefault="09A70516" w:rsidP="00206C45">
      <w:pPr>
        <w:pStyle w:val="Heading4"/>
        <w:spacing w:line="300" w:lineRule="auto"/>
        <w:rPr>
          <w:rFonts w:eastAsia="Tw Cen MT" w:cs="Tw Cen MT"/>
          <w:color w:val="003BB3"/>
          <w:lang w:val="en"/>
        </w:rPr>
      </w:pPr>
      <w:r w:rsidRPr="00C64BA4">
        <w:rPr>
          <w:rFonts w:eastAsia="Tw Cen MT" w:cs="Tw Cen MT"/>
          <w:color w:val="003BB3"/>
          <w:lang w:val="en"/>
        </w:rPr>
        <w:lastRenderedPageBreak/>
        <w:t>Persons with Disabilities</w:t>
      </w:r>
    </w:p>
    <w:p w14:paraId="1E148B09" w14:textId="2892E933" w:rsidR="00554135" w:rsidRDefault="00554135" w:rsidP="00554135">
      <w:pPr>
        <w:pStyle w:val="Caption"/>
        <w:keepNext/>
      </w:pPr>
      <w:bookmarkStart w:id="91" w:name="_Toc128137904"/>
      <w:r>
        <w:t xml:space="preserve">Table </w:t>
      </w:r>
      <w:r w:rsidR="0062538A">
        <w:fldChar w:fldCharType="begin"/>
      </w:r>
      <w:r w:rsidR="0062538A">
        <w:instrText xml:space="preserve"> SEQ Table \* ARABIC </w:instrText>
      </w:r>
      <w:r w:rsidR="0062538A">
        <w:fldChar w:fldCharType="separate"/>
      </w:r>
      <w:r w:rsidR="008B512A">
        <w:rPr>
          <w:noProof/>
        </w:rPr>
        <w:t>13</w:t>
      </w:r>
      <w:r w:rsidR="0062538A">
        <w:rPr>
          <w:noProof/>
        </w:rPr>
        <w:fldChar w:fldCharType="end"/>
      </w:r>
      <w:r>
        <w:t>: Percent of Population with a Disability</w:t>
      </w:r>
      <w:bookmarkEnd w:id="91"/>
    </w:p>
    <w:tbl>
      <w:tblPr>
        <w:tblStyle w:val="TableGrid"/>
        <w:tblpPr w:leftFromText="180" w:rightFromText="180" w:vertAnchor="text" w:tblpX="135" w:tblpY="1"/>
        <w:tblOverlap w:val="never"/>
        <w:tblW w:w="0" w:type="auto"/>
        <w:tblLayout w:type="fixed"/>
        <w:tblCellMar>
          <w:left w:w="288" w:type="dxa"/>
          <w:right w:w="288" w:type="dxa"/>
        </w:tblCellMar>
        <w:tblLook w:val="06A0" w:firstRow="1" w:lastRow="0" w:firstColumn="1" w:lastColumn="0" w:noHBand="1" w:noVBand="1"/>
      </w:tblPr>
      <w:tblGrid>
        <w:gridCol w:w="1908"/>
        <w:gridCol w:w="1350"/>
      </w:tblGrid>
      <w:tr w:rsidR="3D6C7777" w:rsidRPr="00C64BA4" w14:paraId="11904244" w14:textId="77777777" w:rsidTr="00554135">
        <w:trPr>
          <w:trHeight w:val="285"/>
        </w:trPr>
        <w:tc>
          <w:tcPr>
            <w:tcW w:w="3258" w:type="dxa"/>
            <w:gridSpan w:val="2"/>
            <w:tcBorders>
              <w:top w:val="nil"/>
              <w:left w:val="nil"/>
              <w:bottom w:val="nil"/>
              <w:right w:val="nil"/>
            </w:tcBorders>
            <w:vAlign w:val="center"/>
          </w:tcPr>
          <w:p w14:paraId="43BFBC93" w14:textId="76648A0B" w:rsidR="3D6C7777" w:rsidRPr="00C64BA4" w:rsidRDefault="00554135" w:rsidP="00206C45">
            <w:pPr>
              <w:spacing w:line="300" w:lineRule="auto"/>
              <w:jc w:val="center"/>
              <w:rPr>
                <w:rFonts w:eastAsia="Tw Cen MT" w:cs="Tw Cen MT"/>
                <w:b/>
                <w:bCs/>
                <w:color w:val="595959" w:themeColor="text1" w:themeTint="A6"/>
                <w:sz w:val="22"/>
                <w:szCs w:val="22"/>
              </w:rPr>
            </w:pPr>
            <w:r>
              <w:rPr>
                <w:rFonts w:eastAsia="Tw Cen MT" w:cs="Tw Cen MT"/>
                <w:b/>
                <w:bCs/>
                <w:color w:val="595959" w:themeColor="text1" w:themeTint="A6"/>
                <w:sz w:val="22"/>
                <w:szCs w:val="22"/>
              </w:rPr>
              <w:t>Percent</w:t>
            </w:r>
            <w:r w:rsidR="3D6C7777" w:rsidRPr="00C64BA4">
              <w:rPr>
                <w:rFonts w:eastAsia="Tw Cen MT" w:cs="Tw Cen MT"/>
                <w:b/>
                <w:bCs/>
                <w:color w:val="595959" w:themeColor="text1" w:themeTint="A6"/>
                <w:sz w:val="22"/>
                <w:szCs w:val="22"/>
              </w:rPr>
              <w:t xml:space="preserve"> With a Disability</w:t>
            </w:r>
          </w:p>
        </w:tc>
      </w:tr>
      <w:tr w:rsidR="3D6C7777" w:rsidRPr="00C64BA4" w14:paraId="57313FB6" w14:textId="77777777" w:rsidTr="00554135">
        <w:trPr>
          <w:trHeight w:val="300"/>
        </w:trPr>
        <w:tc>
          <w:tcPr>
            <w:tcW w:w="1908" w:type="dxa"/>
            <w:tcBorders>
              <w:top w:val="nil"/>
              <w:left w:val="nil"/>
              <w:bottom w:val="single" w:sz="8" w:space="0" w:color="auto"/>
              <w:right w:val="nil"/>
            </w:tcBorders>
            <w:vAlign w:val="center"/>
          </w:tcPr>
          <w:p w14:paraId="00A95F16" w14:textId="79953896" w:rsidR="3D6C7777" w:rsidRPr="00C64BA4" w:rsidRDefault="3D6C7777" w:rsidP="00206C45">
            <w:pPr>
              <w:spacing w:line="300" w:lineRule="auto"/>
              <w:rPr>
                <w:rFonts w:eastAsia="Tw Cen MT" w:cs="Tw Cen MT"/>
                <w:color w:val="000000" w:themeColor="text1"/>
                <w:sz w:val="22"/>
                <w:szCs w:val="22"/>
              </w:rPr>
            </w:pPr>
            <w:r w:rsidRPr="00C64BA4">
              <w:rPr>
                <w:rFonts w:eastAsia="Tw Cen MT" w:cs="Tw Cen MT"/>
                <w:color w:val="000000" w:themeColor="text1"/>
                <w:sz w:val="22"/>
                <w:szCs w:val="22"/>
              </w:rPr>
              <w:t xml:space="preserve">  </w:t>
            </w:r>
          </w:p>
        </w:tc>
        <w:tc>
          <w:tcPr>
            <w:tcW w:w="1350" w:type="dxa"/>
            <w:tcBorders>
              <w:top w:val="nil"/>
              <w:left w:val="nil"/>
              <w:bottom w:val="single" w:sz="8" w:space="0" w:color="auto"/>
              <w:right w:val="nil"/>
            </w:tcBorders>
            <w:vAlign w:val="center"/>
          </w:tcPr>
          <w:p w14:paraId="2C428787" w14:textId="69EC2814" w:rsidR="3D6C7777" w:rsidRPr="00C64BA4" w:rsidRDefault="3D6C7777" w:rsidP="00206C45">
            <w:pPr>
              <w:spacing w:line="300" w:lineRule="auto"/>
              <w:jc w:val="center"/>
              <w:rPr>
                <w:rFonts w:eastAsia="Tw Cen MT" w:cs="Tw Cen MT"/>
                <w:b/>
                <w:bCs/>
                <w:color w:val="595959" w:themeColor="text1" w:themeTint="A6"/>
                <w:sz w:val="22"/>
                <w:szCs w:val="22"/>
              </w:rPr>
            </w:pPr>
            <w:r w:rsidRPr="00C64BA4">
              <w:rPr>
                <w:rFonts w:eastAsia="Tw Cen MT" w:cs="Tw Cen MT"/>
                <w:b/>
                <w:bCs/>
                <w:color w:val="595959" w:themeColor="text1" w:themeTint="A6"/>
                <w:sz w:val="22"/>
                <w:szCs w:val="22"/>
              </w:rPr>
              <w:t>2020</w:t>
            </w:r>
            <w:r w:rsidRPr="00C64BA4">
              <w:rPr>
                <w:rFonts w:eastAsia="Tw Cen MT" w:cs="Tw Cen MT"/>
                <w:color w:val="595959" w:themeColor="text1" w:themeTint="A6"/>
                <w:sz w:val="22"/>
                <w:szCs w:val="22"/>
              </w:rPr>
              <w:t xml:space="preserve"> </w:t>
            </w:r>
            <w:r w:rsidRPr="00C64BA4">
              <w:rPr>
                <w:rFonts w:eastAsia="Tw Cen MT" w:cs="Tw Cen MT"/>
                <w:b/>
                <w:bCs/>
                <w:color w:val="595959" w:themeColor="text1" w:themeTint="A6"/>
                <w:sz w:val="22"/>
                <w:szCs w:val="22"/>
              </w:rPr>
              <w:t xml:space="preserve"> </w:t>
            </w:r>
          </w:p>
        </w:tc>
      </w:tr>
      <w:tr w:rsidR="3D6C7777" w:rsidRPr="00C64BA4" w14:paraId="542F8F25" w14:textId="77777777" w:rsidTr="00554135">
        <w:trPr>
          <w:trHeight w:val="285"/>
        </w:trPr>
        <w:tc>
          <w:tcPr>
            <w:tcW w:w="1908" w:type="dxa"/>
            <w:tcBorders>
              <w:top w:val="single" w:sz="8" w:space="0" w:color="auto"/>
              <w:left w:val="nil"/>
              <w:bottom w:val="nil"/>
              <w:right w:val="nil"/>
            </w:tcBorders>
            <w:vAlign w:val="center"/>
          </w:tcPr>
          <w:p w14:paraId="1745733D" w14:textId="7B86472F"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Auburn </w:t>
            </w:r>
          </w:p>
        </w:tc>
        <w:tc>
          <w:tcPr>
            <w:tcW w:w="1350" w:type="dxa"/>
            <w:tcBorders>
              <w:top w:val="single" w:sz="8" w:space="0" w:color="auto"/>
              <w:left w:val="nil"/>
              <w:bottom w:val="nil"/>
              <w:right w:val="nil"/>
            </w:tcBorders>
            <w:vAlign w:val="center"/>
          </w:tcPr>
          <w:p w14:paraId="560BC44B" w14:textId="2ED3CCC2"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10%</w:t>
            </w:r>
          </w:p>
        </w:tc>
      </w:tr>
      <w:tr w:rsidR="3D6C7777" w:rsidRPr="00C64BA4" w14:paraId="79778AF4" w14:textId="77777777" w:rsidTr="00554135">
        <w:trPr>
          <w:trHeight w:val="285"/>
        </w:trPr>
        <w:tc>
          <w:tcPr>
            <w:tcW w:w="1908" w:type="dxa"/>
            <w:tcBorders>
              <w:top w:val="single" w:sz="8" w:space="0" w:color="auto"/>
              <w:left w:val="nil"/>
              <w:bottom w:val="single" w:sz="8" w:space="0" w:color="auto"/>
              <w:right w:val="nil"/>
            </w:tcBorders>
            <w:shd w:val="clear" w:color="auto" w:fill="E7E6E6"/>
            <w:vAlign w:val="center"/>
          </w:tcPr>
          <w:p w14:paraId="546D5D82" w14:textId="2342855E"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Bedford </w:t>
            </w:r>
          </w:p>
        </w:tc>
        <w:tc>
          <w:tcPr>
            <w:tcW w:w="1350" w:type="dxa"/>
            <w:tcBorders>
              <w:top w:val="single" w:sz="8" w:space="0" w:color="auto"/>
              <w:left w:val="nil"/>
              <w:bottom w:val="single" w:sz="8" w:space="0" w:color="auto"/>
              <w:right w:val="nil"/>
            </w:tcBorders>
            <w:shd w:val="clear" w:color="auto" w:fill="E7E6E6"/>
            <w:vAlign w:val="center"/>
          </w:tcPr>
          <w:p w14:paraId="3AA13EAF" w14:textId="5EDE84D2"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8%</w:t>
            </w:r>
          </w:p>
        </w:tc>
      </w:tr>
      <w:tr w:rsidR="3D6C7777" w:rsidRPr="00C64BA4" w14:paraId="74BD90B3" w14:textId="77777777" w:rsidTr="00554135">
        <w:trPr>
          <w:trHeight w:val="285"/>
        </w:trPr>
        <w:tc>
          <w:tcPr>
            <w:tcW w:w="1908" w:type="dxa"/>
            <w:tcBorders>
              <w:top w:val="single" w:sz="8" w:space="0" w:color="auto"/>
              <w:left w:val="nil"/>
              <w:bottom w:val="nil"/>
              <w:right w:val="nil"/>
            </w:tcBorders>
            <w:vAlign w:val="center"/>
          </w:tcPr>
          <w:p w14:paraId="7F02062D" w14:textId="6751F906"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Candia </w:t>
            </w:r>
          </w:p>
        </w:tc>
        <w:tc>
          <w:tcPr>
            <w:tcW w:w="1350" w:type="dxa"/>
            <w:tcBorders>
              <w:top w:val="single" w:sz="8" w:space="0" w:color="auto"/>
              <w:left w:val="nil"/>
              <w:bottom w:val="nil"/>
              <w:right w:val="nil"/>
            </w:tcBorders>
            <w:vAlign w:val="center"/>
          </w:tcPr>
          <w:p w14:paraId="3379C661" w14:textId="56B89C9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13% </w:t>
            </w:r>
          </w:p>
        </w:tc>
      </w:tr>
      <w:tr w:rsidR="3D6C7777" w:rsidRPr="00C64BA4" w14:paraId="28C2594A" w14:textId="77777777" w:rsidTr="00554135">
        <w:trPr>
          <w:trHeight w:val="285"/>
        </w:trPr>
        <w:tc>
          <w:tcPr>
            <w:tcW w:w="1908" w:type="dxa"/>
            <w:tcBorders>
              <w:top w:val="single" w:sz="8" w:space="0" w:color="auto"/>
              <w:left w:val="nil"/>
              <w:bottom w:val="single" w:sz="8" w:space="0" w:color="auto"/>
              <w:right w:val="nil"/>
            </w:tcBorders>
            <w:shd w:val="clear" w:color="auto" w:fill="E7E6E6"/>
            <w:vAlign w:val="center"/>
          </w:tcPr>
          <w:p w14:paraId="390804F8" w14:textId="0778E8A0"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Chester </w:t>
            </w:r>
          </w:p>
        </w:tc>
        <w:tc>
          <w:tcPr>
            <w:tcW w:w="1350" w:type="dxa"/>
            <w:tcBorders>
              <w:top w:val="single" w:sz="8" w:space="0" w:color="auto"/>
              <w:left w:val="nil"/>
              <w:bottom w:val="single" w:sz="8" w:space="0" w:color="auto"/>
              <w:right w:val="nil"/>
            </w:tcBorders>
            <w:shd w:val="clear" w:color="auto" w:fill="E7E6E6"/>
            <w:vAlign w:val="center"/>
          </w:tcPr>
          <w:p w14:paraId="58127BD8" w14:textId="084186F9"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8%</w:t>
            </w:r>
          </w:p>
        </w:tc>
      </w:tr>
      <w:tr w:rsidR="3D6C7777" w:rsidRPr="00C64BA4" w14:paraId="3F7139C6" w14:textId="77777777" w:rsidTr="00554135">
        <w:trPr>
          <w:trHeight w:val="285"/>
        </w:trPr>
        <w:tc>
          <w:tcPr>
            <w:tcW w:w="1908" w:type="dxa"/>
            <w:tcBorders>
              <w:top w:val="single" w:sz="8" w:space="0" w:color="auto"/>
              <w:left w:val="nil"/>
              <w:bottom w:val="nil"/>
              <w:right w:val="nil"/>
            </w:tcBorders>
            <w:vAlign w:val="center"/>
          </w:tcPr>
          <w:p w14:paraId="5F42E1FA" w14:textId="4D621F1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Deerfield </w:t>
            </w:r>
          </w:p>
        </w:tc>
        <w:tc>
          <w:tcPr>
            <w:tcW w:w="1350" w:type="dxa"/>
            <w:tcBorders>
              <w:top w:val="single" w:sz="8" w:space="0" w:color="auto"/>
              <w:left w:val="nil"/>
              <w:bottom w:val="nil"/>
              <w:right w:val="nil"/>
            </w:tcBorders>
            <w:vAlign w:val="center"/>
          </w:tcPr>
          <w:p w14:paraId="4CAFB26E" w14:textId="4553D1E6"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14% </w:t>
            </w:r>
          </w:p>
        </w:tc>
      </w:tr>
      <w:tr w:rsidR="3D6C7777" w:rsidRPr="00C64BA4" w14:paraId="15EC8105" w14:textId="77777777" w:rsidTr="00554135">
        <w:trPr>
          <w:trHeight w:val="285"/>
        </w:trPr>
        <w:tc>
          <w:tcPr>
            <w:tcW w:w="1908" w:type="dxa"/>
            <w:tcBorders>
              <w:top w:val="single" w:sz="8" w:space="0" w:color="auto"/>
              <w:left w:val="nil"/>
              <w:bottom w:val="single" w:sz="8" w:space="0" w:color="auto"/>
              <w:right w:val="nil"/>
            </w:tcBorders>
            <w:shd w:val="clear" w:color="auto" w:fill="E7E6E6"/>
            <w:vAlign w:val="center"/>
          </w:tcPr>
          <w:p w14:paraId="1DB131B9" w14:textId="318D92D3"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Derry </w:t>
            </w:r>
          </w:p>
        </w:tc>
        <w:tc>
          <w:tcPr>
            <w:tcW w:w="1350" w:type="dxa"/>
            <w:tcBorders>
              <w:top w:val="single" w:sz="8" w:space="0" w:color="auto"/>
              <w:left w:val="nil"/>
              <w:bottom w:val="single" w:sz="8" w:space="0" w:color="auto"/>
              <w:right w:val="nil"/>
            </w:tcBorders>
            <w:shd w:val="clear" w:color="auto" w:fill="E7E6E6"/>
            <w:vAlign w:val="center"/>
          </w:tcPr>
          <w:p w14:paraId="61581383" w14:textId="4EBCFF8B"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12%</w:t>
            </w:r>
          </w:p>
        </w:tc>
      </w:tr>
      <w:tr w:rsidR="3D6C7777" w:rsidRPr="00C64BA4" w14:paraId="75CF2BBE" w14:textId="77777777" w:rsidTr="00554135">
        <w:trPr>
          <w:trHeight w:val="285"/>
        </w:trPr>
        <w:tc>
          <w:tcPr>
            <w:tcW w:w="1908" w:type="dxa"/>
            <w:tcBorders>
              <w:top w:val="single" w:sz="8" w:space="0" w:color="auto"/>
              <w:left w:val="nil"/>
              <w:bottom w:val="nil"/>
              <w:right w:val="nil"/>
            </w:tcBorders>
            <w:vAlign w:val="center"/>
          </w:tcPr>
          <w:p w14:paraId="3FD95C66" w14:textId="1D9B3A47" w:rsidR="3D6C7777" w:rsidRPr="00C64BA4" w:rsidRDefault="3D6C7777" w:rsidP="00206C45">
            <w:pPr>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Francestown</w:t>
            </w:r>
            <w:proofErr w:type="spellEnd"/>
            <w:r w:rsidRPr="00C64BA4">
              <w:rPr>
                <w:rFonts w:eastAsia="Tw Cen MT" w:cs="Tw Cen MT"/>
                <w:color w:val="000000" w:themeColor="text1"/>
                <w:sz w:val="22"/>
                <w:szCs w:val="22"/>
              </w:rPr>
              <w:t xml:space="preserve"> </w:t>
            </w:r>
          </w:p>
        </w:tc>
        <w:tc>
          <w:tcPr>
            <w:tcW w:w="1350" w:type="dxa"/>
            <w:tcBorders>
              <w:top w:val="single" w:sz="8" w:space="0" w:color="auto"/>
              <w:left w:val="nil"/>
              <w:bottom w:val="nil"/>
              <w:right w:val="nil"/>
            </w:tcBorders>
            <w:vAlign w:val="center"/>
          </w:tcPr>
          <w:p w14:paraId="03BE85D7" w14:textId="73B9BEC4"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8% </w:t>
            </w:r>
          </w:p>
        </w:tc>
      </w:tr>
      <w:tr w:rsidR="3D6C7777" w:rsidRPr="00C64BA4" w14:paraId="60AA1E01" w14:textId="77777777" w:rsidTr="00554135">
        <w:trPr>
          <w:trHeight w:val="285"/>
        </w:trPr>
        <w:tc>
          <w:tcPr>
            <w:tcW w:w="1908" w:type="dxa"/>
            <w:tcBorders>
              <w:top w:val="single" w:sz="8" w:space="0" w:color="auto"/>
              <w:left w:val="nil"/>
              <w:bottom w:val="single" w:sz="8" w:space="0" w:color="auto"/>
              <w:right w:val="nil"/>
            </w:tcBorders>
            <w:shd w:val="clear" w:color="auto" w:fill="E7E6E6"/>
            <w:vAlign w:val="center"/>
          </w:tcPr>
          <w:p w14:paraId="4F301579" w14:textId="54CC7A5E"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Goffstown </w:t>
            </w:r>
          </w:p>
        </w:tc>
        <w:tc>
          <w:tcPr>
            <w:tcW w:w="1350" w:type="dxa"/>
            <w:tcBorders>
              <w:top w:val="single" w:sz="8" w:space="0" w:color="auto"/>
              <w:left w:val="nil"/>
              <w:bottom w:val="single" w:sz="8" w:space="0" w:color="auto"/>
              <w:right w:val="nil"/>
            </w:tcBorders>
            <w:shd w:val="clear" w:color="auto" w:fill="E7E6E6"/>
            <w:vAlign w:val="center"/>
          </w:tcPr>
          <w:p w14:paraId="62C0455E" w14:textId="42999D66"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12%</w:t>
            </w:r>
          </w:p>
        </w:tc>
      </w:tr>
      <w:tr w:rsidR="3D6C7777" w:rsidRPr="00C64BA4" w14:paraId="1F9A7B16" w14:textId="77777777" w:rsidTr="00554135">
        <w:trPr>
          <w:trHeight w:val="285"/>
        </w:trPr>
        <w:tc>
          <w:tcPr>
            <w:tcW w:w="1908" w:type="dxa"/>
            <w:tcBorders>
              <w:top w:val="single" w:sz="8" w:space="0" w:color="auto"/>
              <w:left w:val="nil"/>
              <w:bottom w:val="nil"/>
              <w:right w:val="nil"/>
            </w:tcBorders>
            <w:vAlign w:val="center"/>
          </w:tcPr>
          <w:p w14:paraId="363E7F8C" w14:textId="7F4AC51B"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Hooksett </w:t>
            </w:r>
          </w:p>
        </w:tc>
        <w:tc>
          <w:tcPr>
            <w:tcW w:w="1350" w:type="dxa"/>
            <w:tcBorders>
              <w:top w:val="single" w:sz="8" w:space="0" w:color="auto"/>
              <w:left w:val="nil"/>
              <w:bottom w:val="nil"/>
              <w:right w:val="nil"/>
            </w:tcBorders>
            <w:vAlign w:val="center"/>
          </w:tcPr>
          <w:p w14:paraId="33FED5A4" w14:textId="33AC5E75"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11%</w:t>
            </w:r>
          </w:p>
        </w:tc>
      </w:tr>
      <w:tr w:rsidR="3D6C7777" w:rsidRPr="00C64BA4" w14:paraId="3492B797" w14:textId="77777777" w:rsidTr="00554135">
        <w:trPr>
          <w:trHeight w:val="285"/>
        </w:trPr>
        <w:tc>
          <w:tcPr>
            <w:tcW w:w="1908" w:type="dxa"/>
            <w:tcBorders>
              <w:top w:val="single" w:sz="8" w:space="0" w:color="auto"/>
              <w:left w:val="nil"/>
              <w:bottom w:val="single" w:sz="8" w:space="0" w:color="auto"/>
              <w:right w:val="nil"/>
            </w:tcBorders>
            <w:shd w:val="clear" w:color="auto" w:fill="E7E6E6"/>
            <w:vAlign w:val="center"/>
          </w:tcPr>
          <w:p w14:paraId="45501BEC" w14:textId="576B82D0"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Londonderry </w:t>
            </w:r>
          </w:p>
        </w:tc>
        <w:tc>
          <w:tcPr>
            <w:tcW w:w="1350" w:type="dxa"/>
            <w:tcBorders>
              <w:top w:val="single" w:sz="8" w:space="0" w:color="auto"/>
              <w:left w:val="nil"/>
              <w:bottom w:val="single" w:sz="8" w:space="0" w:color="auto"/>
              <w:right w:val="nil"/>
            </w:tcBorders>
            <w:shd w:val="clear" w:color="auto" w:fill="E7E6E6"/>
            <w:vAlign w:val="center"/>
          </w:tcPr>
          <w:p w14:paraId="4F2A1BA9" w14:textId="32569507"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12%</w:t>
            </w:r>
          </w:p>
        </w:tc>
      </w:tr>
      <w:tr w:rsidR="3D6C7777" w:rsidRPr="00C64BA4" w14:paraId="27A5641A" w14:textId="77777777" w:rsidTr="00554135">
        <w:trPr>
          <w:trHeight w:val="285"/>
        </w:trPr>
        <w:tc>
          <w:tcPr>
            <w:tcW w:w="1908" w:type="dxa"/>
            <w:tcBorders>
              <w:top w:val="single" w:sz="8" w:space="0" w:color="auto"/>
              <w:left w:val="nil"/>
              <w:bottom w:val="nil"/>
              <w:right w:val="nil"/>
            </w:tcBorders>
            <w:vAlign w:val="center"/>
          </w:tcPr>
          <w:p w14:paraId="4AC221DA" w14:textId="1DA195A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Manchester </w:t>
            </w:r>
          </w:p>
        </w:tc>
        <w:tc>
          <w:tcPr>
            <w:tcW w:w="1350" w:type="dxa"/>
            <w:tcBorders>
              <w:top w:val="single" w:sz="8" w:space="0" w:color="auto"/>
              <w:left w:val="nil"/>
              <w:bottom w:val="nil"/>
              <w:right w:val="nil"/>
            </w:tcBorders>
            <w:vAlign w:val="center"/>
          </w:tcPr>
          <w:p w14:paraId="2EF6EE62" w14:textId="028A0161"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14%</w:t>
            </w:r>
          </w:p>
        </w:tc>
      </w:tr>
      <w:tr w:rsidR="3D6C7777" w:rsidRPr="00C64BA4" w14:paraId="58942197" w14:textId="77777777" w:rsidTr="00554135">
        <w:trPr>
          <w:trHeight w:val="285"/>
        </w:trPr>
        <w:tc>
          <w:tcPr>
            <w:tcW w:w="1908" w:type="dxa"/>
            <w:tcBorders>
              <w:top w:val="single" w:sz="8" w:space="0" w:color="auto"/>
              <w:left w:val="nil"/>
              <w:bottom w:val="single" w:sz="8" w:space="0" w:color="auto"/>
              <w:right w:val="nil"/>
            </w:tcBorders>
            <w:shd w:val="clear" w:color="auto" w:fill="E7E6E6"/>
            <w:vAlign w:val="center"/>
          </w:tcPr>
          <w:p w14:paraId="3AF9027D" w14:textId="3F9CB4EA"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New Boston </w:t>
            </w:r>
          </w:p>
        </w:tc>
        <w:tc>
          <w:tcPr>
            <w:tcW w:w="1350" w:type="dxa"/>
            <w:tcBorders>
              <w:top w:val="single" w:sz="8" w:space="0" w:color="auto"/>
              <w:left w:val="nil"/>
              <w:bottom w:val="single" w:sz="8" w:space="0" w:color="auto"/>
              <w:right w:val="nil"/>
            </w:tcBorders>
            <w:shd w:val="clear" w:color="auto" w:fill="E7E6E6"/>
            <w:vAlign w:val="center"/>
          </w:tcPr>
          <w:p w14:paraId="08EA606B" w14:textId="58FB7DCE"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6%</w:t>
            </w:r>
          </w:p>
        </w:tc>
      </w:tr>
      <w:tr w:rsidR="3D6C7777" w:rsidRPr="00C64BA4" w14:paraId="3A6D788B" w14:textId="77777777" w:rsidTr="00554135">
        <w:trPr>
          <w:trHeight w:val="285"/>
        </w:trPr>
        <w:tc>
          <w:tcPr>
            <w:tcW w:w="1908" w:type="dxa"/>
            <w:tcBorders>
              <w:top w:val="single" w:sz="8" w:space="0" w:color="auto"/>
              <w:left w:val="nil"/>
              <w:bottom w:val="nil"/>
              <w:right w:val="nil"/>
            </w:tcBorders>
            <w:vAlign w:val="center"/>
          </w:tcPr>
          <w:p w14:paraId="7BF5640B" w14:textId="55952790" w:rsidR="3D6C7777" w:rsidRPr="00C64BA4" w:rsidRDefault="3D6C7777" w:rsidP="00206C45">
            <w:pPr>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Weare</w:t>
            </w:r>
            <w:proofErr w:type="spellEnd"/>
            <w:r w:rsidRPr="00C64BA4">
              <w:rPr>
                <w:rFonts w:eastAsia="Tw Cen MT" w:cs="Tw Cen MT"/>
                <w:color w:val="000000" w:themeColor="text1"/>
                <w:sz w:val="22"/>
                <w:szCs w:val="22"/>
              </w:rPr>
              <w:t xml:space="preserve"> </w:t>
            </w:r>
          </w:p>
        </w:tc>
        <w:tc>
          <w:tcPr>
            <w:tcW w:w="1350" w:type="dxa"/>
            <w:tcBorders>
              <w:top w:val="single" w:sz="8" w:space="0" w:color="auto"/>
              <w:left w:val="nil"/>
              <w:bottom w:val="nil"/>
              <w:right w:val="nil"/>
            </w:tcBorders>
            <w:vAlign w:val="center"/>
          </w:tcPr>
          <w:p w14:paraId="19B70897" w14:textId="6622C645"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9%</w:t>
            </w:r>
          </w:p>
        </w:tc>
      </w:tr>
      <w:tr w:rsidR="3D6C7777" w:rsidRPr="00C64BA4" w14:paraId="2719058C" w14:textId="77777777" w:rsidTr="00554135">
        <w:trPr>
          <w:trHeight w:val="285"/>
        </w:trPr>
        <w:tc>
          <w:tcPr>
            <w:tcW w:w="1908" w:type="dxa"/>
            <w:tcBorders>
              <w:top w:val="single" w:sz="8" w:space="0" w:color="auto"/>
              <w:left w:val="nil"/>
              <w:bottom w:val="single" w:sz="12" w:space="0" w:color="404040" w:themeColor="text1" w:themeTint="BF"/>
              <w:right w:val="nil"/>
            </w:tcBorders>
            <w:shd w:val="clear" w:color="auto" w:fill="E7E6E6"/>
            <w:vAlign w:val="center"/>
          </w:tcPr>
          <w:p w14:paraId="5EFDA459" w14:textId="52460A1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Windham </w:t>
            </w:r>
          </w:p>
        </w:tc>
        <w:tc>
          <w:tcPr>
            <w:tcW w:w="1350" w:type="dxa"/>
            <w:tcBorders>
              <w:top w:val="single" w:sz="8" w:space="0" w:color="auto"/>
              <w:left w:val="nil"/>
              <w:bottom w:val="single" w:sz="12" w:space="0" w:color="404040" w:themeColor="text1" w:themeTint="BF"/>
              <w:right w:val="nil"/>
            </w:tcBorders>
            <w:shd w:val="clear" w:color="auto" w:fill="E7E6E6"/>
            <w:vAlign w:val="center"/>
          </w:tcPr>
          <w:p w14:paraId="28089EC2" w14:textId="6D5A2D85"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6%</w:t>
            </w:r>
          </w:p>
        </w:tc>
      </w:tr>
      <w:tr w:rsidR="3D6C7777" w:rsidRPr="00C64BA4" w14:paraId="7B7570CC" w14:textId="77777777" w:rsidTr="00554135">
        <w:trPr>
          <w:trHeight w:val="300"/>
        </w:trPr>
        <w:tc>
          <w:tcPr>
            <w:tcW w:w="1908" w:type="dxa"/>
            <w:tcBorders>
              <w:top w:val="single" w:sz="12" w:space="0" w:color="404040" w:themeColor="text1" w:themeTint="BF"/>
              <w:left w:val="nil"/>
              <w:bottom w:val="single" w:sz="12" w:space="0" w:color="404040" w:themeColor="text1" w:themeTint="BF"/>
              <w:right w:val="nil"/>
            </w:tcBorders>
            <w:vAlign w:val="center"/>
          </w:tcPr>
          <w:p w14:paraId="78A40AF5" w14:textId="4BFAEE9F"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SNHPC </w:t>
            </w:r>
          </w:p>
        </w:tc>
        <w:tc>
          <w:tcPr>
            <w:tcW w:w="1350" w:type="dxa"/>
            <w:tcBorders>
              <w:top w:val="single" w:sz="12" w:space="0" w:color="404040" w:themeColor="text1" w:themeTint="BF"/>
              <w:left w:val="nil"/>
              <w:bottom w:val="single" w:sz="12" w:space="0" w:color="404040" w:themeColor="text1" w:themeTint="BF"/>
              <w:right w:val="nil"/>
            </w:tcBorders>
            <w:vAlign w:val="center"/>
          </w:tcPr>
          <w:p w14:paraId="53D8A2ED" w14:textId="62175710"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12%</w:t>
            </w:r>
          </w:p>
        </w:tc>
      </w:tr>
      <w:tr w:rsidR="3D6C7777" w:rsidRPr="00C64BA4" w14:paraId="4C392021" w14:textId="77777777" w:rsidTr="00554135">
        <w:trPr>
          <w:trHeight w:val="300"/>
        </w:trPr>
        <w:tc>
          <w:tcPr>
            <w:tcW w:w="1908" w:type="dxa"/>
            <w:tcBorders>
              <w:top w:val="single" w:sz="12" w:space="0" w:color="404040" w:themeColor="text1" w:themeTint="BF"/>
              <w:left w:val="nil"/>
              <w:bottom w:val="nil"/>
              <w:right w:val="nil"/>
            </w:tcBorders>
            <w:shd w:val="clear" w:color="auto" w:fill="E7E6E6"/>
            <w:vAlign w:val="center"/>
          </w:tcPr>
          <w:p w14:paraId="3474AA1E" w14:textId="2413AF5B"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NH </w:t>
            </w:r>
          </w:p>
        </w:tc>
        <w:tc>
          <w:tcPr>
            <w:tcW w:w="1350" w:type="dxa"/>
            <w:tcBorders>
              <w:top w:val="single" w:sz="12" w:space="0" w:color="404040" w:themeColor="text1" w:themeTint="BF"/>
              <w:left w:val="nil"/>
              <w:bottom w:val="nil"/>
              <w:right w:val="nil"/>
            </w:tcBorders>
            <w:shd w:val="clear" w:color="auto" w:fill="E7E6E6"/>
            <w:vAlign w:val="center"/>
          </w:tcPr>
          <w:p w14:paraId="4EE4EA53" w14:textId="089F00C5"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13%</w:t>
            </w:r>
          </w:p>
        </w:tc>
      </w:tr>
      <w:tr w:rsidR="3D6C7777" w:rsidRPr="00C64BA4" w14:paraId="316B210C" w14:textId="77777777" w:rsidTr="00554135">
        <w:trPr>
          <w:trHeight w:val="285"/>
        </w:trPr>
        <w:tc>
          <w:tcPr>
            <w:tcW w:w="3258" w:type="dxa"/>
            <w:gridSpan w:val="2"/>
            <w:tcBorders>
              <w:top w:val="nil"/>
              <w:left w:val="nil"/>
              <w:bottom w:val="nil"/>
              <w:right w:val="nil"/>
            </w:tcBorders>
            <w:vAlign w:val="center"/>
          </w:tcPr>
          <w:p w14:paraId="47698ABE" w14:textId="630B167E" w:rsidR="3D6C7777" w:rsidRPr="00C64BA4" w:rsidRDefault="3D6C7777" w:rsidP="00206C45">
            <w:pPr>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5-Year American Community Survey</w:t>
            </w:r>
          </w:p>
        </w:tc>
      </w:tr>
      <w:tr w:rsidR="3D6C7777" w:rsidRPr="00C64BA4" w14:paraId="104908DB" w14:textId="77777777" w:rsidTr="00554135">
        <w:trPr>
          <w:trHeight w:val="285"/>
        </w:trPr>
        <w:tc>
          <w:tcPr>
            <w:tcW w:w="3258" w:type="dxa"/>
            <w:gridSpan w:val="2"/>
            <w:tcBorders>
              <w:top w:val="nil"/>
              <w:left w:val="nil"/>
              <w:bottom w:val="nil"/>
              <w:right w:val="nil"/>
            </w:tcBorders>
            <w:vAlign w:val="center"/>
          </w:tcPr>
          <w:p w14:paraId="5B7CEF08" w14:textId="4FC4760B" w:rsidR="3D6C7777" w:rsidRPr="00C64BA4" w:rsidRDefault="3D6C7777" w:rsidP="00206C45">
            <w:pPr>
              <w:keepNext/>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US Census Bureau</w:t>
            </w:r>
          </w:p>
        </w:tc>
      </w:tr>
    </w:tbl>
    <w:p w14:paraId="5D00E6E0" w14:textId="101ECCF0" w:rsidR="00FB3623" w:rsidRPr="00C64BA4" w:rsidRDefault="09A70516" w:rsidP="00206C45">
      <w:pPr>
        <w:spacing w:line="300" w:lineRule="auto"/>
        <w:jc w:val="both"/>
        <w:rPr>
          <w:rFonts w:eastAsia="Tw Cen MT" w:cs="Tw Cen MT"/>
          <w:lang w:val="en"/>
        </w:rPr>
      </w:pPr>
      <w:r w:rsidRPr="00C64BA4">
        <w:rPr>
          <w:rFonts w:eastAsia="Tw Cen MT" w:cs="Tw Cen MT"/>
          <w:lang w:val="en"/>
        </w:rPr>
        <w:t xml:space="preserve">People living with a disability seek out community-based living conditions which provide housing dignity. Many different living arrangements can be considered appropriate based on an individuals’ needs. Families with a member living with disabilities often care for their dependents well into adulthood. According to a 2021 survey by </w:t>
      </w:r>
      <w:r w:rsidRPr="006649B3">
        <w:rPr>
          <w:rFonts w:eastAsia="Tw Cen MT" w:cs="Tw Cen MT"/>
          <w:lang w:val="en"/>
        </w:rPr>
        <w:t>ABLE-NH</w:t>
      </w:r>
      <w:r w:rsidR="004A2020">
        <w:rPr>
          <w:rStyle w:val="FootnoteReference"/>
          <w:rFonts w:eastAsia="Tw Cen MT" w:cs="Tw Cen MT"/>
          <w:lang w:val="en"/>
        </w:rPr>
        <w:footnoteReference w:id="10"/>
      </w:r>
      <w:r w:rsidRPr="00C64BA4">
        <w:rPr>
          <w:rFonts w:eastAsia="Tw Cen MT" w:cs="Tw Cen MT"/>
          <w:lang w:val="en"/>
        </w:rPr>
        <w:t>, 70% of both family caretakers and individuals with disabilities reported a need for access to appropriately supportive, accessible affordable housing. In addition, caretakers are often older, with 60% of caretaker respondents noting their own age was between 55 to 74. More than 50% of respondents expressed a desire to live independently from their family, with appropriate and nearby support. Depending on the impairment, physical housing improvements may need to be in-place for individuals to achieve a more independent housing and living arrangement.</w:t>
      </w:r>
    </w:p>
    <w:p w14:paraId="0256AEFA" w14:textId="780A5FD8" w:rsidR="00FB3623" w:rsidRPr="00C64BA4" w:rsidRDefault="09A70516" w:rsidP="00206C45">
      <w:pPr>
        <w:spacing w:line="300" w:lineRule="auto"/>
        <w:jc w:val="both"/>
        <w:rPr>
          <w:rFonts w:eastAsia="Tw Cen MT" w:cs="Tw Cen MT"/>
          <w:lang w:val="en"/>
        </w:rPr>
      </w:pPr>
      <w:r w:rsidRPr="00C64BA4">
        <w:rPr>
          <w:rFonts w:eastAsia="Tw Cen MT" w:cs="Tw Cen MT"/>
          <w:sz w:val="23"/>
          <w:szCs w:val="23"/>
          <w:lang w:val="en"/>
        </w:rPr>
        <w:t xml:space="preserve">New Hampshire Housing estimates </w:t>
      </w:r>
      <w:r w:rsidRPr="006649B3">
        <w:rPr>
          <w:rFonts w:eastAsia="Tw Cen MT" w:cs="Tw Cen MT"/>
          <w:sz w:val="23"/>
          <w:szCs w:val="23"/>
          <w:lang w:val="en"/>
        </w:rPr>
        <w:t>over 47,000 households</w:t>
      </w:r>
      <w:r w:rsidRPr="00C64BA4">
        <w:rPr>
          <w:rFonts w:eastAsia="Tw Cen MT" w:cs="Tw Cen MT"/>
          <w:sz w:val="23"/>
          <w:szCs w:val="23"/>
          <w:lang w:val="en"/>
        </w:rPr>
        <w:t xml:space="preserve"> have a member with a disability </w:t>
      </w:r>
      <w:r w:rsidR="00CA6863">
        <w:rPr>
          <w:rFonts w:eastAsia="Tw Cen MT" w:cs="Tw Cen MT"/>
          <w:sz w:val="23"/>
          <w:szCs w:val="23"/>
          <w:lang w:val="en"/>
        </w:rPr>
        <w:t>who</w:t>
      </w:r>
      <w:r w:rsidR="00CA6863" w:rsidRPr="00C64BA4">
        <w:rPr>
          <w:rFonts w:eastAsia="Tw Cen MT" w:cs="Tw Cen MT"/>
          <w:sz w:val="23"/>
          <w:szCs w:val="23"/>
          <w:lang w:val="en"/>
        </w:rPr>
        <w:t xml:space="preserve"> </w:t>
      </w:r>
      <w:proofErr w:type="gramStart"/>
      <w:r w:rsidRPr="00C64BA4">
        <w:rPr>
          <w:rFonts w:eastAsia="Tw Cen MT" w:cs="Tw Cen MT"/>
          <w:sz w:val="23"/>
          <w:szCs w:val="23"/>
          <w:lang w:val="en"/>
        </w:rPr>
        <w:t>is in need of</w:t>
      </w:r>
      <w:proofErr w:type="gramEnd"/>
      <w:r w:rsidRPr="00C64BA4">
        <w:rPr>
          <w:rFonts w:eastAsia="Tw Cen MT" w:cs="Tw Cen MT"/>
          <w:sz w:val="23"/>
          <w:szCs w:val="23"/>
          <w:lang w:val="en"/>
        </w:rPr>
        <w:t xml:space="preserve"> some form of housing accommodation or assistance. </w:t>
      </w:r>
      <w:r w:rsidRPr="00C64BA4">
        <w:rPr>
          <w:rFonts w:eastAsia="Tw Cen MT" w:cs="Tw Cen MT"/>
          <w:lang w:val="en"/>
        </w:rPr>
        <w:t>The civilian non-institutionalized population with a disability in the SNHPC region is 32,900 or approximately 12% of the population. Around half of the disabled population in the region lives within the City of Manchester.</w:t>
      </w:r>
    </w:p>
    <w:p w14:paraId="0D794846" w14:textId="119F73D9" w:rsidR="00FB3623" w:rsidRPr="00C64BA4" w:rsidRDefault="09A70516" w:rsidP="00206C45">
      <w:pPr>
        <w:spacing w:line="300" w:lineRule="auto"/>
        <w:jc w:val="both"/>
        <w:rPr>
          <w:rFonts w:eastAsia="Tw Cen MT" w:cs="Tw Cen MT"/>
          <w:lang w:val="en"/>
        </w:rPr>
      </w:pPr>
      <w:r w:rsidRPr="00C64BA4">
        <w:rPr>
          <w:rFonts w:eastAsia="Tw Cen MT" w:cs="Tw Cen MT"/>
          <w:lang w:val="en"/>
        </w:rPr>
        <w:t xml:space="preserve"> </w:t>
      </w:r>
    </w:p>
    <w:p w14:paraId="5B764903" w14:textId="77777777" w:rsidR="00716819" w:rsidRPr="00C64BA4" w:rsidRDefault="00716819" w:rsidP="00206C45">
      <w:pPr>
        <w:spacing w:line="300" w:lineRule="auto"/>
        <w:rPr>
          <w:rFonts w:eastAsia="Tw Cen MT" w:cs="Tw Cen MT"/>
          <w:caps/>
          <w:color w:val="003BB3"/>
          <w:spacing w:val="10"/>
          <w:lang w:val="en"/>
        </w:rPr>
      </w:pPr>
      <w:r w:rsidRPr="00C64BA4">
        <w:rPr>
          <w:rFonts w:eastAsia="Tw Cen MT" w:cs="Tw Cen MT"/>
          <w:color w:val="003BB3"/>
          <w:lang w:val="en"/>
        </w:rPr>
        <w:br w:type="page"/>
      </w:r>
    </w:p>
    <w:p w14:paraId="24B91289" w14:textId="11328DCA" w:rsidR="00716819" w:rsidRPr="00C64BA4" w:rsidRDefault="00716819" w:rsidP="00206C45">
      <w:pPr>
        <w:pStyle w:val="Heading4"/>
        <w:spacing w:line="300" w:lineRule="auto"/>
        <w:rPr>
          <w:rFonts w:eastAsia="Tw Cen MT" w:cs="Tw Cen MT"/>
          <w:color w:val="003BB3"/>
          <w:lang w:val="en"/>
        </w:rPr>
      </w:pPr>
      <w:r w:rsidRPr="00C64BA4">
        <w:rPr>
          <w:rFonts w:eastAsia="Tw Cen MT" w:cs="Tw Cen MT"/>
          <w:color w:val="003BB3"/>
          <w:lang w:val="en"/>
        </w:rPr>
        <w:lastRenderedPageBreak/>
        <w:t>Youth (People Under 18 years of Age)</w:t>
      </w:r>
    </w:p>
    <w:p w14:paraId="2F8EAA84" w14:textId="7958F8B1" w:rsidR="00CA0468" w:rsidRDefault="00CA0468" w:rsidP="00206C45">
      <w:pPr>
        <w:pStyle w:val="Caption"/>
        <w:keepNext/>
        <w:spacing w:line="300" w:lineRule="auto"/>
      </w:pPr>
      <w:bookmarkStart w:id="92" w:name="_Toc128137905"/>
      <w:r>
        <w:t xml:space="preserve">Table </w:t>
      </w:r>
      <w:r w:rsidR="0062538A">
        <w:fldChar w:fldCharType="begin"/>
      </w:r>
      <w:r w:rsidR="0062538A">
        <w:instrText xml:space="preserve"> SEQ Table \* ARABIC </w:instrText>
      </w:r>
      <w:r w:rsidR="0062538A">
        <w:fldChar w:fldCharType="separate"/>
      </w:r>
      <w:r w:rsidR="008B512A">
        <w:rPr>
          <w:noProof/>
        </w:rPr>
        <w:t>14</w:t>
      </w:r>
      <w:r w:rsidR="0062538A">
        <w:rPr>
          <w:noProof/>
        </w:rPr>
        <w:fldChar w:fldCharType="end"/>
      </w:r>
      <w:r>
        <w:t>: Percent of Population Less than 18 Years Old</w:t>
      </w:r>
      <w:bookmarkEnd w:id="92"/>
    </w:p>
    <w:tbl>
      <w:tblPr>
        <w:tblStyle w:val="TableGrid"/>
        <w:tblpPr w:leftFromText="180" w:rightFromText="180" w:vertAnchor="text" w:tblpX="135" w:tblpY="1"/>
        <w:tblOverlap w:val="never"/>
        <w:tblW w:w="0" w:type="auto"/>
        <w:tblLayout w:type="fixed"/>
        <w:tblLook w:val="06A0" w:firstRow="1" w:lastRow="0" w:firstColumn="1" w:lastColumn="0" w:noHBand="1" w:noVBand="1"/>
      </w:tblPr>
      <w:tblGrid>
        <w:gridCol w:w="1908"/>
        <w:gridCol w:w="1260"/>
      </w:tblGrid>
      <w:tr w:rsidR="00716819" w:rsidRPr="00C64BA4" w14:paraId="42E65BF3" w14:textId="77777777" w:rsidTr="008B25B2">
        <w:trPr>
          <w:trHeight w:val="285"/>
        </w:trPr>
        <w:tc>
          <w:tcPr>
            <w:tcW w:w="3168" w:type="dxa"/>
            <w:gridSpan w:val="2"/>
            <w:tcBorders>
              <w:top w:val="nil"/>
              <w:left w:val="nil"/>
              <w:bottom w:val="nil"/>
              <w:right w:val="nil"/>
            </w:tcBorders>
            <w:vAlign w:val="center"/>
          </w:tcPr>
          <w:p w14:paraId="7CC8EAD8" w14:textId="77777777" w:rsidR="00716819" w:rsidRPr="00C64BA4" w:rsidRDefault="00716819" w:rsidP="00206C45">
            <w:pPr>
              <w:spacing w:line="300" w:lineRule="auto"/>
              <w:jc w:val="center"/>
              <w:rPr>
                <w:rFonts w:eastAsia="Tw Cen MT" w:cs="Tw Cen MT"/>
                <w:b/>
                <w:bCs/>
                <w:color w:val="595959" w:themeColor="text1" w:themeTint="A6"/>
                <w:sz w:val="22"/>
                <w:szCs w:val="22"/>
              </w:rPr>
            </w:pPr>
            <w:r w:rsidRPr="00C64BA4">
              <w:rPr>
                <w:rFonts w:eastAsia="Tw Cen MT" w:cs="Tw Cen MT"/>
                <w:b/>
                <w:bCs/>
                <w:color w:val="595959" w:themeColor="text1" w:themeTint="A6"/>
                <w:sz w:val="22"/>
                <w:szCs w:val="22"/>
              </w:rPr>
              <w:t>% Less Than 18 Years Old</w:t>
            </w:r>
          </w:p>
        </w:tc>
      </w:tr>
      <w:tr w:rsidR="00716819" w:rsidRPr="00C64BA4" w14:paraId="0E2FC230" w14:textId="77777777" w:rsidTr="008B25B2">
        <w:trPr>
          <w:trHeight w:val="300"/>
        </w:trPr>
        <w:tc>
          <w:tcPr>
            <w:tcW w:w="1908" w:type="dxa"/>
            <w:tcBorders>
              <w:top w:val="nil"/>
              <w:left w:val="nil"/>
              <w:bottom w:val="nil"/>
              <w:right w:val="nil"/>
            </w:tcBorders>
            <w:vAlign w:val="center"/>
          </w:tcPr>
          <w:p w14:paraId="1A62604E" w14:textId="77777777" w:rsidR="00716819" w:rsidRPr="00C64BA4" w:rsidRDefault="00716819" w:rsidP="00206C45">
            <w:pPr>
              <w:spacing w:line="300" w:lineRule="auto"/>
              <w:rPr>
                <w:rFonts w:eastAsia="Tw Cen MT" w:cs="Tw Cen MT"/>
                <w:color w:val="000000" w:themeColor="text1"/>
                <w:sz w:val="22"/>
                <w:szCs w:val="22"/>
              </w:rPr>
            </w:pPr>
            <w:r w:rsidRPr="00C64BA4">
              <w:rPr>
                <w:rFonts w:eastAsia="Tw Cen MT" w:cs="Tw Cen MT"/>
                <w:color w:val="000000" w:themeColor="text1"/>
                <w:sz w:val="22"/>
                <w:szCs w:val="22"/>
              </w:rPr>
              <w:t xml:space="preserve">  </w:t>
            </w:r>
          </w:p>
        </w:tc>
        <w:tc>
          <w:tcPr>
            <w:tcW w:w="1260" w:type="dxa"/>
            <w:tcBorders>
              <w:top w:val="nil"/>
              <w:left w:val="nil"/>
              <w:bottom w:val="nil"/>
              <w:right w:val="nil"/>
            </w:tcBorders>
            <w:vAlign w:val="center"/>
          </w:tcPr>
          <w:p w14:paraId="4B1560CF" w14:textId="77777777" w:rsidR="00716819" w:rsidRPr="00C64BA4" w:rsidRDefault="00716819" w:rsidP="00206C45">
            <w:pPr>
              <w:spacing w:line="300" w:lineRule="auto"/>
              <w:jc w:val="center"/>
              <w:rPr>
                <w:rFonts w:eastAsia="Tw Cen MT" w:cs="Tw Cen MT"/>
                <w:color w:val="595959" w:themeColor="text1" w:themeTint="A6"/>
                <w:sz w:val="22"/>
                <w:szCs w:val="22"/>
              </w:rPr>
            </w:pPr>
            <w:r w:rsidRPr="00C64BA4">
              <w:rPr>
                <w:rFonts w:eastAsia="Tw Cen MT" w:cs="Tw Cen MT"/>
                <w:b/>
                <w:bCs/>
                <w:color w:val="595959" w:themeColor="text1" w:themeTint="A6"/>
                <w:sz w:val="22"/>
                <w:szCs w:val="22"/>
              </w:rPr>
              <w:t>2020</w:t>
            </w:r>
            <w:r w:rsidRPr="00C64BA4">
              <w:rPr>
                <w:rFonts w:eastAsia="Tw Cen MT" w:cs="Tw Cen MT"/>
                <w:color w:val="595959" w:themeColor="text1" w:themeTint="A6"/>
                <w:sz w:val="22"/>
                <w:szCs w:val="22"/>
              </w:rPr>
              <w:t xml:space="preserve"> </w:t>
            </w:r>
          </w:p>
        </w:tc>
      </w:tr>
      <w:tr w:rsidR="00716819" w:rsidRPr="00C64BA4" w14:paraId="621EEF4F" w14:textId="77777777" w:rsidTr="008B25B2">
        <w:trPr>
          <w:trHeight w:val="285"/>
        </w:trPr>
        <w:tc>
          <w:tcPr>
            <w:tcW w:w="1908" w:type="dxa"/>
            <w:tcBorders>
              <w:top w:val="single" w:sz="8" w:space="0" w:color="auto"/>
              <w:left w:val="nil"/>
              <w:bottom w:val="single" w:sz="8" w:space="0" w:color="auto"/>
              <w:right w:val="nil"/>
            </w:tcBorders>
            <w:vAlign w:val="center"/>
          </w:tcPr>
          <w:p w14:paraId="59396EDF"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Auburn </w:t>
            </w:r>
          </w:p>
        </w:tc>
        <w:tc>
          <w:tcPr>
            <w:tcW w:w="1260" w:type="dxa"/>
            <w:tcBorders>
              <w:top w:val="single" w:sz="8" w:space="0" w:color="auto"/>
              <w:left w:val="nil"/>
              <w:bottom w:val="single" w:sz="8" w:space="0" w:color="auto"/>
              <w:right w:val="nil"/>
            </w:tcBorders>
            <w:vAlign w:val="center"/>
          </w:tcPr>
          <w:p w14:paraId="0B5F4D23"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20%</w:t>
            </w:r>
          </w:p>
        </w:tc>
      </w:tr>
      <w:tr w:rsidR="00716819" w:rsidRPr="00C64BA4" w14:paraId="434E56B6" w14:textId="77777777" w:rsidTr="008B25B2">
        <w:trPr>
          <w:trHeight w:val="285"/>
        </w:trPr>
        <w:tc>
          <w:tcPr>
            <w:tcW w:w="1908" w:type="dxa"/>
            <w:tcBorders>
              <w:top w:val="single" w:sz="8" w:space="0" w:color="auto"/>
              <w:left w:val="nil"/>
              <w:bottom w:val="nil"/>
              <w:right w:val="nil"/>
            </w:tcBorders>
            <w:shd w:val="clear" w:color="auto" w:fill="E7E6E6"/>
            <w:vAlign w:val="center"/>
          </w:tcPr>
          <w:p w14:paraId="57CFA15C"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Bedford </w:t>
            </w:r>
          </w:p>
        </w:tc>
        <w:tc>
          <w:tcPr>
            <w:tcW w:w="1260" w:type="dxa"/>
            <w:tcBorders>
              <w:top w:val="single" w:sz="8" w:space="0" w:color="auto"/>
              <w:left w:val="nil"/>
              <w:bottom w:val="nil"/>
              <w:right w:val="nil"/>
            </w:tcBorders>
            <w:shd w:val="clear" w:color="auto" w:fill="E7E6E6"/>
            <w:vAlign w:val="center"/>
          </w:tcPr>
          <w:p w14:paraId="536E2355"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25%</w:t>
            </w:r>
          </w:p>
        </w:tc>
      </w:tr>
      <w:tr w:rsidR="00716819" w:rsidRPr="00C64BA4" w14:paraId="0DDA1887" w14:textId="77777777" w:rsidTr="008B25B2">
        <w:trPr>
          <w:trHeight w:val="322"/>
        </w:trPr>
        <w:tc>
          <w:tcPr>
            <w:tcW w:w="1908" w:type="dxa"/>
            <w:tcBorders>
              <w:top w:val="single" w:sz="8" w:space="0" w:color="auto"/>
              <w:left w:val="nil"/>
              <w:bottom w:val="single" w:sz="8" w:space="0" w:color="auto"/>
              <w:right w:val="nil"/>
            </w:tcBorders>
            <w:vAlign w:val="center"/>
          </w:tcPr>
          <w:p w14:paraId="2F614DFF"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Candia </w:t>
            </w:r>
          </w:p>
        </w:tc>
        <w:tc>
          <w:tcPr>
            <w:tcW w:w="1260" w:type="dxa"/>
            <w:tcBorders>
              <w:top w:val="single" w:sz="8" w:space="0" w:color="auto"/>
              <w:left w:val="nil"/>
              <w:bottom w:val="single" w:sz="8" w:space="0" w:color="auto"/>
              <w:right w:val="nil"/>
            </w:tcBorders>
            <w:vAlign w:val="center"/>
          </w:tcPr>
          <w:p w14:paraId="42FA0D39"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15%</w:t>
            </w:r>
          </w:p>
        </w:tc>
      </w:tr>
      <w:tr w:rsidR="00716819" w:rsidRPr="00C64BA4" w14:paraId="0FF031C1" w14:textId="77777777" w:rsidTr="008B25B2">
        <w:trPr>
          <w:trHeight w:val="285"/>
        </w:trPr>
        <w:tc>
          <w:tcPr>
            <w:tcW w:w="1908" w:type="dxa"/>
            <w:tcBorders>
              <w:top w:val="single" w:sz="8" w:space="0" w:color="auto"/>
              <w:left w:val="nil"/>
              <w:bottom w:val="nil"/>
              <w:right w:val="nil"/>
            </w:tcBorders>
            <w:shd w:val="clear" w:color="auto" w:fill="E7E6E6"/>
            <w:vAlign w:val="center"/>
          </w:tcPr>
          <w:p w14:paraId="02EBBE33"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Chester </w:t>
            </w:r>
          </w:p>
        </w:tc>
        <w:tc>
          <w:tcPr>
            <w:tcW w:w="1260" w:type="dxa"/>
            <w:tcBorders>
              <w:top w:val="single" w:sz="8" w:space="0" w:color="auto"/>
              <w:left w:val="nil"/>
              <w:bottom w:val="nil"/>
              <w:right w:val="nil"/>
            </w:tcBorders>
            <w:shd w:val="clear" w:color="auto" w:fill="E7E6E6"/>
            <w:vAlign w:val="center"/>
          </w:tcPr>
          <w:p w14:paraId="28EC651F"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20%</w:t>
            </w:r>
          </w:p>
        </w:tc>
      </w:tr>
      <w:tr w:rsidR="00716819" w:rsidRPr="00C64BA4" w14:paraId="2FE05D01" w14:textId="77777777" w:rsidTr="008B25B2">
        <w:trPr>
          <w:trHeight w:val="313"/>
        </w:trPr>
        <w:tc>
          <w:tcPr>
            <w:tcW w:w="1908" w:type="dxa"/>
            <w:tcBorders>
              <w:top w:val="single" w:sz="8" w:space="0" w:color="auto"/>
              <w:left w:val="nil"/>
              <w:bottom w:val="single" w:sz="8" w:space="0" w:color="auto"/>
              <w:right w:val="nil"/>
            </w:tcBorders>
            <w:vAlign w:val="center"/>
          </w:tcPr>
          <w:p w14:paraId="0CB17B47"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Deerfield </w:t>
            </w:r>
          </w:p>
        </w:tc>
        <w:tc>
          <w:tcPr>
            <w:tcW w:w="1260" w:type="dxa"/>
            <w:tcBorders>
              <w:top w:val="single" w:sz="8" w:space="0" w:color="auto"/>
              <w:left w:val="nil"/>
              <w:bottom w:val="single" w:sz="8" w:space="0" w:color="auto"/>
              <w:right w:val="nil"/>
            </w:tcBorders>
            <w:vAlign w:val="center"/>
          </w:tcPr>
          <w:p w14:paraId="0FD3152F"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19%</w:t>
            </w:r>
          </w:p>
        </w:tc>
      </w:tr>
      <w:tr w:rsidR="00716819" w:rsidRPr="00C64BA4" w14:paraId="7D499A75" w14:textId="77777777" w:rsidTr="008B25B2">
        <w:trPr>
          <w:trHeight w:val="340"/>
        </w:trPr>
        <w:tc>
          <w:tcPr>
            <w:tcW w:w="1908" w:type="dxa"/>
            <w:tcBorders>
              <w:top w:val="single" w:sz="8" w:space="0" w:color="auto"/>
              <w:left w:val="nil"/>
              <w:bottom w:val="nil"/>
              <w:right w:val="nil"/>
            </w:tcBorders>
            <w:shd w:val="clear" w:color="auto" w:fill="E7E6E6"/>
            <w:vAlign w:val="center"/>
          </w:tcPr>
          <w:p w14:paraId="4D5CBA4B"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Derry </w:t>
            </w:r>
          </w:p>
        </w:tc>
        <w:tc>
          <w:tcPr>
            <w:tcW w:w="1260" w:type="dxa"/>
            <w:tcBorders>
              <w:top w:val="single" w:sz="8" w:space="0" w:color="auto"/>
              <w:left w:val="nil"/>
              <w:bottom w:val="nil"/>
              <w:right w:val="nil"/>
            </w:tcBorders>
            <w:shd w:val="clear" w:color="auto" w:fill="E7E6E6"/>
            <w:vAlign w:val="center"/>
          </w:tcPr>
          <w:p w14:paraId="79639B4C"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21%</w:t>
            </w:r>
          </w:p>
        </w:tc>
      </w:tr>
      <w:tr w:rsidR="00716819" w:rsidRPr="00C64BA4" w14:paraId="2A6E1B6B" w14:textId="77777777" w:rsidTr="008B25B2">
        <w:trPr>
          <w:trHeight w:val="340"/>
        </w:trPr>
        <w:tc>
          <w:tcPr>
            <w:tcW w:w="1908" w:type="dxa"/>
            <w:tcBorders>
              <w:top w:val="single" w:sz="8" w:space="0" w:color="auto"/>
              <w:left w:val="nil"/>
              <w:bottom w:val="single" w:sz="8" w:space="0" w:color="auto"/>
              <w:right w:val="nil"/>
            </w:tcBorders>
            <w:vAlign w:val="center"/>
          </w:tcPr>
          <w:p w14:paraId="0BB7716B" w14:textId="77777777" w:rsidR="00716819" w:rsidRPr="00C64BA4" w:rsidRDefault="00716819" w:rsidP="00206C45">
            <w:pPr>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Francestown</w:t>
            </w:r>
            <w:proofErr w:type="spellEnd"/>
            <w:r w:rsidRPr="00C64BA4">
              <w:rPr>
                <w:rFonts w:eastAsia="Tw Cen MT" w:cs="Tw Cen MT"/>
                <w:color w:val="000000" w:themeColor="text1"/>
                <w:sz w:val="22"/>
                <w:szCs w:val="22"/>
              </w:rPr>
              <w:t xml:space="preserve"> </w:t>
            </w:r>
          </w:p>
        </w:tc>
        <w:tc>
          <w:tcPr>
            <w:tcW w:w="1260" w:type="dxa"/>
            <w:tcBorders>
              <w:top w:val="single" w:sz="8" w:space="0" w:color="auto"/>
              <w:left w:val="nil"/>
              <w:bottom w:val="single" w:sz="8" w:space="0" w:color="auto"/>
              <w:right w:val="nil"/>
            </w:tcBorders>
            <w:vAlign w:val="center"/>
          </w:tcPr>
          <w:p w14:paraId="1786D38A"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19%</w:t>
            </w:r>
          </w:p>
        </w:tc>
      </w:tr>
      <w:tr w:rsidR="00716819" w:rsidRPr="00C64BA4" w14:paraId="4573E98B" w14:textId="77777777" w:rsidTr="008B25B2">
        <w:trPr>
          <w:trHeight w:val="340"/>
        </w:trPr>
        <w:tc>
          <w:tcPr>
            <w:tcW w:w="1908" w:type="dxa"/>
            <w:tcBorders>
              <w:top w:val="single" w:sz="8" w:space="0" w:color="auto"/>
              <w:left w:val="nil"/>
              <w:bottom w:val="nil"/>
              <w:right w:val="nil"/>
            </w:tcBorders>
            <w:shd w:val="clear" w:color="auto" w:fill="E7E6E6"/>
            <w:vAlign w:val="center"/>
          </w:tcPr>
          <w:p w14:paraId="5D1E99E2"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Goffstown </w:t>
            </w:r>
          </w:p>
        </w:tc>
        <w:tc>
          <w:tcPr>
            <w:tcW w:w="1260" w:type="dxa"/>
            <w:tcBorders>
              <w:top w:val="single" w:sz="8" w:space="0" w:color="auto"/>
              <w:left w:val="nil"/>
              <w:bottom w:val="nil"/>
              <w:right w:val="nil"/>
            </w:tcBorders>
            <w:shd w:val="clear" w:color="auto" w:fill="E7E6E6"/>
            <w:vAlign w:val="center"/>
          </w:tcPr>
          <w:p w14:paraId="7A024DE9"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18%</w:t>
            </w:r>
          </w:p>
        </w:tc>
      </w:tr>
      <w:tr w:rsidR="00716819" w:rsidRPr="00C64BA4" w14:paraId="1C3B7024" w14:textId="77777777" w:rsidTr="008B25B2">
        <w:trPr>
          <w:trHeight w:val="340"/>
        </w:trPr>
        <w:tc>
          <w:tcPr>
            <w:tcW w:w="1908" w:type="dxa"/>
            <w:tcBorders>
              <w:top w:val="single" w:sz="8" w:space="0" w:color="auto"/>
              <w:left w:val="nil"/>
              <w:bottom w:val="single" w:sz="8" w:space="0" w:color="auto"/>
              <w:right w:val="nil"/>
            </w:tcBorders>
            <w:vAlign w:val="center"/>
          </w:tcPr>
          <w:p w14:paraId="0AD343C1"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Hooksett </w:t>
            </w:r>
          </w:p>
        </w:tc>
        <w:tc>
          <w:tcPr>
            <w:tcW w:w="1260" w:type="dxa"/>
            <w:tcBorders>
              <w:top w:val="single" w:sz="8" w:space="0" w:color="auto"/>
              <w:left w:val="nil"/>
              <w:bottom w:val="single" w:sz="8" w:space="0" w:color="auto"/>
              <w:right w:val="nil"/>
            </w:tcBorders>
            <w:vAlign w:val="center"/>
          </w:tcPr>
          <w:p w14:paraId="65DAF6D0"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19%</w:t>
            </w:r>
          </w:p>
        </w:tc>
      </w:tr>
      <w:tr w:rsidR="00716819" w:rsidRPr="00C64BA4" w14:paraId="3B90E715" w14:textId="77777777" w:rsidTr="008B25B2">
        <w:trPr>
          <w:trHeight w:val="340"/>
        </w:trPr>
        <w:tc>
          <w:tcPr>
            <w:tcW w:w="1908" w:type="dxa"/>
            <w:tcBorders>
              <w:top w:val="single" w:sz="8" w:space="0" w:color="auto"/>
              <w:left w:val="nil"/>
              <w:bottom w:val="nil"/>
              <w:right w:val="nil"/>
            </w:tcBorders>
            <w:shd w:val="clear" w:color="auto" w:fill="E7E6E6"/>
            <w:vAlign w:val="center"/>
          </w:tcPr>
          <w:p w14:paraId="2F49E21B"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Londonderry </w:t>
            </w:r>
          </w:p>
        </w:tc>
        <w:tc>
          <w:tcPr>
            <w:tcW w:w="1260" w:type="dxa"/>
            <w:tcBorders>
              <w:top w:val="single" w:sz="8" w:space="0" w:color="auto"/>
              <w:left w:val="nil"/>
              <w:bottom w:val="nil"/>
              <w:right w:val="nil"/>
            </w:tcBorders>
            <w:shd w:val="clear" w:color="auto" w:fill="E7E6E6"/>
            <w:vAlign w:val="center"/>
          </w:tcPr>
          <w:p w14:paraId="4073F528"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22%</w:t>
            </w:r>
          </w:p>
        </w:tc>
      </w:tr>
      <w:tr w:rsidR="00716819" w:rsidRPr="00C64BA4" w14:paraId="22AE0790" w14:textId="77777777" w:rsidTr="008B25B2">
        <w:trPr>
          <w:trHeight w:val="340"/>
        </w:trPr>
        <w:tc>
          <w:tcPr>
            <w:tcW w:w="1908" w:type="dxa"/>
            <w:tcBorders>
              <w:top w:val="single" w:sz="8" w:space="0" w:color="auto"/>
              <w:left w:val="nil"/>
              <w:bottom w:val="single" w:sz="8" w:space="0" w:color="auto"/>
              <w:right w:val="nil"/>
            </w:tcBorders>
            <w:vAlign w:val="center"/>
          </w:tcPr>
          <w:p w14:paraId="40FDEB84"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Manchester </w:t>
            </w:r>
          </w:p>
        </w:tc>
        <w:tc>
          <w:tcPr>
            <w:tcW w:w="1260" w:type="dxa"/>
            <w:tcBorders>
              <w:top w:val="single" w:sz="8" w:space="0" w:color="auto"/>
              <w:left w:val="nil"/>
              <w:bottom w:val="single" w:sz="8" w:space="0" w:color="auto"/>
              <w:right w:val="nil"/>
            </w:tcBorders>
            <w:vAlign w:val="center"/>
          </w:tcPr>
          <w:p w14:paraId="68410D74"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18%</w:t>
            </w:r>
          </w:p>
        </w:tc>
      </w:tr>
      <w:tr w:rsidR="00716819" w:rsidRPr="00C64BA4" w14:paraId="4BC5CECA" w14:textId="77777777" w:rsidTr="008B25B2">
        <w:trPr>
          <w:trHeight w:val="340"/>
        </w:trPr>
        <w:tc>
          <w:tcPr>
            <w:tcW w:w="1908" w:type="dxa"/>
            <w:tcBorders>
              <w:top w:val="single" w:sz="8" w:space="0" w:color="auto"/>
              <w:left w:val="nil"/>
              <w:bottom w:val="nil"/>
              <w:right w:val="nil"/>
            </w:tcBorders>
            <w:shd w:val="clear" w:color="auto" w:fill="E7E6E6"/>
            <w:vAlign w:val="center"/>
          </w:tcPr>
          <w:p w14:paraId="0964F2C9"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New Boston </w:t>
            </w:r>
          </w:p>
        </w:tc>
        <w:tc>
          <w:tcPr>
            <w:tcW w:w="1260" w:type="dxa"/>
            <w:tcBorders>
              <w:top w:val="single" w:sz="8" w:space="0" w:color="auto"/>
              <w:left w:val="nil"/>
              <w:bottom w:val="nil"/>
              <w:right w:val="nil"/>
            </w:tcBorders>
            <w:shd w:val="clear" w:color="auto" w:fill="E7E6E6"/>
            <w:vAlign w:val="center"/>
          </w:tcPr>
          <w:p w14:paraId="00C2C9D6"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26%</w:t>
            </w:r>
          </w:p>
        </w:tc>
      </w:tr>
      <w:tr w:rsidR="00716819" w:rsidRPr="00C64BA4" w14:paraId="6E14D759" w14:textId="77777777" w:rsidTr="008B25B2">
        <w:trPr>
          <w:trHeight w:val="285"/>
        </w:trPr>
        <w:tc>
          <w:tcPr>
            <w:tcW w:w="1908" w:type="dxa"/>
            <w:tcBorders>
              <w:top w:val="single" w:sz="8" w:space="0" w:color="auto"/>
              <w:left w:val="nil"/>
              <w:bottom w:val="single" w:sz="8" w:space="0" w:color="auto"/>
              <w:right w:val="nil"/>
            </w:tcBorders>
            <w:vAlign w:val="center"/>
          </w:tcPr>
          <w:p w14:paraId="7E9AF020" w14:textId="77777777" w:rsidR="00716819" w:rsidRPr="00C64BA4" w:rsidRDefault="00716819" w:rsidP="00206C45">
            <w:pPr>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Weare</w:t>
            </w:r>
            <w:proofErr w:type="spellEnd"/>
            <w:r w:rsidRPr="00C64BA4">
              <w:rPr>
                <w:rFonts w:eastAsia="Tw Cen MT" w:cs="Tw Cen MT"/>
                <w:color w:val="000000" w:themeColor="text1"/>
                <w:sz w:val="22"/>
                <w:szCs w:val="22"/>
              </w:rPr>
              <w:t xml:space="preserve"> </w:t>
            </w:r>
          </w:p>
        </w:tc>
        <w:tc>
          <w:tcPr>
            <w:tcW w:w="1260" w:type="dxa"/>
            <w:tcBorders>
              <w:top w:val="single" w:sz="8" w:space="0" w:color="auto"/>
              <w:left w:val="nil"/>
              <w:bottom w:val="single" w:sz="8" w:space="0" w:color="auto"/>
              <w:right w:val="nil"/>
            </w:tcBorders>
            <w:vAlign w:val="center"/>
          </w:tcPr>
          <w:p w14:paraId="18FAF1A4"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`22%</w:t>
            </w:r>
          </w:p>
        </w:tc>
      </w:tr>
      <w:tr w:rsidR="00716819" w:rsidRPr="00C64BA4" w14:paraId="42EDD889" w14:textId="77777777" w:rsidTr="008B25B2">
        <w:trPr>
          <w:trHeight w:val="313"/>
        </w:trPr>
        <w:tc>
          <w:tcPr>
            <w:tcW w:w="1908" w:type="dxa"/>
            <w:tcBorders>
              <w:top w:val="single" w:sz="8" w:space="0" w:color="auto"/>
              <w:left w:val="nil"/>
              <w:bottom w:val="single" w:sz="12" w:space="0" w:color="404040" w:themeColor="text1" w:themeTint="BF"/>
              <w:right w:val="nil"/>
            </w:tcBorders>
            <w:shd w:val="clear" w:color="auto" w:fill="E7E6E6"/>
            <w:vAlign w:val="center"/>
          </w:tcPr>
          <w:p w14:paraId="30966912"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Windham </w:t>
            </w:r>
          </w:p>
        </w:tc>
        <w:tc>
          <w:tcPr>
            <w:tcW w:w="1260" w:type="dxa"/>
            <w:tcBorders>
              <w:top w:val="single" w:sz="8" w:space="0" w:color="auto"/>
              <w:left w:val="nil"/>
              <w:bottom w:val="single" w:sz="12" w:space="0" w:color="404040" w:themeColor="text1" w:themeTint="BF"/>
              <w:right w:val="nil"/>
            </w:tcBorders>
            <w:shd w:val="clear" w:color="auto" w:fill="E7E6E6"/>
            <w:vAlign w:val="center"/>
          </w:tcPr>
          <w:p w14:paraId="15499535"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27%</w:t>
            </w:r>
          </w:p>
        </w:tc>
      </w:tr>
      <w:tr w:rsidR="00716819" w:rsidRPr="00C64BA4" w14:paraId="603FD325" w14:textId="77777777" w:rsidTr="008B25B2">
        <w:trPr>
          <w:trHeight w:val="300"/>
        </w:trPr>
        <w:tc>
          <w:tcPr>
            <w:tcW w:w="1908" w:type="dxa"/>
            <w:tcBorders>
              <w:top w:val="single" w:sz="12" w:space="0" w:color="404040" w:themeColor="text1" w:themeTint="BF"/>
              <w:left w:val="nil"/>
              <w:bottom w:val="single" w:sz="12" w:space="0" w:color="404040" w:themeColor="text1" w:themeTint="BF"/>
              <w:right w:val="nil"/>
            </w:tcBorders>
            <w:vAlign w:val="center"/>
          </w:tcPr>
          <w:p w14:paraId="3998E825"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SNHPC </w:t>
            </w:r>
          </w:p>
        </w:tc>
        <w:tc>
          <w:tcPr>
            <w:tcW w:w="1260" w:type="dxa"/>
            <w:tcBorders>
              <w:top w:val="single" w:sz="12" w:space="0" w:color="404040" w:themeColor="text1" w:themeTint="BF"/>
              <w:left w:val="nil"/>
              <w:bottom w:val="single" w:sz="12" w:space="0" w:color="404040" w:themeColor="text1" w:themeTint="BF"/>
              <w:right w:val="nil"/>
            </w:tcBorders>
            <w:vAlign w:val="center"/>
          </w:tcPr>
          <w:p w14:paraId="3A0EAE41"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20%</w:t>
            </w:r>
          </w:p>
        </w:tc>
      </w:tr>
      <w:tr w:rsidR="00716819" w:rsidRPr="00C64BA4" w14:paraId="5132AE46" w14:textId="77777777" w:rsidTr="008B25B2">
        <w:trPr>
          <w:trHeight w:val="285"/>
        </w:trPr>
        <w:tc>
          <w:tcPr>
            <w:tcW w:w="1908" w:type="dxa"/>
            <w:tcBorders>
              <w:top w:val="single" w:sz="12" w:space="0" w:color="404040" w:themeColor="text1" w:themeTint="BF"/>
              <w:left w:val="nil"/>
              <w:bottom w:val="nil"/>
              <w:right w:val="nil"/>
            </w:tcBorders>
            <w:shd w:val="clear" w:color="auto" w:fill="E7E6E6"/>
            <w:vAlign w:val="center"/>
          </w:tcPr>
          <w:p w14:paraId="0B9422FD"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NH </w:t>
            </w:r>
          </w:p>
        </w:tc>
        <w:tc>
          <w:tcPr>
            <w:tcW w:w="1260" w:type="dxa"/>
            <w:tcBorders>
              <w:top w:val="single" w:sz="12" w:space="0" w:color="404040" w:themeColor="text1" w:themeTint="BF"/>
              <w:left w:val="nil"/>
              <w:bottom w:val="nil"/>
              <w:right w:val="nil"/>
            </w:tcBorders>
            <w:shd w:val="clear" w:color="auto" w:fill="E7E6E6"/>
            <w:vAlign w:val="center"/>
          </w:tcPr>
          <w:p w14:paraId="4D0EF0A4" w14:textId="77777777" w:rsidR="00716819" w:rsidRPr="00C64BA4" w:rsidRDefault="00716819"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19%</w:t>
            </w:r>
          </w:p>
        </w:tc>
      </w:tr>
      <w:tr w:rsidR="00716819" w:rsidRPr="00C64BA4" w14:paraId="6A823648" w14:textId="77777777" w:rsidTr="008B25B2">
        <w:trPr>
          <w:trHeight w:val="285"/>
        </w:trPr>
        <w:tc>
          <w:tcPr>
            <w:tcW w:w="3168" w:type="dxa"/>
            <w:gridSpan w:val="2"/>
            <w:tcBorders>
              <w:top w:val="nil"/>
              <w:left w:val="nil"/>
              <w:bottom w:val="nil"/>
              <w:right w:val="nil"/>
            </w:tcBorders>
            <w:vAlign w:val="center"/>
          </w:tcPr>
          <w:p w14:paraId="2054A672" w14:textId="77777777" w:rsidR="00716819" w:rsidRPr="00C64BA4" w:rsidRDefault="00716819" w:rsidP="00206C45">
            <w:pPr>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5-Year American Community Survey</w:t>
            </w:r>
          </w:p>
        </w:tc>
      </w:tr>
      <w:tr w:rsidR="00716819" w:rsidRPr="00C64BA4" w14:paraId="063A2A15" w14:textId="77777777" w:rsidTr="008B25B2">
        <w:trPr>
          <w:trHeight w:val="80"/>
        </w:trPr>
        <w:tc>
          <w:tcPr>
            <w:tcW w:w="3168" w:type="dxa"/>
            <w:gridSpan w:val="2"/>
            <w:tcBorders>
              <w:top w:val="nil"/>
              <w:left w:val="nil"/>
              <w:bottom w:val="nil"/>
              <w:right w:val="nil"/>
            </w:tcBorders>
            <w:vAlign w:val="center"/>
          </w:tcPr>
          <w:p w14:paraId="20696451" w14:textId="77777777" w:rsidR="00716819" w:rsidRPr="00C64BA4" w:rsidRDefault="00716819" w:rsidP="00206C45">
            <w:pPr>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US Census Bureau</w:t>
            </w:r>
          </w:p>
        </w:tc>
      </w:tr>
    </w:tbl>
    <w:p w14:paraId="006D1304" w14:textId="77777777" w:rsidR="00716819" w:rsidRPr="00C64BA4" w:rsidRDefault="00716819" w:rsidP="00206C45">
      <w:pPr>
        <w:spacing w:line="300" w:lineRule="auto"/>
        <w:jc w:val="both"/>
        <w:rPr>
          <w:rFonts w:eastAsia="Tw Cen MT" w:cs="Tw Cen MT"/>
          <w:lang w:val="en"/>
        </w:rPr>
      </w:pPr>
      <w:r w:rsidRPr="00C64BA4">
        <w:rPr>
          <w:rFonts w:eastAsia="Tw Cen MT" w:cs="Tw Cen MT"/>
          <w:lang w:val="en"/>
        </w:rPr>
        <w:t xml:space="preserve">The population of residents less than 18 years old, or minors, continues to shrink in the region. The total number of minors fell by 13% between 2010 and 2020 to near 56,400. Minors also decreased as a share of the total population, down from around a third in the later part of the twentieth century. These figures are projected to begin leveling out the next few decades. The number of minors per household has also continued to fall. On average in 1980, 0.81 minors on average were found in every household in the region. By 2020, that rate had dropped to 0.53. Some communities have seen much steeper declines, with the average number of minors per household falling by 57% in Candia. </w:t>
      </w:r>
    </w:p>
    <w:p w14:paraId="737F3A72" w14:textId="77777777" w:rsidR="00716819" w:rsidRPr="00C64BA4" w:rsidRDefault="00716819" w:rsidP="00206C45">
      <w:pPr>
        <w:spacing w:line="300" w:lineRule="auto"/>
        <w:jc w:val="both"/>
        <w:rPr>
          <w:rFonts w:eastAsia="Tw Cen MT" w:cs="Tw Cen MT"/>
          <w:lang w:val="en"/>
        </w:rPr>
      </w:pPr>
      <w:r w:rsidRPr="00C64BA4">
        <w:rPr>
          <w:rFonts w:eastAsia="Tw Cen MT" w:cs="Tw Cen MT"/>
          <w:lang w:val="en"/>
        </w:rPr>
        <w:t xml:space="preserve">The minor population however is growing more </w:t>
      </w:r>
      <w:proofErr w:type="gramStart"/>
      <w:r w:rsidRPr="00C64BA4">
        <w:rPr>
          <w:rFonts w:eastAsia="Tw Cen MT" w:cs="Tw Cen MT"/>
          <w:lang w:val="en"/>
        </w:rPr>
        <w:t>diverse</w:t>
      </w:r>
      <w:proofErr w:type="gramEnd"/>
      <w:r w:rsidRPr="00C64BA4">
        <w:rPr>
          <w:rFonts w:eastAsia="Tw Cen MT" w:cs="Tw Cen MT"/>
          <w:lang w:val="en"/>
        </w:rPr>
        <w:t xml:space="preserve"> and a larger percentage are minority than the general public. Today, regionwide, minors are almost twice as likely to be a racial or ethnic minority. This phenomenon is strongest in the City of Manchester but can be found throughout all communities.</w:t>
      </w:r>
    </w:p>
    <w:p w14:paraId="72F217E1" w14:textId="77777777" w:rsidR="00716819" w:rsidRPr="00C64BA4" w:rsidRDefault="00716819" w:rsidP="00206C45">
      <w:pPr>
        <w:spacing w:line="300" w:lineRule="auto"/>
        <w:jc w:val="both"/>
        <w:rPr>
          <w:rFonts w:eastAsia="Tw Cen MT" w:cs="Tw Cen MT"/>
          <w:lang w:val="en"/>
        </w:rPr>
      </w:pPr>
      <w:r w:rsidRPr="00C64BA4">
        <w:rPr>
          <w:rFonts w:eastAsia="Tw Cen MT" w:cs="Tw Cen MT"/>
          <w:lang w:val="en"/>
        </w:rPr>
        <w:t>A landlord may try to impose specific rules just for families with children or reserve certain apartments for adults only. Regardless of parental status or legal guardianship for a child, or being pregnant, a housing provider cannot use this as a reason restrict access to housing.</w:t>
      </w:r>
    </w:p>
    <w:p w14:paraId="4D30FDFB" w14:textId="77777777" w:rsidR="00716819" w:rsidRPr="00C64BA4" w:rsidRDefault="00716819" w:rsidP="00206C45">
      <w:pPr>
        <w:spacing w:line="300" w:lineRule="auto"/>
        <w:rPr>
          <w:rFonts w:eastAsia="Tw Cen MT" w:cs="Tw Cen MT"/>
          <w:caps/>
          <w:color w:val="003BB3"/>
          <w:spacing w:val="10"/>
          <w:lang w:val="en"/>
        </w:rPr>
      </w:pPr>
      <w:r w:rsidRPr="00C64BA4">
        <w:rPr>
          <w:rFonts w:eastAsia="Tw Cen MT" w:cs="Tw Cen MT"/>
          <w:color w:val="003BB3"/>
          <w:lang w:val="en"/>
        </w:rPr>
        <w:br w:type="page"/>
      </w:r>
    </w:p>
    <w:p w14:paraId="35271AFC" w14:textId="37DB87BB" w:rsidR="00FB3623" w:rsidRPr="00C64BA4" w:rsidRDefault="003C5FE5" w:rsidP="00206C45">
      <w:pPr>
        <w:pStyle w:val="Heading4"/>
        <w:spacing w:line="300" w:lineRule="auto"/>
        <w:rPr>
          <w:rFonts w:eastAsia="Tw Cen MT" w:cs="Tw Cen MT"/>
          <w:color w:val="003BB3"/>
          <w:lang w:val="en"/>
        </w:rPr>
      </w:pPr>
      <w:r w:rsidRPr="00C64BA4">
        <w:rPr>
          <w:rFonts w:eastAsia="Tw Cen MT" w:cs="Tw Cen MT"/>
          <w:color w:val="003BB3"/>
          <w:lang w:val="en"/>
        </w:rPr>
        <w:lastRenderedPageBreak/>
        <w:t>Older Adults</w:t>
      </w:r>
      <w:r w:rsidR="09A70516" w:rsidRPr="00C64BA4">
        <w:rPr>
          <w:rFonts w:eastAsia="Tw Cen MT" w:cs="Tw Cen MT"/>
          <w:color w:val="003BB3"/>
          <w:lang w:val="en"/>
        </w:rPr>
        <w:t xml:space="preserve"> (People 65 Years of Age and Over)</w:t>
      </w:r>
    </w:p>
    <w:p w14:paraId="04A3C36F" w14:textId="60DCF0A8" w:rsidR="00751E3E" w:rsidRDefault="00751E3E" w:rsidP="00206C45">
      <w:pPr>
        <w:pStyle w:val="Caption"/>
        <w:keepNext/>
        <w:spacing w:line="300" w:lineRule="auto"/>
      </w:pPr>
      <w:bookmarkStart w:id="93" w:name="_Toc128137906"/>
      <w:r>
        <w:t xml:space="preserve">Table </w:t>
      </w:r>
      <w:r w:rsidR="0062538A">
        <w:fldChar w:fldCharType="begin"/>
      </w:r>
      <w:r w:rsidR="0062538A">
        <w:instrText xml:space="preserve"> SEQ Table \* ARABIC </w:instrText>
      </w:r>
      <w:r w:rsidR="0062538A">
        <w:fldChar w:fldCharType="separate"/>
      </w:r>
      <w:r w:rsidR="008B512A">
        <w:rPr>
          <w:noProof/>
        </w:rPr>
        <w:t>15</w:t>
      </w:r>
      <w:r w:rsidR="0062538A">
        <w:rPr>
          <w:noProof/>
        </w:rPr>
        <w:fldChar w:fldCharType="end"/>
      </w:r>
      <w:r>
        <w:t>: Percent of Population 65 Years or Older</w:t>
      </w:r>
      <w:bookmarkEnd w:id="93"/>
    </w:p>
    <w:tbl>
      <w:tblPr>
        <w:tblStyle w:val="TableGrid"/>
        <w:tblpPr w:leftFromText="180" w:rightFromText="180" w:vertAnchor="text" w:tblpX="135" w:tblpY="1"/>
        <w:tblOverlap w:val="never"/>
        <w:tblW w:w="0" w:type="auto"/>
        <w:tblLayout w:type="fixed"/>
        <w:tblLook w:val="06A0" w:firstRow="1" w:lastRow="0" w:firstColumn="1" w:lastColumn="0" w:noHBand="1" w:noVBand="1"/>
      </w:tblPr>
      <w:tblGrid>
        <w:gridCol w:w="1908"/>
        <w:gridCol w:w="1260"/>
      </w:tblGrid>
      <w:tr w:rsidR="3D6C7777" w:rsidRPr="00C64BA4" w14:paraId="78315D76" w14:textId="77777777" w:rsidTr="00FF70FE">
        <w:trPr>
          <w:trHeight w:val="285"/>
        </w:trPr>
        <w:tc>
          <w:tcPr>
            <w:tcW w:w="3168" w:type="dxa"/>
            <w:gridSpan w:val="2"/>
            <w:tcBorders>
              <w:top w:val="nil"/>
              <w:left w:val="nil"/>
              <w:bottom w:val="nil"/>
              <w:right w:val="nil"/>
            </w:tcBorders>
            <w:vAlign w:val="center"/>
          </w:tcPr>
          <w:p w14:paraId="6FACE813" w14:textId="25B49679" w:rsidR="3D6C7777" w:rsidRPr="00C64BA4" w:rsidRDefault="3D6C7777" w:rsidP="00206C45">
            <w:pPr>
              <w:spacing w:line="300" w:lineRule="auto"/>
              <w:jc w:val="center"/>
              <w:rPr>
                <w:rFonts w:eastAsia="Tw Cen MT" w:cs="Tw Cen MT"/>
                <w:b/>
                <w:bCs/>
                <w:color w:val="595959" w:themeColor="text1" w:themeTint="A6"/>
                <w:sz w:val="22"/>
                <w:szCs w:val="22"/>
              </w:rPr>
            </w:pPr>
            <w:r w:rsidRPr="00C64BA4">
              <w:rPr>
                <w:rFonts w:eastAsia="Tw Cen MT" w:cs="Tw Cen MT"/>
                <w:b/>
                <w:bCs/>
                <w:color w:val="595959" w:themeColor="text1" w:themeTint="A6"/>
                <w:sz w:val="22"/>
                <w:szCs w:val="22"/>
              </w:rPr>
              <w:t>% 65 Years or Older</w:t>
            </w:r>
          </w:p>
        </w:tc>
      </w:tr>
      <w:tr w:rsidR="3D6C7777" w:rsidRPr="00C64BA4" w14:paraId="5024F30D" w14:textId="77777777" w:rsidTr="00FF70FE">
        <w:trPr>
          <w:trHeight w:val="300"/>
        </w:trPr>
        <w:tc>
          <w:tcPr>
            <w:tcW w:w="1908" w:type="dxa"/>
            <w:tcBorders>
              <w:top w:val="nil"/>
              <w:left w:val="nil"/>
              <w:bottom w:val="single" w:sz="8" w:space="0" w:color="auto"/>
              <w:right w:val="nil"/>
            </w:tcBorders>
            <w:vAlign w:val="center"/>
          </w:tcPr>
          <w:p w14:paraId="1A29A39F" w14:textId="2701A652" w:rsidR="3D6C7777" w:rsidRPr="00C64BA4" w:rsidRDefault="3D6C7777" w:rsidP="00206C45">
            <w:pPr>
              <w:spacing w:line="300" w:lineRule="auto"/>
              <w:rPr>
                <w:rFonts w:eastAsia="Tw Cen MT" w:cs="Tw Cen MT"/>
                <w:color w:val="000000" w:themeColor="text1"/>
                <w:sz w:val="22"/>
                <w:szCs w:val="22"/>
              </w:rPr>
            </w:pPr>
            <w:r w:rsidRPr="00C64BA4">
              <w:rPr>
                <w:rFonts w:eastAsia="Tw Cen MT" w:cs="Tw Cen MT"/>
                <w:color w:val="000000" w:themeColor="text1"/>
                <w:sz w:val="22"/>
                <w:szCs w:val="22"/>
              </w:rPr>
              <w:t xml:space="preserve">  </w:t>
            </w:r>
          </w:p>
        </w:tc>
        <w:tc>
          <w:tcPr>
            <w:tcW w:w="1260" w:type="dxa"/>
            <w:tcBorders>
              <w:top w:val="nil"/>
              <w:left w:val="nil"/>
              <w:bottom w:val="single" w:sz="8" w:space="0" w:color="auto"/>
              <w:right w:val="nil"/>
            </w:tcBorders>
            <w:vAlign w:val="center"/>
          </w:tcPr>
          <w:p w14:paraId="4C1C6BFD" w14:textId="38C16A43" w:rsidR="3D6C7777" w:rsidRPr="00C64BA4" w:rsidRDefault="3D6C7777" w:rsidP="00206C45">
            <w:pPr>
              <w:spacing w:line="300" w:lineRule="auto"/>
              <w:jc w:val="center"/>
              <w:rPr>
                <w:rFonts w:eastAsia="Tw Cen MT" w:cs="Tw Cen MT"/>
                <w:color w:val="595959" w:themeColor="text1" w:themeTint="A6"/>
                <w:sz w:val="22"/>
                <w:szCs w:val="22"/>
              </w:rPr>
            </w:pPr>
            <w:r w:rsidRPr="00C64BA4">
              <w:rPr>
                <w:rFonts w:eastAsia="Tw Cen MT" w:cs="Tw Cen MT"/>
                <w:b/>
                <w:bCs/>
                <w:color w:val="595959" w:themeColor="text1" w:themeTint="A6"/>
                <w:sz w:val="22"/>
                <w:szCs w:val="22"/>
              </w:rPr>
              <w:t>2020</w:t>
            </w:r>
            <w:r w:rsidRPr="00C64BA4">
              <w:rPr>
                <w:rFonts w:eastAsia="Tw Cen MT" w:cs="Tw Cen MT"/>
                <w:color w:val="595959" w:themeColor="text1" w:themeTint="A6"/>
                <w:sz w:val="22"/>
                <w:szCs w:val="22"/>
              </w:rPr>
              <w:t xml:space="preserve"> </w:t>
            </w:r>
          </w:p>
        </w:tc>
      </w:tr>
      <w:tr w:rsidR="3D6C7777" w:rsidRPr="00C64BA4" w14:paraId="6F5EFF8E" w14:textId="77777777" w:rsidTr="00FF70FE">
        <w:trPr>
          <w:trHeight w:val="285"/>
        </w:trPr>
        <w:tc>
          <w:tcPr>
            <w:tcW w:w="1908" w:type="dxa"/>
            <w:tcBorders>
              <w:top w:val="single" w:sz="8" w:space="0" w:color="auto"/>
              <w:left w:val="nil"/>
              <w:bottom w:val="nil"/>
              <w:right w:val="nil"/>
            </w:tcBorders>
            <w:vAlign w:val="center"/>
          </w:tcPr>
          <w:p w14:paraId="6C59175F" w14:textId="54800291"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Auburn </w:t>
            </w:r>
          </w:p>
        </w:tc>
        <w:tc>
          <w:tcPr>
            <w:tcW w:w="1260" w:type="dxa"/>
            <w:tcBorders>
              <w:top w:val="single" w:sz="8" w:space="0" w:color="auto"/>
              <w:left w:val="nil"/>
              <w:bottom w:val="nil"/>
              <w:right w:val="nil"/>
            </w:tcBorders>
            <w:vAlign w:val="center"/>
          </w:tcPr>
          <w:p w14:paraId="46175B57" w14:textId="48F1FF2F"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13% </w:t>
            </w:r>
          </w:p>
        </w:tc>
      </w:tr>
      <w:tr w:rsidR="3D6C7777" w:rsidRPr="00C64BA4" w14:paraId="40F644FF" w14:textId="77777777" w:rsidTr="00FF70FE">
        <w:trPr>
          <w:trHeight w:val="336"/>
        </w:trPr>
        <w:tc>
          <w:tcPr>
            <w:tcW w:w="1908" w:type="dxa"/>
            <w:tcBorders>
              <w:top w:val="single" w:sz="8" w:space="0" w:color="auto"/>
              <w:left w:val="nil"/>
              <w:bottom w:val="single" w:sz="8" w:space="0" w:color="auto"/>
              <w:right w:val="nil"/>
            </w:tcBorders>
            <w:shd w:val="clear" w:color="auto" w:fill="E7E6E6"/>
            <w:vAlign w:val="center"/>
          </w:tcPr>
          <w:p w14:paraId="2D85BFC8" w14:textId="72C0F9A0"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Bedford </w:t>
            </w:r>
          </w:p>
        </w:tc>
        <w:tc>
          <w:tcPr>
            <w:tcW w:w="1260" w:type="dxa"/>
            <w:tcBorders>
              <w:top w:val="single" w:sz="8" w:space="0" w:color="auto"/>
              <w:left w:val="nil"/>
              <w:bottom w:val="single" w:sz="8" w:space="0" w:color="auto"/>
              <w:right w:val="nil"/>
            </w:tcBorders>
            <w:shd w:val="clear" w:color="auto" w:fill="E7E6E6"/>
            <w:vAlign w:val="center"/>
          </w:tcPr>
          <w:p w14:paraId="0CA62674" w14:textId="67F26CCF"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17%</w:t>
            </w:r>
          </w:p>
        </w:tc>
      </w:tr>
      <w:tr w:rsidR="3D6C7777" w:rsidRPr="00C64BA4" w14:paraId="1ECCDB63" w14:textId="77777777" w:rsidTr="00FF70FE">
        <w:trPr>
          <w:trHeight w:val="285"/>
        </w:trPr>
        <w:tc>
          <w:tcPr>
            <w:tcW w:w="1908" w:type="dxa"/>
            <w:tcBorders>
              <w:top w:val="single" w:sz="8" w:space="0" w:color="auto"/>
              <w:left w:val="nil"/>
              <w:bottom w:val="nil"/>
              <w:right w:val="nil"/>
            </w:tcBorders>
            <w:vAlign w:val="center"/>
          </w:tcPr>
          <w:p w14:paraId="189E2A75" w14:textId="5703ABE8"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Candia </w:t>
            </w:r>
          </w:p>
        </w:tc>
        <w:tc>
          <w:tcPr>
            <w:tcW w:w="1260" w:type="dxa"/>
            <w:tcBorders>
              <w:top w:val="single" w:sz="8" w:space="0" w:color="auto"/>
              <w:left w:val="nil"/>
              <w:bottom w:val="nil"/>
              <w:right w:val="nil"/>
            </w:tcBorders>
            <w:vAlign w:val="center"/>
          </w:tcPr>
          <w:p w14:paraId="1C7888D2" w14:textId="4B086F82"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17%</w:t>
            </w:r>
          </w:p>
        </w:tc>
      </w:tr>
      <w:tr w:rsidR="3D6C7777" w:rsidRPr="00C64BA4" w14:paraId="4AAFCA29" w14:textId="77777777" w:rsidTr="00FF70FE">
        <w:trPr>
          <w:trHeight w:val="285"/>
        </w:trPr>
        <w:tc>
          <w:tcPr>
            <w:tcW w:w="1908" w:type="dxa"/>
            <w:tcBorders>
              <w:top w:val="single" w:sz="8" w:space="0" w:color="auto"/>
              <w:left w:val="nil"/>
              <w:bottom w:val="single" w:sz="8" w:space="0" w:color="auto"/>
              <w:right w:val="nil"/>
            </w:tcBorders>
            <w:shd w:val="clear" w:color="auto" w:fill="E7E6E6"/>
            <w:vAlign w:val="center"/>
          </w:tcPr>
          <w:p w14:paraId="522B8700" w14:textId="75A46B5B"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Chester </w:t>
            </w:r>
          </w:p>
        </w:tc>
        <w:tc>
          <w:tcPr>
            <w:tcW w:w="1260" w:type="dxa"/>
            <w:tcBorders>
              <w:top w:val="single" w:sz="8" w:space="0" w:color="auto"/>
              <w:left w:val="nil"/>
              <w:bottom w:val="single" w:sz="8" w:space="0" w:color="auto"/>
              <w:right w:val="nil"/>
            </w:tcBorders>
            <w:shd w:val="clear" w:color="auto" w:fill="E7E6E6"/>
            <w:vAlign w:val="center"/>
          </w:tcPr>
          <w:p w14:paraId="2FDCE2BB" w14:textId="6195FE83"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14%</w:t>
            </w:r>
          </w:p>
        </w:tc>
      </w:tr>
      <w:tr w:rsidR="3D6C7777" w:rsidRPr="00C64BA4" w14:paraId="648E5562" w14:textId="77777777" w:rsidTr="00FF70FE">
        <w:trPr>
          <w:trHeight w:val="285"/>
        </w:trPr>
        <w:tc>
          <w:tcPr>
            <w:tcW w:w="1908" w:type="dxa"/>
            <w:tcBorders>
              <w:top w:val="single" w:sz="8" w:space="0" w:color="auto"/>
              <w:left w:val="nil"/>
              <w:bottom w:val="nil"/>
              <w:right w:val="nil"/>
            </w:tcBorders>
            <w:vAlign w:val="center"/>
          </w:tcPr>
          <w:p w14:paraId="356F4222" w14:textId="22A0BE3F"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Deerfield </w:t>
            </w:r>
          </w:p>
        </w:tc>
        <w:tc>
          <w:tcPr>
            <w:tcW w:w="1260" w:type="dxa"/>
            <w:tcBorders>
              <w:top w:val="single" w:sz="8" w:space="0" w:color="auto"/>
              <w:left w:val="nil"/>
              <w:bottom w:val="nil"/>
              <w:right w:val="nil"/>
            </w:tcBorders>
            <w:vAlign w:val="center"/>
          </w:tcPr>
          <w:p w14:paraId="5EB62B92" w14:textId="53800749"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15%</w:t>
            </w:r>
          </w:p>
        </w:tc>
      </w:tr>
      <w:tr w:rsidR="3D6C7777" w:rsidRPr="00C64BA4" w14:paraId="29CBC610" w14:textId="77777777" w:rsidTr="00FF70FE">
        <w:trPr>
          <w:trHeight w:val="285"/>
        </w:trPr>
        <w:tc>
          <w:tcPr>
            <w:tcW w:w="1908" w:type="dxa"/>
            <w:tcBorders>
              <w:top w:val="single" w:sz="8" w:space="0" w:color="auto"/>
              <w:left w:val="nil"/>
              <w:bottom w:val="single" w:sz="8" w:space="0" w:color="auto"/>
              <w:right w:val="nil"/>
            </w:tcBorders>
            <w:shd w:val="clear" w:color="auto" w:fill="E7E6E6"/>
            <w:vAlign w:val="center"/>
          </w:tcPr>
          <w:p w14:paraId="4F1AF1F7" w14:textId="7E4FDC28"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Derry </w:t>
            </w:r>
          </w:p>
        </w:tc>
        <w:tc>
          <w:tcPr>
            <w:tcW w:w="1260" w:type="dxa"/>
            <w:tcBorders>
              <w:top w:val="single" w:sz="8" w:space="0" w:color="auto"/>
              <w:left w:val="nil"/>
              <w:bottom w:val="single" w:sz="8" w:space="0" w:color="auto"/>
              <w:right w:val="nil"/>
            </w:tcBorders>
            <w:shd w:val="clear" w:color="auto" w:fill="E7E6E6"/>
            <w:vAlign w:val="center"/>
          </w:tcPr>
          <w:p w14:paraId="3158386D" w14:textId="58CFFBA1"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12%</w:t>
            </w:r>
          </w:p>
        </w:tc>
      </w:tr>
      <w:tr w:rsidR="3D6C7777" w:rsidRPr="00C64BA4" w14:paraId="39C75CE9" w14:textId="77777777" w:rsidTr="00FF70FE">
        <w:trPr>
          <w:trHeight w:val="285"/>
        </w:trPr>
        <w:tc>
          <w:tcPr>
            <w:tcW w:w="1908" w:type="dxa"/>
            <w:tcBorders>
              <w:top w:val="single" w:sz="8" w:space="0" w:color="auto"/>
              <w:left w:val="nil"/>
              <w:bottom w:val="nil"/>
              <w:right w:val="nil"/>
            </w:tcBorders>
            <w:vAlign w:val="center"/>
          </w:tcPr>
          <w:p w14:paraId="262F8701" w14:textId="3501ADF6" w:rsidR="3D6C7777" w:rsidRPr="00C64BA4" w:rsidRDefault="3D6C7777" w:rsidP="00206C45">
            <w:pPr>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Francestown</w:t>
            </w:r>
            <w:proofErr w:type="spellEnd"/>
            <w:r w:rsidRPr="00C64BA4">
              <w:rPr>
                <w:rFonts w:eastAsia="Tw Cen MT" w:cs="Tw Cen MT"/>
                <w:color w:val="000000" w:themeColor="text1"/>
                <w:sz w:val="22"/>
                <w:szCs w:val="22"/>
              </w:rPr>
              <w:t xml:space="preserve"> </w:t>
            </w:r>
          </w:p>
        </w:tc>
        <w:tc>
          <w:tcPr>
            <w:tcW w:w="1260" w:type="dxa"/>
            <w:tcBorders>
              <w:top w:val="single" w:sz="8" w:space="0" w:color="auto"/>
              <w:left w:val="nil"/>
              <w:bottom w:val="nil"/>
              <w:right w:val="nil"/>
            </w:tcBorders>
            <w:vAlign w:val="center"/>
          </w:tcPr>
          <w:p w14:paraId="2FB86F12" w14:textId="1FD6AD53"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21%</w:t>
            </w:r>
          </w:p>
        </w:tc>
      </w:tr>
      <w:tr w:rsidR="3D6C7777" w:rsidRPr="00C64BA4" w14:paraId="4465A5A9" w14:textId="77777777" w:rsidTr="00FF70FE">
        <w:trPr>
          <w:trHeight w:val="285"/>
        </w:trPr>
        <w:tc>
          <w:tcPr>
            <w:tcW w:w="1908" w:type="dxa"/>
            <w:tcBorders>
              <w:top w:val="single" w:sz="8" w:space="0" w:color="auto"/>
              <w:left w:val="nil"/>
              <w:bottom w:val="single" w:sz="8" w:space="0" w:color="auto"/>
              <w:right w:val="nil"/>
            </w:tcBorders>
            <w:shd w:val="clear" w:color="auto" w:fill="E7E6E6"/>
            <w:vAlign w:val="center"/>
          </w:tcPr>
          <w:p w14:paraId="6F1A0839" w14:textId="58FCCD67"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Goffstown </w:t>
            </w:r>
          </w:p>
        </w:tc>
        <w:tc>
          <w:tcPr>
            <w:tcW w:w="1260" w:type="dxa"/>
            <w:tcBorders>
              <w:top w:val="single" w:sz="8" w:space="0" w:color="auto"/>
              <w:left w:val="nil"/>
              <w:bottom w:val="single" w:sz="8" w:space="0" w:color="auto"/>
              <w:right w:val="nil"/>
            </w:tcBorders>
            <w:shd w:val="clear" w:color="auto" w:fill="E7E6E6"/>
            <w:vAlign w:val="center"/>
          </w:tcPr>
          <w:p w14:paraId="33DEA551" w14:textId="196D31AA"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16%</w:t>
            </w:r>
          </w:p>
        </w:tc>
      </w:tr>
      <w:tr w:rsidR="3D6C7777" w:rsidRPr="00C64BA4" w14:paraId="6697CD36" w14:textId="77777777" w:rsidTr="00FF70FE">
        <w:trPr>
          <w:trHeight w:val="285"/>
        </w:trPr>
        <w:tc>
          <w:tcPr>
            <w:tcW w:w="1908" w:type="dxa"/>
            <w:tcBorders>
              <w:top w:val="single" w:sz="8" w:space="0" w:color="auto"/>
              <w:left w:val="nil"/>
              <w:bottom w:val="nil"/>
              <w:right w:val="nil"/>
            </w:tcBorders>
            <w:vAlign w:val="center"/>
          </w:tcPr>
          <w:p w14:paraId="03F1907A" w14:textId="6CB1D2AF"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Hooksett </w:t>
            </w:r>
          </w:p>
        </w:tc>
        <w:tc>
          <w:tcPr>
            <w:tcW w:w="1260" w:type="dxa"/>
            <w:tcBorders>
              <w:top w:val="single" w:sz="8" w:space="0" w:color="auto"/>
              <w:left w:val="nil"/>
              <w:bottom w:val="nil"/>
              <w:right w:val="nil"/>
            </w:tcBorders>
            <w:vAlign w:val="center"/>
          </w:tcPr>
          <w:p w14:paraId="7950796A" w14:textId="106AE80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15%</w:t>
            </w:r>
          </w:p>
        </w:tc>
      </w:tr>
      <w:tr w:rsidR="3D6C7777" w:rsidRPr="00C64BA4" w14:paraId="3254C221" w14:textId="77777777" w:rsidTr="00FF70FE">
        <w:trPr>
          <w:trHeight w:val="285"/>
        </w:trPr>
        <w:tc>
          <w:tcPr>
            <w:tcW w:w="1908" w:type="dxa"/>
            <w:tcBorders>
              <w:top w:val="single" w:sz="8" w:space="0" w:color="auto"/>
              <w:left w:val="nil"/>
              <w:bottom w:val="single" w:sz="8" w:space="0" w:color="auto"/>
              <w:right w:val="nil"/>
            </w:tcBorders>
            <w:shd w:val="clear" w:color="auto" w:fill="E7E6E6"/>
            <w:vAlign w:val="center"/>
          </w:tcPr>
          <w:p w14:paraId="42B1B58F" w14:textId="126E0847"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Londonderry </w:t>
            </w:r>
          </w:p>
        </w:tc>
        <w:tc>
          <w:tcPr>
            <w:tcW w:w="1260" w:type="dxa"/>
            <w:tcBorders>
              <w:top w:val="single" w:sz="8" w:space="0" w:color="auto"/>
              <w:left w:val="nil"/>
              <w:bottom w:val="single" w:sz="8" w:space="0" w:color="auto"/>
              <w:right w:val="nil"/>
            </w:tcBorders>
            <w:shd w:val="clear" w:color="auto" w:fill="E7E6E6"/>
            <w:vAlign w:val="center"/>
          </w:tcPr>
          <w:p w14:paraId="386ED556" w14:textId="31E744D8"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15%</w:t>
            </w:r>
          </w:p>
        </w:tc>
      </w:tr>
      <w:tr w:rsidR="3D6C7777" w:rsidRPr="00C64BA4" w14:paraId="3B8FF2DF" w14:textId="77777777" w:rsidTr="00FF70FE">
        <w:trPr>
          <w:trHeight w:val="285"/>
        </w:trPr>
        <w:tc>
          <w:tcPr>
            <w:tcW w:w="1908" w:type="dxa"/>
            <w:tcBorders>
              <w:top w:val="single" w:sz="8" w:space="0" w:color="auto"/>
              <w:left w:val="nil"/>
              <w:bottom w:val="nil"/>
              <w:right w:val="nil"/>
            </w:tcBorders>
            <w:vAlign w:val="center"/>
          </w:tcPr>
          <w:p w14:paraId="6C3A5BE7" w14:textId="270F7F22"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Manchester </w:t>
            </w:r>
          </w:p>
        </w:tc>
        <w:tc>
          <w:tcPr>
            <w:tcW w:w="1260" w:type="dxa"/>
            <w:tcBorders>
              <w:top w:val="single" w:sz="8" w:space="0" w:color="auto"/>
              <w:left w:val="nil"/>
              <w:bottom w:val="nil"/>
              <w:right w:val="nil"/>
            </w:tcBorders>
            <w:vAlign w:val="center"/>
          </w:tcPr>
          <w:p w14:paraId="02F836F2" w14:textId="4F370A35"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14%</w:t>
            </w:r>
          </w:p>
        </w:tc>
      </w:tr>
      <w:tr w:rsidR="3D6C7777" w:rsidRPr="00C64BA4" w14:paraId="022BC118" w14:textId="77777777" w:rsidTr="00FF70FE">
        <w:trPr>
          <w:trHeight w:val="285"/>
        </w:trPr>
        <w:tc>
          <w:tcPr>
            <w:tcW w:w="1908" w:type="dxa"/>
            <w:tcBorders>
              <w:top w:val="single" w:sz="8" w:space="0" w:color="auto"/>
              <w:left w:val="nil"/>
              <w:bottom w:val="single" w:sz="8" w:space="0" w:color="auto"/>
              <w:right w:val="nil"/>
            </w:tcBorders>
            <w:shd w:val="clear" w:color="auto" w:fill="E7E6E6"/>
            <w:vAlign w:val="center"/>
          </w:tcPr>
          <w:p w14:paraId="0C7A522D" w14:textId="0EDA36A6"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New Boston </w:t>
            </w:r>
          </w:p>
        </w:tc>
        <w:tc>
          <w:tcPr>
            <w:tcW w:w="1260" w:type="dxa"/>
            <w:tcBorders>
              <w:top w:val="single" w:sz="8" w:space="0" w:color="auto"/>
              <w:left w:val="nil"/>
              <w:bottom w:val="single" w:sz="8" w:space="0" w:color="auto"/>
              <w:right w:val="nil"/>
            </w:tcBorders>
            <w:shd w:val="clear" w:color="auto" w:fill="E7E6E6"/>
            <w:vAlign w:val="center"/>
          </w:tcPr>
          <w:p w14:paraId="6E75FEA8" w14:textId="29FC4DC0"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11%</w:t>
            </w:r>
          </w:p>
        </w:tc>
      </w:tr>
      <w:tr w:rsidR="3D6C7777" w:rsidRPr="00C64BA4" w14:paraId="0E757370" w14:textId="77777777" w:rsidTr="00FF70FE">
        <w:trPr>
          <w:trHeight w:val="285"/>
        </w:trPr>
        <w:tc>
          <w:tcPr>
            <w:tcW w:w="1908" w:type="dxa"/>
            <w:tcBorders>
              <w:top w:val="single" w:sz="8" w:space="0" w:color="auto"/>
              <w:left w:val="nil"/>
              <w:bottom w:val="nil"/>
              <w:right w:val="nil"/>
            </w:tcBorders>
            <w:vAlign w:val="center"/>
          </w:tcPr>
          <w:p w14:paraId="6BED03FD" w14:textId="76B90944" w:rsidR="3D6C7777" w:rsidRPr="00C64BA4" w:rsidRDefault="3D6C7777" w:rsidP="00206C45">
            <w:pPr>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Weare</w:t>
            </w:r>
            <w:proofErr w:type="spellEnd"/>
            <w:r w:rsidRPr="00C64BA4">
              <w:rPr>
                <w:rFonts w:eastAsia="Tw Cen MT" w:cs="Tw Cen MT"/>
                <w:color w:val="000000" w:themeColor="text1"/>
                <w:sz w:val="22"/>
                <w:szCs w:val="22"/>
              </w:rPr>
              <w:t xml:space="preserve"> </w:t>
            </w:r>
          </w:p>
        </w:tc>
        <w:tc>
          <w:tcPr>
            <w:tcW w:w="1260" w:type="dxa"/>
            <w:tcBorders>
              <w:top w:val="single" w:sz="8" w:space="0" w:color="auto"/>
              <w:left w:val="nil"/>
              <w:bottom w:val="nil"/>
              <w:right w:val="nil"/>
            </w:tcBorders>
            <w:vAlign w:val="center"/>
          </w:tcPr>
          <w:p w14:paraId="0775D5D8" w14:textId="666FB84E"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12%</w:t>
            </w:r>
          </w:p>
        </w:tc>
      </w:tr>
      <w:tr w:rsidR="3D6C7777" w:rsidRPr="00C64BA4" w14:paraId="3FE7A667" w14:textId="77777777" w:rsidTr="00FF70FE">
        <w:trPr>
          <w:trHeight w:val="285"/>
        </w:trPr>
        <w:tc>
          <w:tcPr>
            <w:tcW w:w="1908" w:type="dxa"/>
            <w:tcBorders>
              <w:top w:val="single" w:sz="8" w:space="0" w:color="auto"/>
              <w:left w:val="nil"/>
              <w:bottom w:val="single" w:sz="12" w:space="0" w:color="404040" w:themeColor="text1" w:themeTint="BF"/>
              <w:right w:val="nil"/>
            </w:tcBorders>
            <w:shd w:val="clear" w:color="auto" w:fill="E7E6E6"/>
            <w:vAlign w:val="center"/>
          </w:tcPr>
          <w:p w14:paraId="21A043F9" w14:textId="6E21221B"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Windham </w:t>
            </w:r>
          </w:p>
        </w:tc>
        <w:tc>
          <w:tcPr>
            <w:tcW w:w="1260" w:type="dxa"/>
            <w:tcBorders>
              <w:top w:val="single" w:sz="8" w:space="0" w:color="auto"/>
              <w:left w:val="nil"/>
              <w:bottom w:val="single" w:sz="12" w:space="0" w:color="404040" w:themeColor="text1" w:themeTint="BF"/>
              <w:right w:val="nil"/>
            </w:tcBorders>
            <w:shd w:val="clear" w:color="auto" w:fill="E7E6E6"/>
            <w:vAlign w:val="center"/>
          </w:tcPr>
          <w:p w14:paraId="0E4E1552" w14:textId="548B32C9"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16%</w:t>
            </w:r>
          </w:p>
        </w:tc>
      </w:tr>
      <w:tr w:rsidR="3D6C7777" w:rsidRPr="00C64BA4" w14:paraId="5AE8A4D7" w14:textId="77777777" w:rsidTr="00FF70FE">
        <w:trPr>
          <w:trHeight w:val="300"/>
        </w:trPr>
        <w:tc>
          <w:tcPr>
            <w:tcW w:w="1908" w:type="dxa"/>
            <w:tcBorders>
              <w:top w:val="single" w:sz="12" w:space="0" w:color="404040" w:themeColor="text1" w:themeTint="BF"/>
              <w:left w:val="nil"/>
              <w:bottom w:val="single" w:sz="12" w:space="0" w:color="404040" w:themeColor="text1" w:themeTint="BF"/>
              <w:right w:val="nil"/>
            </w:tcBorders>
            <w:vAlign w:val="center"/>
          </w:tcPr>
          <w:p w14:paraId="2FEF6BBD" w14:textId="186D67F3"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SNHPC </w:t>
            </w:r>
          </w:p>
        </w:tc>
        <w:tc>
          <w:tcPr>
            <w:tcW w:w="1260" w:type="dxa"/>
            <w:tcBorders>
              <w:top w:val="single" w:sz="12" w:space="0" w:color="404040" w:themeColor="text1" w:themeTint="BF"/>
              <w:left w:val="nil"/>
              <w:bottom w:val="single" w:sz="12" w:space="0" w:color="404040" w:themeColor="text1" w:themeTint="BF"/>
              <w:right w:val="nil"/>
            </w:tcBorders>
            <w:vAlign w:val="center"/>
          </w:tcPr>
          <w:p w14:paraId="58E1C300" w14:textId="74DA2613"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14%</w:t>
            </w:r>
          </w:p>
        </w:tc>
      </w:tr>
      <w:tr w:rsidR="3D6C7777" w:rsidRPr="00C64BA4" w14:paraId="390D57B8" w14:textId="77777777" w:rsidTr="00FF70FE">
        <w:trPr>
          <w:trHeight w:val="300"/>
        </w:trPr>
        <w:tc>
          <w:tcPr>
            <w:tcW w:w="1908" w:type="dxa"/>
            <w:tcBorders>
              <w:top w:val="single" w:sz="12" w:space="0" w:color="404040" w:themeColor="text1" w:themeTint="BF"/>
              <w:left w:val="nil"/>
              <w:bottom w:val="nil"/>
              <w:right w:val="nil"/>
            </w:tcBorders>
            <w:shd w:val="clear" w:color="auto" w:fill="E7E6E6"/>
            <w:vAlign w:val="center"/>
          </w:tcPr>
          <w:p w14:paraId="571C8A2B" w14:textId="4D3C8AB7"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NH </w:t>
            </w:r>
          </w:p>
        </w:tc>
        <w:tc>
          <w:tcPr>
            <w:tcW w:w="1260" w:type="dxa"/>
            <w:tcBorders>
              <w:top w:val="single" w:sz="12" w:space="0" w:color="404040" w:themeColor="text1" w:themeTint="BF"/>
              <w:left w:val="nil"/>
              <w:bottom w:val="nil"/>
              <w:right w:val="nil"/>
            </w:tcBorders>
            <w:shd w:val="clear" w:color="auto" w:fill="E7E6E6"/>
            <w:vAlign w:val="center"/>
          </w:tcPr>
          <w:p w14:paraId="43C01295" w14:textId="37444092"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18%</w:t>
            </w:r>
          </w:p>
        </w:tc>
      </w:tr>
      <w:tr w:rsidR="3D6C7777" w:rsidRPr="00C64BA4" w14:paraId="5B010272" w14:textId="77777777" w:rsidTr="00FF70FE">
        <w:trPr>
          <w:trHeight w:val="285"/>
        </w:trPr>
        <w:tc>
          <w:tcPr>
            <w:tcW w:w="3168" w:type="dxa"/>
            <w:gridSpan w:val="2"/>
            <w:tcBorders>
              <w:top w:val="nil"/>
              <w:left w:val="nil"/>
              <w:bottom w:val="nil"/>
              <w:right w:val="nil"/>
            </w:tcBorders>
            <w:vAlign w:val="center"/>
          </w:tcPr>
          <w:p w14:paraId="0568E83E" w14:textId="6E88750A" w:rsidR="3D6C7777" w:rsidRPr="00C64BA4" w:rsidRDefault="3D6C7777" w:rsidP="00206C45">
            <w:pPr>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5-Year American Community Survey</w:t>
            </w:r>
          </w:p>
        </w:tc>
      </w:tr>
      <w:tr w:rsidR="3D6C7777" w:rsidRPr="00C64BA4" w14:paraId="2120DCD7" w14:textId="77777777" w:rsidTr="00FF70FE">
        <w:trPr>
          <w:trHeight w:val="80"/>
        </w:trPr>
        <w:tc>
          <w:tcPr>
            <w:tcW w:w="3168" w:type="dxa"/>
            <w:gridSpan w:val="2"/>
            <w:tcBorders>
              <w:top w:val="nil"/>
              <w:left w:val="nil"/>
              <w:bottom w:val="nil"/>
              <w:right w:val="nil"/>
            </w:tcBorders>
            <w:vAlign w:val="center"/>
          </w:tcPr>
          <w:p w14:paraId="3405B1EC" w14:textId="744F208E" w:rsidR="3D6C7777" w:rsidRPr="00C64BA4" w:rsidRDefault="3D6C7777" w:rsidP="00206C45">
            <w:pPr>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US Census Bureau</w:t>
            </w:r>
          </w:p>
        </w:tc>
      </w:tr>
    </w:tbl>
    <w:p w14:paraId="32BA9B64" w14:textId="33D0DD96" w:rsidR="00FB3623" w:rsidRPr="00C64BA4" w:rsidRDefault="09A70516" w:rsidP="00206C45">
      <w:pPr>
        <w:spacing w:line="300" w:lineRule="auto"/>
        <w:jc w:val="both"/>
        <w:rPr>
          <w:rFonts w:eastAsia="Tw Cen MT" w:cs="Tw Cen MT"/>
          <w:lang w:val="en"/>
        </w:rPr>
      </w:pPr>
      <w:r w:rsidRPr="00C64BA4">
        <w:rPr>
          <w:rFonts w:eastAsia="Tw Cen MT" w:cs="Tw Cen MT"/>
          <w:lang w:val="en"/>
        </w:rPr>
        <w:t>Southern New Hampshire’s senior population, or those 65 years or older, is a quickly growing segment of the region’s population. People over the age of 65 have increased by around 50% over the past decade to almost 40,000. While around 40% of seniors live in Manchester, the majority live in suburban and exurban communities which presents unique challenges in meeting their needs as they age. Senior citizens often experience mobility challenges and other impairments with time, resulting in isolation and trouble accessing services. Seniors are more likely to need assistance with daily care that requires a caretaker or congregate living arrangement.</w:t>
      </w:r>
    </w:p>
    <w:p w14:paraId="07B0E1DF" w14:textId="2CAA0927" w:rsidR="00FB3623" w:rsidRPr="00751E3E" w:rsidRDefault="09A70516" w:rsidP="00206C45">
      <w:pPr>
        <w:spacing w:line="300" w:lineRule="auto"/>
        <w:jc w:val="both"/>
        <w:rPr>
          <w:rFonts w:eastAsia="Tw Cen MT" w:cs="Tw Cen MT"/>
          <w:lang w:val="en"/>
        </w:rPr>
      </w:pPr>
      <w:r w:rsidRPr="00C64BA4">
        <w:rPr>
          <w:rFonts w:eastAsia="Tw Cen MT" w:cs="Tw Cen MT"/>
          <w:lang w:val="en"/>
        </w:rPr>
        <w:t xml:space="preserve">Seniors express a high preference for remaining in their homes and neighborhoods. </w:t>
      </w:r>
      <w:r w:rsidRPr="0080673C">
        <w:rPr>
          <w:rFonts w:eastAsia="Tw Cen MT" w:cs="Tw Cen MT"/>
          <w:lang w:val="en"/>
        </w:rPr>
        <w:t>According to AARP</w:t>
      </w:r>
      <w:r w:rsidR="004A2020">
        <w:rPr>
          <w:rStyle w:val="FootnoteReference"/>
          <w:rFonts w:eastAsia="Tw Cen MT" w:cs="Tw Cen MT"/>
          <w:lang w:val="en"/>
        </w:rPr>
        <w:footnoteReference w:id="11"/>
      </w:r>
      <w:r w:rsidRPr="00C64BA4">
        <w:rPr>
          <w:rFonts w:eastAsia="Tw Cen MT" w:cs="Tw Cen MT"/>
          <w:lang w:val="en"/>
        </w:rPr>
        <w:t xml:space="preserve">, </w:t>
      </w:r>
      <w:r w:rsidR="28F343FB" w:rsidRPr="00C64BA4">
        <w:rPr>
          <w:rFonts w:eastAsia="Tw Cen MT" w:cs="Tw Cen MT"/>
          <w:lang w:val="en"/>
        </w:rPr>
        <w:t>3 in 4 persons over 50 years old want</w:t>
      </w:r>
      <w:r w:rsidRPr="00C64BA4">
        <w:rPr>
          <w:rFonts w:eastAsia="Tw Cen MT" w:cs="Tw Cen MT"/>
          <w:lang w:val="en"/>
        </w:rPr>
        <w:t xml:space="preserve"> to age in place. If they must relocate, seniors want to do so on their own timetable, and not due to adverse effects of decisions made by housing providers, politicians, or government officials. Housing providers are not allowed to reject candidates for available housing based on the age of an individual as New Hampshire state statue classifies age as a protected class. There are some federal and state exemptions to this rule, particularly for 55-plus age-restricted units. The benefits of allowing age-restricted communities within a municipality has been debated. 55-plus housing can be used a means for inclusion of seniors in a community, but restrictions can also be a tool to limit families with children from moving in.</w:t>
      </w:r>
    </w:p>
    <w:p w14:paraId="0D547AA5" w14:textId="77777777" w:rsidR="00716819" w:rsidRPr="00C64BA4" w:rsidRDefault="00716819" w:rsidP="00206C45">
      <w:pPr>
        <w:spacing w:line="300" w:lineRule="auto"/>
        <w:rPr>
          <w:rFonts w:eastAsia="Tw Cen MT" w:cs="Tw Cen MT"/>
          <w:caps/>
          <w:color w:val="003BB3"/>
          <w:spacing w:val="10"/>
          <w:lang w:val="en"/>
        </w:rPr>
      </w:pPr>
      <w:r w:rsidRPr="00C64BA4">
        <w:rPr>
          <w:rFonts w:eastAsia="Tw Cen MT" w:cs="Tw Cen MT"/>
          <w:color w:val="003BB3"/>
          <w:lang w:val="en"/>
        </w:rPr>
        <w:br w:type="page"/>
      </w:r>
    </w:p>
    <w:p w14:paraId="1470A9D3" w14:textId="240FCDBC" w:rsidR="00FB3623" w:rsidRPr="00C64BA4" w:rsidRDefault="09A70516" w:rsidP="00206C45">
      <w:pPr>
        <w:pStyle w:val="Heading4"/>
        <w:spacing w:line="300" w:lineRule="auto"/>
        <w:rPr>
          <w:rFonts w:eastAsia="Tw Cen MT" w:cs="Tw Cen MT"/>
          <w:color w:val="003BB3"/>
          <w:lang w:val="en"/>
        </w:rPr>
      </w:pPr>
      <w:r w:rsidRPr="00C64BA4">
        <w:rPr>
          <w:rFonts w:eastAsia="Tw Cen MT" w:cs="Tw Cen MT"/>
          <w:color w:val="003BB3"/>
          <w:lang w:val="en"/>
        </w:rPr>
        <w:lastRenderedPageBreak/>
        <w:t>No Vehicle Households</w:t>
      </w:r>
    </w:p>
    <w:p w14:paraId="13A9AD46" w14:textId="6F491A36" w:rsidR="00751E3E" w:rsidRDefault="00751E3E" w:rsidP="00206C45">
      <w:pPr>
        <w:pStyle w:val="Caption"/>
        <w:keepNext/>
        <w:spacing w:line="300" w:lineRule="auto"/>
      </w:pPr>
      <w:bookmarkStart w:id="94" w:name="_Toc128137907"/>
      <w:r>
        <w:t xml:space="preserve">Table </w:t>
      </w:r>
      <w:r w:rsidR="0062538A">
        <w:fldChar w:fldCharType="begin"/>
      </w:r>
      <w:r w:rsidR="0062538A">
        <w:instrText xml:space="preserve"> SEQ Table \* ARABIC </w:instrText>
      </w:r>
      <w:r w:rsidR="0062538A">
        <w:fldChar w:fldCharType="separate"/>
      </w:r>
      <w:r w:rsidR="008B512A">
        <w:rPr>
          <w:noProof/>
        </w:rPr>
        <w:t>16</w:t>
      </w:r>
      <w:r w:rsidR="0062538A">
        <w:rPr>
          <w:noProof/>
        </w:rPr>
        <w:fldChar w:fldCharType="end"/>
      </w:r>
      <w:r>
        <w:t>: Percent of Households Without a Vehicle</w:t>
      </w:r>
      <w:bookmarkEnd w:id="94"/>
    </w:p>
    <w:tbl>
      <w:tblPr>
        <w:tblStyle w:val="TableGrid"/>
        <w:tblpPr w:leftFromText="180" w:rightFromText="180" w:vertAnchor="text" w:tblpX="135" w:tblpY="1"/>
        <w:tblOverlap w:val="never"/>
        <w:tblW w:w="0" w:type="auto"/>
        <w:tblLayout w:type="fixed"/>
        <w:tblLook w:val="06A0" w:firstRow="1" w:lastRow="0" w:firstColumn="1" w:lastColumn="0" w:noHBand="1" w:noVBand="1"/>
      </w:tblPr>
      <w:tblGrid>
        <w:gridCol w:w="2043"/>
        <w:gridCol w:w="1260"/>
      </w:tblGrid>
      <w:tr w:rsidR="3D6C7777" w:rsidRPr="00C64BA4" w14:paraId="01219287" w14:textId="77777777" w:rsidTr="00FF70FE">
        <w:trPr>
          <w:trHeight w:val="300"/>
        </w:trPr>
        <w:tc>
          <w:tcPr>
            <w:tcW w:w="3303" w:type="dxa"/>
            <w:gridSpan w:val="2"/>
            <w:tcBorders>
              <w:top w:val="nil"/>
              <w:left w:val="nil"/>
              <w:bottom w:val="nil"/>
              <w:right w:val="nil"/>
            </w:tcBorders>
            <w:vAlign w:val="center"/>
          </w:tcPr>
          <w:p w14:paraId="2C2163B1" w14:textId="015CA47E" w:rsidR="3D6C7777" w:rsidRPr="00C64BA4" w:rsidRDefault="3D6C7777" w:rsidP="00206C45">
            <w:pPr>
              <w:spacing w:line="300" w:lineRule="auto"/>
              <w:jc w:val="center"/>
              <w:rPr>
                <w:rFonts w:eastAsia="Tw Cen MT" w:cs="Tw Cen MT"/>
                <w:b/>
                <w:bCs/>
                <w:color w:val="595959" w:themeColor="text1" w:themeTint="A6"/>
                <w:sz w:val="22"/>
                <w:szCs w:val="22"/>
              </w:rPr>
            </w:pPr>
            <w:r w:rsidRPr="00C64BA4">
              <w:rPr>
                <w:rFonts w:eastAsia="Tw Cen MT" w:cs="Tw Cen MT"/>
                <w:b/>
                <w:bCs/>
                <w:color w:val="595959" w:themeColor="text1" w:themeTint="A6"/>
                <w:sz w:val="22"/>
                <w:szCs w:val="22"/>
              </w:rPr>
              <w:t xml:space="preserve"> % </w:t>
            </w:r>
            <w:proofErr w:type="gramStart"/>
            <w:r w:rsidRPr="00C64BA4">
              <w:rPr>
                <w:rFonts w:eastAsia="Tw Cen MT" w:cs="Tw Cen MT"/>
                <w:b/>
                <w:bCs/>
                <w:color w:val="595959" w:themeColor="text1" w:themeTint="A6"/>
                <w:sz w:val="22"/>
                <w:szCs w:val="22"/>
              </w:rPr>
              <w:t>of</w:t>
            </w:r>
            <w:proofErr w:type="gramEnd"/>
            <w:r w:rsidRPr="00C64BA4">
              <w:rPr>
                <w:rFonts w:eastAsia="Tw Cen MT" w:cs="Tw Cen MT"/>
                <w:b/>
                <w:bCs/>
                <w:color w:val="595959" w:themeColor="text1" w:themeTint="A6"/>
                <w:sz w:val="22"/>
                <w:szCs w:val="22"/>
              </w:rPr>
              <w:t xml:space="preserve"> Households Without a Vehicle</w:t>
            </w:r>
          </w:p>
        </w:tc>
      </w:tr>
      <w:tr w:rsidR="3D6C7777" w:rsidRPr="00C64BA4" w14:paraId="5E13404E" w14:textId="77777777" w:rsidTr="00FF70FE">
        <w:trPr>
          <w:trHeight w:val="300"/>
        </w:trPr>
        <w:tc>
          <w:tcPr>
            <w:tcW w:w="2043" w:type="dxa"/>
            <w:tcBorders>
              <w:top w:val="nil"/>
              <w:left w:val="nil"/>
              <w:bottom w:val="single" w:sz="8" w:space="0" w:color="auto"/>
              <w:right w:val="nil"/>
            </w:tcBorders>
            <w:vAlign w:val="center"/>
          </w:tcPr>
          <w:p w14:paraId="5DAC27CB" w14:textId="742BECC2" w:rsidR="3D6C7777" w:rsidRPr="00C64BA4" w:rsidRDefault="3D6C7777" w:rsidP="00206C45">
            <w:pPr>
              <w:spacing w:line="300" w:lineRule="auto"/>
              <w:rPr>
                <w:rFonts w:eastAsia="Tw Cen MT" w:cs="Tw Cen MT"/>
                <w:color w:val="000000" w:themeColor="text1"/>
                <w:sz w:val="22"/>
                <w:szCs w:val="22"/>
              </w:rPr>
            </w:pPr>
            <w:r w:rsidRPr="00C64BA4">
              <w:rPr>
                <w:rFonts w:eastAsia="Tw Cen MT" w:cs="Tw Cen MT"/>
                <w:color w:val="000000" w:themeColor="text1"/>
                <w:sz w:val="22"/>
                <w:szCs w:val="22"/>
              </w:rPr>
              <w:t xml:space="preserve">  </w:t>
            </w:r>
          </w:p>
        </w:tc>
        <w:tc>
          <w:tcPr>
            <w:tcW w:w="1260" w:type="dxa"/>
            <w:tcBorders>
              <w:top w:val="nil"/>
              <w:left w:val="nil"/>
              <w:bottom w:val="single" w:sz="8" w:space="0" w:color="auto"/>
              <w:right w:val="nil"/>
            </w:tcBorders>
            <w:vAlign w:val="center"/>
          </w:tcPr>
          <w:p w14:paraId="3AB8380B" w14:textId="10436583" w:rsidR="3D6C7777" w:rsidRPr="00C64BA4" w:rsidRDefault="3D6C7777" w:rsidP="00206C45">
            <w:pPr>
              <w:spacing w:line="300" w:lineRule="auto"/>
              <w:jc w:val="center"/>
              <w:rPr>
                <w:rFonts w:eastAsia="Tw Cen MT" w:cs="Tw Cen MT"/>
                <w:b/>
                <w:bCs/>
                <w:color w:val="595959" w:themeColor="text1" w:themeTint="A6"/>
                <w:sz w:val="22"/>
                <w:szCs w:val="22"/>
              </w:rPr>
            </w:pPr>
            <w:r w:rsidRPr="00C64BA4">
              <w:rPr>
                <w:rFonts w:eastAsia="Tw Cen MT" w:cs="Tw Cen MT"/>
                <w:b/>
                <w:bCs/>
                <w:color w:val="595959" w:themeColor="text1" w:themeTint="A6"/>
                <w:sz w:val="22"/>
                <w:szCs w:val="22"/>
              </w:rPr>
              <w:t>2020</w:t>
            </w:r>
            <w:r w:rsidRPr="00C64BA4">
              <w:rPr>
                <w:rFonts w:eastAsia="Tw Cen MT" w:cs="Tw Cen MT"/>
                <w:color w:val="595959" w:themeColor="text1" w:themeTint="A6"/>
                <w:sz w:val="22"/>
                <w:szCs w:val="22"/>
              </w:rPr>
              <w:t xml:space="preserve"> </w:t>
            </w:r>
            <w:r w:rsidRPr="00C64BA4">
              <w:rPr>
                <w:rFonts w:eastAsia="Tw Cen MT" w:cs="Tw Cen MT"/>
                <w:b/>
                <w:bCs/>
                <w:color w:val="595959" w:themeColor="text1" w:themeTint="A6"/>
                <w:sz w:val="22"/>
                <w:szCs w:val="22"/>
              </w:rPr>
              <w:t xml:space="preserve"> </w:t>
            </w:r>
          </w:p>
        </w:tc>
      </w:tr>
      <w:tr w:rsidR="3D6C7777" w:rsidRPr="00C64BA4" w14:paraId="4EB4BD23" w14:textId="77777777" w:rsidTr="00FF70FE">
        <w:trPr>
          <w:trHeight w:val="358"/>
        </w:trPr>
        <w:tc>
          <w:tcPr>
            <w:tcW w:w="2043" w:type="dxa"/>
            <w:tcBorders>
              <w:top w:val="single" w:sz="8" w:space="0" w:color="auto"/>
              <w:left w:val="nil"/>
              <w:bottom w:val="nil"/>
              <w:right w:val="nil"/>
            </w:tcBorders>
            <w:vAlign w:val="center"/>
          </w:tcPr>
          <w:p w14:paraId="11649564" w14:textId="5489B53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Auburn </w:t>
            </w:r>
          </w:p>
        </w:tc>
        <w:tc>
          <w:tcPr>
            <w:tcW w:w="1260" w:type="dxa"/>
            <w:tcBorders>
              <w:top w:val="single" w:sz="8" w:space="0" w:color="auto"/>
              <w:left w:val="nil"/>
              <w:bottom w:val="nil"/>
              <w:right w:val="nil"/>
            </w:tcBorders>
            <w:vAlign w:val="center"/>
          </w:tcPr>
          <w:p w14:paraId="7183DA95" w14:textId="579A7503"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0%</w:t>
            </w:r>
          </w:p>
        </w:tc>
      </w:tr>
      <w:tr w:rsidR="3D6C7777" w:rsidRPr="00C64BA4" w14:paraId="5526118B" w14:textId="77777777" w:rsidTr="00FF70FE">
        <w:trPr>
          <w:trHeight w:val="300"/>
        </w:trPr>
        <w:tc>
          <w:tcPr>
            <w:tcW w:w="2043" w:type="dxa"/>
            <w:tcBorders>
              <w:top w:val="single" w:sz="8" w:space="0" w:color="auto"/>
              <w:left w:val="nil"/>
              <w:bottom w:val="single" w:sz="8" w:space="0" w:color="auto"/>
              <w:right w:val="nil"/>
            </w:tcBorders>
            <w:shd w:val="clear" w:color="auto" w:fill="E7E6E6"/>
            <w:vAlign w:val="center"/>
          </w:tcPr>
          <w:p w14:paraId="36F71F47" w14:textId="49F29C8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Bedford </w:t>
            </w:r>
          </w:p>
        </w:tc>
        <w:tc>
          <w:tcPr>
            <w:tcW w:w="1260" w:type="dxa"/>
            <w:tcBorders>
              <w:top w:val="single" w:sz="8" w:space="0" w:color="auto"/>
              <w:left w:val="nil"/>
              <w:bottom w:val="single" w:sz="8" w:space="0" w:color="auto"/>
              <w:right w:val="nil"/>
            </w:tcBorders>
            <w:shd w:val="clear" w:color="auto" w:fill="E7E6E6"/>
            <w:vAlign w:val="center"/>
          </w:tcPr>
          <w:p w14:paraId="3F99D974" w14:textId="1DAF88B9"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3%</w:t>
            </w:r>
          </w:p>
        </w:tc>
      </w:tr>
      <w:tr w:rsidR="3D6C7777" w:rsidRPr="00C64BA4" w14:paraId="5A72DA84" w14:textId="77777777" w:rsidTr="00FF70FE">
        <w:trPr>
          <w:trHeight w:val="300"/>
        </w:trPr>
        <w:tc>
          <w:tcPr>
            <w:tcW w:w="2043" w:type="dxa"/>
            <w:tcBorders>
              <w:top w:val="single" w:sz="8" w:space="0" w:color="auto"/>
              <w:left w:val="nil"/>
              <w:bottom w:val="nil"/>
              <w:right w:val="nil"/>
            </w:tcBorders>
            <w:vAlign w:val="center"/>
          </w:tcPr>
          <w:p w14:paraId="7E8011D6" w14:textId="7EF492C6"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Candia </w:t>
            </w:r>
          </w:p>
        </w:tc>
        <w:tc>
          <w:tcPr>
            <w:tcW w:w="1260" w:type="dxa"/>
            <w:tcBorders>
              <w:top w:val="single" w:sz="8" w:space="0" w:color="auto"/>
              <w:left w:val="nil"/>
              <w:bottom w:val="nil"/>
              <w:right w:val="nil"/>
            </w:tcBorders>
            <w:vAlign w:val="center"/>
          </w:tcPr>
          <w:p w14:paraId="30F0AC9C" w14:textId="0C5F67F3"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1% </w:t>
            </w:r>
          </w:p>
        </w:tc>
      </w:tr>
      <w:tr w:rsidR="3D6C7777" w:rsidRPr="00C64BA4" w14:paraId="52DB45BB" w14:textId="77777777" w:rsidTr="00FF70FE">
        <w:trPr>
          <w:trHeight w:val="300"/>
        </w:trPr>
        <w:tc>
          <w:tcPr>
            <w:tcW w:w="2043" w:type="dxa"/>
            <w:tcBorders>
              <w:top w:val="single" w:sz="8" w:space="0" w:color="auto"/>
              <w:left w:val="nil"/>
              <w:bottom w:val="single" w:sz="8" w:space="0" w:color="auto"/>
              <w:right w:val="nil"/>
            </w:tcBorders>
            <w:shd w:val="clear" w:color="auto" w:fill="E7E6E6"/>
            <w:vAlign w:val="center"/>
          </w:tcPr>
          <w:p w14:paraId="1F696A62" w14:textId="606D6DEF"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Chester </w:t>
            </w:r>
          </w:p>
        </w:tc>
        <w:tc>
          <w:tcPr>
            <w:tcW w:w="1260" w:type="dxa"/>
            <w:tcBorders>
              <w:top w:val="single" w:sz="8" w:space="0" w:color="auto"/>
              <w:left w:val="nil"/>
              <w:bottom w:val="single" w:sz="8" w:space="0" w:color="auto"/>
              <w:right w:val="nil"/>
            </w:tcBorders>
            <w:shd w:val="clear" w:color="auto" w:fill="E7E6E6"/>
            <w:vAlign w:val="center"/>
          </w:tcPr>
          <w:p w14:paraId="6246AFB8" w14:textId="2F38D138"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3%</w:t>
            </w:r>
          </w:p>
        </w:tc>
      </w:tr>
      <w:tr w:rsidR="3D6C7777" w:rsidRPr="00C64BA4" w14:paraId="07A31F1F" w14:textId="77777777" w:rsidTr="00FF70FE">
        <w:trPr>
          <w:trHeight w:val="268"/>
        </w:trPr>
        <w:tc>
          <w:tcPr>
            <w:tcW w:w="2043" w:type="dxa"/>
            <w:tcBorders>
              <w:top w:val="single" w:sz="8" w:space="0" w:color="auto"/>
              <w:left w:val="nil"/>
              <w:bottom w:val="nil"/>
              <w:right w:val="nil"/>
            </w:tcBorders>
            <w:vAlign w:val="center"/>
          </w:tcPr>
          <w:p w14:paraId="4732C85B" w14:textId="22688141"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Deerfield </w:t>
            </w:r>
          </w:p>
        </w:tc>
        <w:tc>
          <w:tcPr>
            <w:tcW w:w="1260" w:type="dxa"/>
            <w:tcBorders>
              <w:top w:val="single" w:sz="8" w:space="0" w:color="auto"/>
              <w:left w:val="nil"/>
              <w:bottom w:val="nil"/>
              <w:right w:val="nil"/>
            </w:tcBorders>
            <w:vAlign w:val="center"/>
          </w:tcPr>
          <w:p w14:paraId="438564F1" w14:textId="31A58BB5"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4% </w:t>
            </w:r>
          </w:p>
        </w:tc>
      </w:tr>
      <w:tr w:rsidR="3D6C7777" w:rsidRPr="00C64BA4" w14:paraId="0765D8A5" w14:textId="77777777" w:rsidTr="00FF70FE">
        <w:trPr>
          <w:trHeight w:val="340"/>
        </w:trPr>
        <w:tc>
          <w:tcPr>
            <w:tcW w:w="2043" w:type="dxa"/>
            <w:tcBorders>
              <w:top w:val="single" w:sz="8" w:space="0" w:color="auto"/>
              <w:left w:val="nil"/>
              <w:bottom w:val="single" w:sz="8" w:space="0" w:color="auto"/>
              <w:right w:val="nil"/>
            </w:tcBorders>
            <w:shd w:val="clear" w:color="auto" w:fill="E7E6E6"/>
            <w:vAlign w:val="center"/>
          </w:tcPr>
          <w:p w14:paraId="3B263DA4" w14:textId="5B44BA2F"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Derry </w:t>
            </w:r>
          </w:p>
        </w:tc>
        <w:tc>
          <w:tcPr>
            <w:tcW w:w="1260" w:type="dxa"/>
            <w:tcBorders>
              <w:top w:val="single" w:sz="8" w:space="0" w:color="auto"/>
              <w:left w:val="nil"/>
              <w:bottom w:val="single" w:sz="8" w:space="0" w:color="auto"/>
              <w:right w:val="nil"/>
            </w:tcBorders>
            <w:shd w:val="clear" w:color="auto" w:fill="E7E6E6"/>
            <w:vAlign w:val="center"/>
          </w:tcPr>
          <w:p w14:paraId="68DA4DA0" w14:textId="3140582E"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3%</w:t>
            </w:r>
          </w:p>
        </w:tc>
      </w:tr>
      <w:tr w:rsidR="3D6C7777" w:rsidRPr="00C64BA4" w14:paraId="197F6634" w14:textId="77777777" w:rsidTr="00FF70FE">
        <w:trPr>
          <w:trHeight w:val="340"/>
        </w:trPr>
        <w:tc>
          <w:tcPr>
            <w:tcW w:w="2043" w:type="dxa"/>
            <w:tcBorders>
              <w:top w:val="single" w:sz="8" w:space="0" w:color="auto"/>
              <w:left w:val="nil"/>
              <w:bottom w:val="nil"/>
              <w:right w:val="nil"/>
            </w:tcBorders>
            <w:vAlign w:val="center"/>
          </w:tcPr>
          <w:p w14:paraId="79519110" w14:textId="2E1F141E" w:rsidR="3D6C7777" w:rsidRPr="00C64BA4" w:rsidRDefault="3D6C7777" w:rsidP="00206C45">
            <w:pPr>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Francestown</w:t>
            </w:r>
            <w:proofErr w:type="spellEnd"/>
          </w:p>
        </w:tc>
        <w:tc>
          <w:tcPr>
            <w:tcW w:w="1260" w:type="dxa"/>
            <w:tcBorders>
              <w:top w:val="single" w:sz="8" w:space="0" w:color="auto"/>
              <w:left w:val="nil"/>
              <w:bottom w:val="nil"/>
              <w:right w:val="nil"/>
            </w:tcBorders>
            <w:vAlign w:val="center"/>
          </w:tcPr>
          <w:p w14:paraId="2D6CE4DB" w14:textId="41C1EBE1"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2% </w:t>
            </w:r>
          </w:p>
        </w:tc>
      </w:tr>
      <w:tr w:rsidR="3D6C7777" w:rsidRPr="00C64BA4" w14:paraId="1169B31F" w14:textId="77777777" w:rsidTr="00FF70FE">
        <w:trPr>
          <w:trHeight w:val="358"/>
        </w:trPr>
        <w:tc>
          <w:tcPr>
            <w:tcW w:w="2043" w:type="dxa"/>
            <w:tcBorders>
              <w:top w:val="single" w:sz="8" w:space="0" w:color="auto"/>
              <w:left w:val="nil"/>
              <w:bottom w:val="single" w:sz="8" w:space="0" w:color="auto"/>
              <w:right w:val="nil"/>
            </w:tcBorders>
            <w:shd w:val="clear" w:color="auto" w:fill="E7E6E6"/>
            <w:vAlign w:val="center"/>
          </w:tcPr>
          <w:p w14:paraId="2330CB99" w14:textId="00493839"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Goffstown </w:t>
            </w:r>
          </w:p>
        </w:tc>
        <w:tc>
          <w:tcPr>
            <w:tcW w:w="1260" w:type="dxa"/>
            <w:tcBorders>
              <w:top w:val="single" w:sz="8" w:space="0" w:color="auto"/>
              <w:left w:val="nil"/>
              <w:bottom w:val="single" w:sz="8" w:space="0" w:color="auto"/>
              <w:right w:val="nil"/>
            </w:tcBorders>
            <w:shd w:val="clear" w:color="auto" w:fill="E7E6E6"/>
            <w:vAlign w:val="center"/>
          </w:tcPr>
          <w:p w14:paraId="52BE87F1" w14:textId="145E7582"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w:t>
            </w:r>
          </w:p>
        </w:tc>
      </w:tr>
      <w:tr w:rsidR="3D6C7777" w:rsidRPr="00C64BA4" w14:paraId="48FB4C82" w14:textId="77777777" w:rsidTr="00FF70FE">
        <w:trPr>
          <w:trHeight w:val="322"/>
        </w:trPr>
        <w:tc>
          <w:tcPr>
            <w:tcW w:w="2043" w:type="dxa"/>
            <w:tcBorders>
              <w:top w:val="single" w:sz="8" w:space="0" w:color="auto"/>
              <w:left w:val="nil"/>
              <w:bottom w:val="nil"/>
              <w:right w:val="nil"/>
            </w:tcBorders>
            <w:vAlign w:val="center"/>
          </w:tcPr>
          <w:p w14:paraId="6FCA7A0A" w14:textId="50E81119"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Hooksett </w:t>
            </w:r>
          </w:p>
        </w:tc>
        <w:tc>
          <w:tcPr>
            <w:tcW w:w="1260" w:type="dxa"/>
            <w:tcBorders>
              <w:top w:val="single" w:sz="8" w:space="0" w:color="auto"/>
              <w:left w:val="nil"/>
              <w:bottom w:val="nil"/>
              <w:right w:val="nil"/>
            </w:tcBorders>
            <w:vAlign w:val="center"/>
          </w:tcPr>
          <w:p w14:paraId="4D6431E9" w14:textId="0E3FE82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w:t>
            </w:r>
          </w:p>
        </w:tc>
      </w:tr>
      <w:tr w:rsidR="3D6C7777" w:rsidRPr="00C64BA4" w14:paraId="2E1974EF" w14:textId="77777777" w:rsidTr="00FF70FE">
        <w:trPr>
          <w:trHeight w:val="358"/>
        </w:trPr>
        <w:tc>
          <w:tcPr>
            <w:tcW w:w="2043" w:type="dxa"/>
            <w:tcBorders>
              <w:top w:val="single" w:sz="8" w:space="0" w:color="auto"/>
              <w:left w:val="nil"/>
              <w:bottom w:val="single" w:sz="8" w:space="0" w:color="auto"/>
              <w:right w:val="nil"/>
            </w:tcBorders>
            <w:shd w:val="clear" w:color="auto" w:fill="E7E6E6"/>
            <w:vAlign w:val="center"/>
          </w:tcPr>
          <w:p w14:paraId="6DEF253B" w14:textId="6FBA499C"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Londonderry</w:t>
            </w:r>
          </w:p>
        </w:tc>
        <w:tc>
          <w:tcPr>
            <w:tcW w:w="1260" w:type="dxa"/>
            <w:tcBorders>
              <w:top w:val="single" w:sz="8" w:space="0" w:color="auto"/>
              <w:left w:val="nil"/>
              <w:bottom w:val="single" w:sz="8" w:space="0" w:color="auto"/>
              <w:right w:val="nil"/>
            </w:tcBorders>
            <w:shd w:val="clear" w:color="auto" w:fill="E7E6E6"/>
            <w:vAlign w:val="center"/>
          </w:tcPr>
          <w:p w14:paraId="1727FED0" w14:textId="1853E9C4"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w:t>
            </w:r>
          </w:p>
        </w:tc>
      </w:tr>
      <w:tr w:rsidR="3D6C7777" w:rsidRPr="00C64BA4" w14:paraId="2FC01A92" w14:textId="77777777" w:rsidTr="00FF70FE">
        <w:trPr>
          <w:trHeight w:val="322"/>
        </w:trPr>
        <w:tc>
          <w:tcPr>
            <w:tcW w:w="2043" w:type="dxa"/>
            <w:tcBorders>
              <w:top w:val="single" w:sz="8" w:space="0" w:color="auto"/>
              <w:left w:val="nil"/>
              <w:bottom w:val="nil"/>
              <w:right w:val="nil"/>
            </w:tcBorders>
            <w:vAlign w:val="center"/>
          </w:tcPr>
          <w:p w14:paraId="56CCD0BB" w14:textId="4F241BD9"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Manchester </w:t>
            </w:r>
          </w:p>
        </w:tc>
        <w:tc>
          <w:tcPr>
            <w:tcW w:w="1260" w:type="dxa"/>
            <w:tcBorders>
              <w:top w:val="single" w:sz="8" w:space="0" w:color="auto"/>
              <w:left w:val="nil"/>
              <w:bottom w:val="nil"/>
              <w:right w:val="nil"/>
            </w:tcBorders>
            <w:vAlign w:val="center"/>
          </w:tcPr>
          <w:p w14:paraId="3F09A653" w14:textId="182034A8"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8%</w:t>
            </w:r>
          </w:p>
        </w:tc>
      </w:tr>
      <w:tr w:rsidR="3D6C7777" w:rsidRPr="00C64BA4" w14:paraId="31C89D60" w14:textId="77777777" w:rsidTr="00FF70FE">
        <w:trPr>
          <w:trHeight w:val="358"/>
        </w:trPr>
        <w:tc>
          <w:tcPr>
            <w:tcW w:w="2043" w:type="dxa"/>
            <w:tcBorders>
              <w:top w:val="single" w:sz="8" w:space="0" w:color="auto"/>
              <w:left w:val="nil"/>
              <w:bottom w:val="single" w:sz="8" w:space="0" w:color="auto"/>
              <w:right w:val="nil"/>
            </w:tcBorders>
            <w:shd w:val="clear" w:color="auto" w:fill="E7E6E6"/>
            <w:vAlign w:val="center"/>
          </w:tcPr>
          <w:p w14:paraId="717DBA9B" w14:textId="117921E6"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New Boston </w:t>
            </w:r>
          </w:p>
        </w:tc>
        <w:tc>
          <w:tcPr>
            <w:tcW w:w="1260" w:type="dxa"/>
            <w:tcBorders>
              <w:top w:val="single" w:sz="8" w:space="0" w:color="auto"/>
              <w:left w:val="nil"/>
              <w:bottom w:val="single" w:sz="8" w:space="0" w:color="auto"/>
              <w:right w:val="nil"/>
            </w:tcBorders>
            <w:shd w:val="clear" w:color="auto" w:fill="E7E6E6"/>
            <w:vAlign w:val="center"/>
          </w:tcPr>
          <w:p w14:paraId="117B8D6C" w14:textId="10BB3FFE"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w:t>
            </w:r>
          </w:p>
        </w:tc>
      </w:tr>
      <w:tr w:rsidR="3D6C7777" w:rsidRPr="00C64BA4" w14:paraId="410F87BE" w14:textId="77777777" w:rsidTr="00FF70FE">
        <w:trPr>
          <w:trHeight w:val="322"/>
        </w:trPr>
        <w:tc>
          <w:tcPr>
            <w:tcW w:w="2043" w:type="dxa"/>
            <w:tcBorders>
              <w:top w:val="single" w:sz="8" w:space="0" w:color="auto"/>
              <w:left w:val="nil"/>
              <w:bottom w:val="nil"/>
              <w:right w:val="nil"/>
            </w:tcBorders>
            <w:vAlign w:val="center"/>
          </w:tcPr>
          <w:p w14:paraId="6E0DB45F" w14:textId="6D1287FE" w:rsidR="3D6C7777" w:rsidRPr="00C64BA4" w:rsidRDefault="3D6C7777" w:rsidP="00206C45">
            <w:pPr>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Weare</w:t>
            </w:r>
            <w:proofErr w:type="spellEnd"/>
            <w:r w:rsidRPr="00C64BA4">
              <w:rPr>
                <w:rFonts w:eastAsia="Tw Cen MT" w:cs="Tw Cen MT"/>
                <w:color w:val="000000" w:themeColor="text1"/>
                <w:sz w:val="22"/>
                <w:szCs w:val="22"/>
              </w:rPr>
              <w:t xml:space="preserve"> </w:t>
            </w:r>
          </w:p>
        </w:tc>
        <w:tc>
          <w:tcPr>
            <w:tcW w:w="1260" w:type="dxa"/>
            <w:tcBorders>
              <w:top w:val="single" w:sz="8" w:space="0" w:color="auto"/>
              <w:left w:val="nil"/>
              <w:bottom w:val="nil"/>
              <w:right w:val="nil"/>
            </w:tcBorders>
            <w:vAlign w:val="center"/>
          </w:tcPr>
          <w:p w14:paraId="7B8BEFC2" w14:textId="44DEAA33"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0%</w:t>
            </w:r>
          </w:p>
        </w:tc>
      </w:tr>
      <w:tr w:rsidR="3D6C7777" w:rsidRPr="00C64BA4" w14:paraId="3D05859C" w14:textId="77777777" w:rsidTr="00FF70FE">
        <w:trPr>
          <w:trHeight w:val="340"/>
        </w:trPr>
        <w:tc>
          <w:tcPr>
            <w:tcW w:w="2043" w:type="dxa"/>
            <w:tcBorders>
              <w:top w:val="single" w:sz="8" w:space="0" w:color="auto"/>
              <w:left w:val="nil"/>
              <w:bottom w:val="single" w:sz="12" w:space="0" w:color="404040" w:themeColor="text1" w:themeTint="BF"/>
              <w:right w:val="nil"/>
            </w:tcBorders>
            <w:shd w:val="clear" w:color="auto" w:fill="E7E6E6"/>
            <w:vAlign w:val="center"/>
          </w:tcPr>
          <w:p w14:paraId="6DAB8079" w14:textId="4180739A"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Windham </w:t>
            </w:r>
          </w:p>
        </w:tc>
        <w:tc>
          <w:tcPr>
            <w:tcW w:w="1260" w:type="dxa"/>
            <w:tcBorders>
              <w:top w:val="single" w:sz="8" w:space="0" w:color="auto"/>
              <w:left w:val="nil"/>
              <w:bottom w:val="single" w:sz="12" w:space="0" w:color="404040" w:themeColor="text1" w:themeTint="BF"/>
              <w:right w:val="nil"/>
            </w:tcBorders>
            <w:shd w:val="clear" w:color="auto" w:fill="E7E6E6"/>
            <w:vAlign w:val="center"/>
          </w:tcPr>
          <w:p w14:paraId="1F6ADB08" w14:textId="7A7E531F"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w:t>
            </w:r>
          </w:p>
        </w:tc>
      </w:tr>
      <w:tr w:rsidR="3D6C7777" w:rsidRPr="00C64BA4" w14:paraId="71CE6F1B" w14:textId="77777777" w:rsidTr="00FF70FE">
        <w:trPr>
          <w:trHeight w:val="322"/>
        </w:trPr>
        <w:tc>
          <w:tcPr>
            <w:tcW w:w="2043" w:type="dxa"/>
            <w:tcBorders>
              <w:top w:val="single" w:sz="12" w:space="0" w:color="404040" w:themeColor="text1" w:themeTint="BF"/>
              <w:left w:val="nil"/>
              <w:bottom w:val="single" w:sz="12" w:space="0" w:color="404040" w:themeColor="text1" w:themeTint="BF"/>
              <w:right w:val="nil"/>
            </w:tcBorders>
            <w:vAlign w:val="center"/>
          </w:tcPr>
          <w:p w14:paraId="27A3D441" w14:textId="38C46001"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SNHPC </w:t>
            </w:r>
          </w:p>
        </w:tc>
        <w:tc>
          <w:tcPr>
            <w:tcW w:w="1260" w:type="dxa"/>
            <w:tcBorders>
              <w:top w:val="single" w:sz="12" w:space="0" w:color="404040" w:themeColor="text1" w:themeTint="BF"/>
              <w:left w:val="nil"/>
              <w:bottom w:val="single" w:sz="12" w:space="0" w:color="404040" w:themeColor="text1" w:themeTint="BF"/>
              <w:right w:val="nil"/>
            </w:tcBorders>
            <w:vAlign w:val="center"/>
          </w:tcPr>
          <w:p w14:paraId="0041AB47" w14:textId="0A555C12"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5%</w:t>
            </w:r>
          </w:p>
        </w:tc>
      </w:tr>
      <w:tr w:rsidR="3D6C7777" w:rsidRPr="00C64BA4" w14:paraId="73ADEB7E" w14:textId="77777777" w:rsidTr="00FF70FE">
        <w:trPr>
          <w:trHeight w:val="268"/>
        </w:trPr>
        <w:tc>
          <w:tcPr>
            <w:tcW w:w="2043" w:type="dxa"/>
            <w:tcBorders>
              <w:top w:val="single" w:sz="12" w:space="0" w:color="404040" w:themeColor="text1" w:themeTint="BF"/>
              <w:left w:val="nil"/>
              <w:bottom w:val="nil"/>
              <w:right w:val="nil"/>
            </w:tcBorders>
            <w:shd w:val="clear" w:color="auto" w:fill="E7E6E6"/>
            <w:vAlign w:val="center"/>
          </w:tcPr>
          <w:p w14:paraId="10F9AA62" w14:textId="36231A9F"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 xml:space="preserve">NH </w:t>
            </w:r>
          </w:p>
        </w:tc>
        <w:tc>
          <w:tcPr>
            <w:tcW w:w="1260" w:type="dxa"/>
            <w:tcBorders>
              <w:top w:val="single" w:sz="12" w:space="0" w:color="404040" w:themeColor="text1" w:themeTint="BF"/>
              <w:left w:val="nil"/>
              <w:bottom w:val="nil"/>
              <w:right w:val="nil"/>
            </w:tcBorders>
            <w:shd w:val="clear" w:color="auto" w:fill="E7E6E6"/>
            <w:vAlign w:val="center"/>
          </w:tcPr>
          <w:p w14:paraId="16D18667" w14:textId="4117A741"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5%</w:t>
            </w:r>
          </w:p>
        </w:tc>
      </w:tr>
      <w:tr w:rsidR="3D6C7777" w:rsidRPr="00C64BA4" w14:paraId="459B5E90" w14:textId="77777777" w:rsidTr="00FF70FE">
        <w:trPr>
          <w:trHeight w:val="300"/>
        </w:trPr>
        <w:tc>
          <w:tcPr>
            <w:tcW w:w="3303" w:type="dxa"/>
            <w:gridSpan w:val="2"/>
            <w:tcBorders>
              <w:top w:val="nil"/>
              <w:left w:val="nil"/>
              <w:bottom w:val="nil"/>
              <w:right w:val="nil"/>
            </w:tcBorders>
            <w:vAlign w:val="center"/>
          </w:tcPr>
          <w:p w14:paraId="33360572" w14:textId="0E50B810" w:rsidR="3D6C7777" w:rsidRPr="00C64BA4" w:rsidRDefault="3D6C7777" w:rsidP="00206C45">
            <w:pPr>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5-Year American Community Survey</w:t>
            </w:r>
          </w:p>
        </w:tc>
      </w:tr>
      <w:tr w:rsidR="3D6C7777" w:rsidRPr="00C64BA4" w14:paraId="62A1A7A9" w14:textId="77777777" w:rsidTr="00FF70FE">
        <w:trPr>
          <w:trHeight w:val="80"/>
        </w:trPr>
        <w:tc>
          <w:tcPr>
            <w:tcW w:w="3303" w:type="dxa"/>
            <w:gridSpan w:val="2"/>
            <w:tcBorders>
              <w:top w:val="nil"/>
              <w:left w:val="nil"/>
              <w:bottom w:val="nil"/>
              <w:right w:val="nil"/>
            </w:tcBorders>
            <w:vAlign w:val="center"/>
          </w:tcPr>
          <w:p w14:paraId="0B216C5E" w14:textId="1CCEE85A" w:rsidR="3D6C7777" w:rsidRPr="00C64BA4" w:rsidRDefault="3D6C7777" w:rsidP="00206C45">
            <w:pPr>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US Census Bureau</w:t>
            </w:r>
          </w:p>
        </w:tc>
      </w:tr>
    </w:tbl>
    <w:p w14:paraId="1663B0D9" w14:textId="4D4B3947" w:rsidR="00FB3623" w:rsidRPr="00C64BA4" w:rsidRDefault="09A70516" w:rsidP="00206C45">
      <w:pPr>
        <w:spacing w:line="300" w:lineRule="auto"/>
        <w:jc w:val="both"/>
        <w:rPr>
          <w:rFonts w:eastAsia="Tw Cen MT" w:cs="Tw Cen MT"/>
          <w:lang w:val="en"/>
        </w:rPr>
      </w:pPr>
      <w:r w:rsidRPr="00C64BA4">
        <w:rPr>
          <w:rFonts w:eastAsia="Tw Cen MT" w:cs="Tw Cen MT"/>
          <w:lang w:val="en"/>
        </w:rPr>
        <w:t xml:space="preserve">US Census defines a vehicle as a privately owned motor vehicle such as cars and trucks available for household transportation needs. This definition excludes people living group quarters, like a college dorm and military barracks, that may or may not have access to a vehicle. No vehicle households are an important segment of the population, as they will have very limited mobility unless alternative transportations options are provided. Lacking access to a vehicle can severely limit the ability of a household to work and meet its daily needs. Changing demographics within the region suggest a need for long range planning of walkable and bikeable neighborhoods, employment centers, and increased access to public transportation. This is especially </w:t>
      </w:r>
      <w:r w:rsidR="001871DA">
        <w:rPr>
          <w:rFonts w:eastAsia="Tw Cen MT" w:cs="Tw Cen MT"/>
          <w:lang w:val="en"/>
        </w:rPr>
        <w:t xml:space="preserve">true </w:t>
      </w:r>
      <w:r w:rsidRPr="00C64BA4">
        <w:rPr>
          <w:rFonts w:eastAsia="Tw Cen MT" w:cs="Tw Cen MT"/>
          <w:lang w:val="en"/>
        </w:rPr>
        <w:t>in suburban communities where car ownership is a requisite to access employment and services. The majority of the state’s municipalities have a no vehicle household rate of less than 2.5% while census tracts in the City of Manchester reach concentrations of 1 in 3 households. Additionally, regionwide, 8% of households where residents are currently working have fewer vehicles available than workers and require some form of non-single occupancy vehicle (SOV) transportation to commute.</w:t>
      </w:r>
    </w:p>
    <w:p w14:paraId="0BC2454A" w14:textId="2A02411F" w:rsidR="00FB3623" w:rsidRPr="00C64BA4" w:rsidRDefault="09A70516" w:rsidP="00206C45">
      <w:pPr>
        <w:spacing w:line="300" w:lineRule="auto"/>
        <w:jc w:val="both"/>
        <w:rPr>
          <w:rFonts w:eastAsia="Tw Cen MT" w:cs="Tw Cen MT"/>
          <w:lang w:val="en"/>
        </w:rPr>
      </w:pPr>
      <w:r w:rsidRPr="00C64BA4">
        <w:rPr>
          <w:rFonts w:eastAsia="Tw Cen MT" w:cs="Tw Cen MT"/>
          <w:lang w:val="en"/>
        </w:rPr>
        <w:t xml:space="preserve"> </w:t>
      </w:r>
    </w:p>
    <w:p w14:paraId="7E5F7202" w14:textId="77777777" w:rsidR="000F76E3" w:rsidRDefault="000F76E3" w:rsidP="000F76E3">
      <w:pPr>
        <w:spacing w:line="300" w:lineRule="auto"/>
        <w:jc w:val="both"/>
        <w:rPr>
          <w:rFonts w:eastAsia="Tw Cen MT" w:cs="Tw Cen MT"/>
          <w:color w:val="003BB3"/>
          <w:lang w:val="en"/>
        </w:rPr>
      </w:pPr>
    </w:p>
    <w:p w14:paraId="224FE5F7" w14:textId="5E445436" w:rsidR="00FB3623" w:rsidRPr="00C64BA4" w:rsidRDefault="09A70516" w:rsidP="000F76E3">
      <w:pPr>
        <w:pStyle w:val="Heading4"/>
        <w:rPr>
          <w:lang w:val="en"/>
        </w:rPr>
      </w:pPr>
      <w:r w:rsidRPr="00C64BA4">
        <w:rPr>
          <w:lang w:val="en"/>
        </w:rPr>
        <w:t>Homelessness</w:t>
      </w:r>
    </w:p>
    <w:p w14:paraId="60B185CB" w14:textId="3962425A" w:rsidR="00FB3623" w:rsidRPr="00C64BA4" w:rsidRDefault="09A70516" w:rsidP="00206C45">
      <w:pPr>
        <w:spacing w:line="300" w:lineRule="auto"/>
        <w:jc w:val="both"/>
        <w:rPr>
          <w:rFonts w:eastAsia="Tw Cen MT" w:cs="Tw Cen MT"/>
          <w:lang w:val="en"/>
        </w:rPr>
      </w:pPr>
      <w:r w:rsidRPr="00C64BA4">
        <w:rPr>
          <w:rFonts w:eastAsia="Tw Cen MT" w:cs="Tw Cen MT"/>
          <w:lang w:val="en"/>
        </w:rPr>
        <w:t>Homeless individuals face obvious barriers to securing safe and affordable housing. Those experiencing chronic homelessness may also suffer from sever</w:t>
      </w:r>
      <w:r w:rsidR="00A6316C">
        <w:rPr>
          <w:rFonts w:eastAsia="Tw Cen MT" w:cs="Tw Cen MT"/>
          <w:lang w:val="en"/>
        </w:rPr>
        <w:t>e</w:t>
      </w:r>
      <w:r w:rsidRPr="00C64BA4">
        <w:rPr>
          <w:rFonts w:eastAsia="Tw Cen MT" w:cs="Tw Cen MT"/>
          <w:lang w:val="en"/>
        </w:rPr>
        <w:t xml:space="preserve"> mental illness or substance use disorder. The housing circumstances of homeless individuals can vary significantly. Some may be staying in temporary housing or a shelter while other</w:t>
      </w:r>
      <w:r w:rsidR="00A6316C">
        <w:rPr>
          <w:rFonts w:eastAsia="Tw Cen MT" w:cs="Tw Cen MT"/>
          <w:lang w:val="en"/>
        </w:rPr>
        <w:t>s</w:t>
      </w:r>
      <w:r w:rsidRPr="00C64BA4">
        <w:rPr>
          <w:rFonts w:eastAsia="Tw Cen MT" w:cs="Tw Cen MT"/>
          <w:lang w:val="en"/>
        </w:rPr>
        <w:t xml:space="preserve"> are living in a place not intended for habitation. Still others may be doubling up with a friend or relative. </w:t>
      </w:r>
    </w:p>
    <w:p w14:paraId="79936FD8" w14:textId="7DEFA024" w:rsidR="00FB3623" w:rsidRPr="00C64BA4" w:rsidRDefault="09A70516" w:rsidP="00206C45">
      <w:pPr>
        <w:spacing w:line="300" w:lineRule="auto"/>
        <w:jc w:val="both"/>
        <w:rPr>
          <w:rFonts w:eastAsia="Tw Cen MT" w:cs="Tw Cen MT"/>
          <w:lang w:val="en"/>
        </w:rPr>
      </w:pPr>
      <w:r w:rsidRPr="00C64BA4">
        <w:rPr>
          <w:rFonts w:eastAsia="Tw Cen MT" w:cs="Tw Cen MT"/>
          <w:lang w:val="en"/>
        </w:rPr>
        <w:t xml:space="preserve">Calculating the number of homeless residents is always difficult and the numbers can vary significantly based on the method and definition used. Point in Time (PIT) </w:t>
      </w:r>
      <w:r w:rsidR="00A6316C">
        <w:rPr>
          <w:rFonts w:eastAsia="Tw Cen MT" w:cs="Tw Cen MT"/>
          <w:lang w:val="en"/>
        </w:rPr>
        <w:t>c</w:t>
      </w:r>
      <w:r w:rsidRPr="00C64BA4">
        <w:rPr>
          <w:rFonts w:eastAsia="Tw Cen MT" w:cs="Tw Cen MT"/>
          <w:lang w:val="en"/>
        </w:rPr>
        <w:t xml:space="preserve">ounts have consistently placed the number statewide at between 1,400 to 1,600 for the last decade. Figures from the Continuum of Care program are much higher, around 4,700 in 2021. The homeless population is also not evenly distributed across the state, with the cities of Manchester and Nashua’s Continuums of Care serving </w:t>
      </w:r>
      <w:proofErr w:type="gramStart"/>
      <w:r w:rsidRPr="00C64BA4">
        <w:rPr>
          <w:rFonts w:eastAsia="Tw Cen MT" w:cs="Tw Cen MT"/>
          <w:lang w:val="en"/>
        </w:rPr>
        <w:t>the majority of</w:t>
      </w:r>
      <w:proofErr w:type="gramEnd"/>
      <w:r w:rsidRPr="00C64BA4">
        <w:rPr>
          <w:rFonts w:eastAsia="Tw Cen MT" w:cs="Tw Cen MT"/>
          <w:lang w:val="en"/>
        </w:rPr>
        <w:t xml:space="preserve"> the population. Around a third of the state’s total homeless population is served by Manchester despite the city only accounting for less than one tenth of the state’s general population.</w:t>
      </w:r>
    </w:p>
    <w:tbl>
      <w:tblPr>
        <w:tblStyle w:val="TableGrid"/>
        <w:tblW w:w="97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20"/>
      </w:tblGrid>
      <w:tr w:rsidR="00FD4167" w:rsidRPr="00C64BA4" w14:paraId="5E528F9D" w14:textId="77777777" w:rsidTr="003C5FE5">
        <w:trPr>
          <w:jc w:val="center"/>
        </w:trPr>
        <w:tc>
          <w:tcPr>
            <w:tcW w:w="9720" w:type="dxa"/>
          </w:tcPr>
          <w:p w14:paraId="53954BA2" w14:textId="52B60ED5" w:rsidR="00751E3E" w:rsidRDefault="00591C8C" w:rsidP="00206C45">
            <w:pPr>
              <w:keepNext/>
              <w:spacing w:line="300" w:lineRule="auto"/>
              <w:jc w:val="both"/>
            </w:pPr>
            <w:bookmarkStart w:id="95" w:name="_Hlk123142759"/>
            <w:r w:rsidRPr="00C64BA4">
              <w:rPr>
                <w:noProof/>
              </w:rPr>
              <w:lastRenderedPageBreak/>
              <w:drawing>
                <wp:anchor distT="0" distB="0" distL="114300" distR="114300" simplePos="0" relativeHeight="251686912" behindDoc="1" locked="0" layoutInCell="1" allowOverlap="1" wp14:anchorId="1711BB82" wp14:editId="6D05AC2F">
                  <wp:simplePos x="0" y="0"/>
                  <wp:positionH relativeFrom="column">
                    <wp:posOffset>45720</wp:posOffset>
                  </wp:positionH>
                  <wp:positionV relativeFrom="paragraph">
                    <wp:posOffset>2540</wp:posOffset>
                  </wp:positionV>
                  <wp:extent cx="2926080" cy="2926080"/>
                  <wp:effectExtent l="0" t="0" r="7620" b="7620"/>
                  <wp:wrapTight wrapText="bothSides">
                    <wp:wrapPolygon edited="0">
                      <wp:start x="0" y="0"/>
                      <wp:lineTo x="0" y="21516"/>
                      <wp:lineTo x="21516" y="21516"/>
                      <wp:lineTo x="21516" y="0"/>
                      <wp:lineTo x="0" y="0"/>
                    </wp:wrapPolygon>
                  </wp:wrapTight>
                  <wp:docPr id="23" name="Chart 23">
                    <a:extLst xmlns:a="http://schemas.openxmlformats.org/drawingml/2006/main">
                      <a:ext uri="{FF2B5EF4-FFF2-40B4-BE49-F238E27FC236}">
                        <a16:creationId xmlns:a16="http://schemas.microsoft.com/office/drawing/2014/main" id="{35D32AD1-4024-404C-941A-46F31B391A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00FD4167" w:rsidRPr="00C64BA4">
              <w:rPr>
                <w:noProof/>
              </w:rPr>
              <w:drawing>
                <wp:inline distT="0" distB="0" distL="0" distR="0" wp14:anchorId="18F6EC33" wp14:editId="53D01F3E">
                  <wp:extent cx="2926080" cy="2926080"/>
                  <wp:effectExtent l="0" t="0" r="7620" b="7620"/>
                  <wp:docPr id="22" name="Chart 22">
                    <a:extLst xmlns:a="http://schemas.openxmlformats.org/drawingml/2006/main">
                      <a:ext uri="{FF2B5EF4-FFF2-40B4-BE49-F238E27FC236}">
                        <a16:creationId xmlns:a16="http://schemas.microsoft.com/office/drawing/2014/main" id="{7DB50D53-6C56-D52E-0DE8-5A9B795B3A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EB72D94" w14:textId="3427F3CC" w:rsidR="00FD4167" w:rsidRPr="00C64BA4" w:rsidRDefault="00751E3E" w:rsidP="00206C45">
            <w:pPr>
              <w:pStyle w:val="Caption"/>
              <w:spacing w:line="300" w:lineRule="auto"/>
              <w:jc w:val="both"/>
            </w:pPr>
            <w:bookmarkStart w:id="96" w:name="_Toc128137867"/>
            <w:r>
              <w:t xml:space="preserve">Figure </w:t>
            </w:r>
            <w:r w:rsidR="0062538A">
              <w:fldChar w:fldCharType="begin"/>
            </w:r>
            <w:r w:rsidR="0062538A">
              <w:instrText xml:space="preserve"> SEQ Figure \* ARABIC </w:instrText>
            </w:r>
            <w:r w:rsidR="0062538A">
              <w:fldChar w:fldCharType="separate"/>
            </w:r>
            <w:r w:rsidR="00E75682">
              <w:rPr>
                <w:noProof/>
              </w:rPr>
              <w:t>8</w:t>
            </w:r>
            <w:r w:rsidR="0062538A">
              <w:rPr>
                <w:noProof/>
              </w:rPr>
              <w:fldChar w:fldCharType="end"/>
            </w:r>
            <w:r>
              <w:t>: Homeless Population</w:t>
            </w:r>
            <w:bookmarkEnd w:id="96"/>
          </w:p>
          <w:p w14:paraId="31211C97" w14:textId="445C5909" w:rsidR="00FD4167" w:rsidRPr="00C64BA4" w:rsidRDefault="00FD4167" w:rsidP="00206C45">
            <w:pPr>
              <w:spacing w:line="300" w:lineRule="auto"/>
              <w:jc w:val="both"/>
              <w:rPr>
                <w:rFonts w:eastAsia="Tw Cen MT" w:cs="Tw Cen MT"/>
                <w:lang w:val="en"/>
              </w:rPr>
            </w:pPr>
            <w:bookmarkStart w:id="97" w:name="_Hlk122511781"/>
            <w:r w:rsidRPr="00C64BA4">
              <w:rPr>
                <w:sz w:val="20"/>
                <w:szCs w:val="20"/>
              </w:rPr>
              <w:t>Sources: US Department of Housing and Urban Development; NH Council on Housing Stability.</w:t>
            </w:r>
            <w:bookmarkEnd w:id="97"/>
          </w:p>
        </w:tc>
      </w:tr>
      <w:bookmarkEnd w:id="95"/>
    </w:tbl>
    <w:p w14:paraId="1527AE71" w14:textId="77777777" w:rsidR="00591C8C" w:rsidRDefault="00591C8C" w:rsidP="00206C45">
      <w:pPr>
        <w:spacing w:line="300" w:lineRule="auto"/>
        <w:jc w:val="both"/>
        <w:rPr>
          <w:rFonts w:eastAsia="Tw Cen MT" w:cs="Tw Cen MT"/>
          <w:lang w:val="en"/>
        </w:rPr>
      </w:pPr>
    </w:p>
    <w:p w14:paraId="1E1DD7C8" w14:textId="536F7F90" w:rsidR="00FB3623" w:rsidRPr="00C64BA4" w:rsidRDefault="09A70516" w:rsidP="00206C45">
      <w:pPr>
        <w:spacing w:line="300" w:lineRule="auto"/>
        <w:jc w:val="both"/>
        <w:rPr>
          <w:rFonts w:eastAsia="Tw Cen MT" w:cs="Tw Cen MT"/>
          <w:lang w:val="en"/>
        </w:rPr>
      </w:pPr>
      <w:r w:rsidRPr="00C64BA4">
        <w:rPr>
          <w:rFonts w:eastAsia="Tw Cen MT" w:cs="Tw Cen MT"/>
          <w:lang w:val="en"/>
        </w:rPr>
        <w:t>Strategies outlined in</w:t>
      </w:r>
      <w:r w:rsidR="5A71C9D9" w:rsidRPr="00C64BA4">
        <w:rPr>
          <w:rFonts w:eastAsia="Tw Cen MT" w:cs="Tw Cen MT"/>
          <w:lang w:val="en"/>
        </w:rPr>
        <w:t xml:space="preserve"> </w:t>
      </w:r>
      <w:r w:rsidR="5A71C9D9" w:rsidRPr="00CB5FF1">
        <w:rPr>
          <w:rFonts w:eastAsia="Tw Cen MT" w:cs="Tw Cen MT"/>
          <w:i/>
          <w:iCs/>
          <w:lang w:val="en"/>
        </w:rPr>
        <w:t>A Home for Everyone: A 10-Year Plan to End Homelessness in the City of Manchester</w:t>
      </w:r>
      <w:r w:rsidR="004A2020">
        <w:rPr>
          <w:rStyle w:val="FootnoteReference"/>
          <w:rFonts w:eastAsia="Tw Cen MT" w:cs="Tw Cen MT"/>
          <w:lang w:val="en"/>
        </w:rPr>
        <w:footnoteReference w:id="12"/>
      </w:r>
      <w:r w:rsidRPr="00C64BA4">
        <w:rPr>
          <w:rFonts w:eastAsia="Tw Cen MT" w:cs="Tw Cen MT"/>
          <w:lang w:val="en"/>
        </w:rPr>
        <w:t xml:space="preserve"> include: Build more affordable housing and subsidize costs to make it affordable to more people with low incomes; Help people increase their incomes through education, training, and employment at housing-wage jobs; and Provide permanent housing and intensive case management and supportive services for those with severe mental health and substance use disorders to stabilize them in housing first and then make recovery treatment services available.</w:t>
      </w:r>
    </w:p>
    <w:p w14:paraId="267E9CB8" w14:textId="456855BD" w:rsidR="00FB3623" w:rsidRDefault="09A70516" w:rsidP="00206C45">
      <w:pPr>
        <w:spacing w:line="300" w:lineRule="auto"/>
        <w:jc w:val="both"/>
        <w:rPr>
          <w:rFonts w:eastAsia="Tw Cen MT" w:cs="Tw Cen MT"/>
          <w:lang w:val="en"/>
        </w:rPr>
      </w:pPr>
      <w:r w:rsidRPr="00C64BA4">
        <w:rPr>
          <w:rFonts w:eastAsia="Tw Cen MT" w:cs="Tw Cen MT"/>
          <w:lang w:val="en"/>
        </w:rPr>
        <w:t xml:space="preserve">The NH Department of Education is required under the McKinney-Vento Act to ensure that homeless students have equal access to an education. Homeless youth are often students struggling to stay connected to their schools while managing the crisis of not knowing where they will sleep on any given night. They often seem like an invisible population as they do not match society’s expectation of what homelessness looks like. </w:t>
      </w:r>
      <w:r w:rsidR="1FF43D67" w:rsidRPr="00C64BA4">
        <w:rPr>
          <w:rFonts w:eastAsia="Tw Cen MT" w:cs="Tw Cen MT"/>
          <w:lang w:val="en"/>
        </w:rPr>
        <w:t>The Department of Education estimate</w:t>
      </w:r>
      <w:r w:rsidR="05AD4664" w:rsidRPr="00C64BA4">
        <w:rPr>
          <w:rFonts w:eastAsia="Tw Cen MT" w:cs="Tw Cen MT"/>
          <w:lang w:val="en"/>
        </w:rPr>
        <w:t>s an</w:t>
      </w:r>
      <w:r w:rsidR="1FF43D67" w:rsidRPr="00C64BA4">
        <w:rPr>
          <w:rFonts w:eastAsia="Tw Cen MT" w:cs="Tw Cen MT"/>
          <w:lang w:val="en"/>
        </w:rPr>
        <w:t xml:space="preserve"> average of around 3,700 homeless students </w:t>
      </w:r>
      <w:r w:rsidR="4024C90A" w:rsidRPr="00C64BA4">
        <w:rPr>
          <w:rFonts w:eastAsia="Tw Cen MT" w:cs="Tw Cen MT"/>
          <w:lang w:val="en"/>
        </w:rPr>
        <w:t>statewide every year. Approx</w:t>
      </w:r>
      <w:r w:rsidR="10F50D24" w:rsidRPr="00C64BA4">
        <w:rPr>
          <w:rFonts w:eastAsia="Tw Cen MT" w:cs="Tw Cen MT"/>
          <w:lang w:val="en"/>
        </w:rPr>
        <w:t>imately 1 in 5 go to Manchester public schools.</w:t>
      </w:r>
      <w:r w:rsidR="02F710C7" w:rsidRPr="00C64BA4">
        <w:rPr>
          <w:rFonts w:eastAsia="Tw Cen MT" w:cs="Tw Cen MT"/>
          <w:lang w:val="en"/>
        </w:rPr>
        <w:t xml:space="preserve"> </w:t>
      </w:r>
      <w:r w:rsidRPr="00C64BA4">
        <w:rPr>
          <w:rFonts w:eastAsia="Tw Cen MT" w:cs="Tw Cen MT"/>
          <w:lang w:val="en"/>
        </w:rPr>
        <w:t>New Hampshire school districts continue to report many remaining barriers to the education of homeless children and youth. Lack of affordable housing, difficulty identifying homeless students, transportation to school, and meeting basic needs are the greatest concerns reported by local homeless education liaisons as they try to meet the educational needs of students facing homelessness.</w:t>
      </w:r>
    </w:p>
    <w:p w14:paraId="4EAE18BD" w14:textId="07F7E5C7" w:rsidR="000F76E3" w:rsidRDefault="000F76E3" w:rsidP="00206C45">
      <w:pPr>
        <w:spacing w:line="300" w:lineRule="auto"/>
        <w:jc w:val="both"/>
        <w:rPr>
          <w:rFonts w:eastAsia="Tw Cen MT" w:cs="Tw Cen MT"/>
          <w:lang w:val="en"/>
        </w:rPr>
      </w:pPr>
    </w:p>
    <w:p w14:paraId="4C36B1F9" w14:textId="77777777" w:rsidR="000F76E3" w:rsidRPr="00591C8C" w:rsidRDefault="000F76E3" w:rsidP="00206C45">
      <w:pPr>
        <w:spacing w:line="300" w:lineRule="auto"/>
        <w:jc w:val="both"/>
        <w:rPr>
          <w:rFonts w:eastAsia="Tw Cen MT" w:cs="Tw Cen MT"/>
          <w:lang w:val="en"/>
        </w:rPr>
      </w:pPr>
    </w:p>
    <w:p w14:paraId="3BAF6547" w14:textId="6469AE15" w:rsidR="00591C8C" w:rsidRDefault="00591C8C" w:rsidP="00206C45">
      <w:pPr>
        <w:pStyle w:val="Caption"/>
        <w:keepNext/>
        <w:spacing w:line="300" w:lineRule="auto"/>
      </w:pPr>
      <w:bookmarkStart w:id="98" w:name="_Toc128137908"/>
      <w:r>
        <w:lastRenderedPageBreak/>
        <w:t xml:space="preserve">Table </w:t>
      </w:r>
      <w:r w:rsidR="0062538A">
        <w:fldChar w:fldCharType="begin"/>
      </w:r>
      <w:r w:rsidR="0062538A">
        <w:instrText xml:space="preserve"> SEQ Table \* ARABIC </w:instrText>
      </w:r>
      <w:r w:rsidR="0062538A">
        <w:fldChar w:fldCharType="separate"/>
      </w:r>
      <w:r w:rsidR="008B512A">
        <w:rPr>
          <w:noProof/>
        </w:rPr>
        <w:t>17</w:t>
      </w:r>
      <w:r w:rsidR="0062538A">
        <w:rPr>
          <w:noProof/>
        </w:rPr>
        <w:fldChar w:fldCharType="end"/>
      </w:r>
      <w:r>
        <w:t>: Average Number of Homeless School Students 2017-2021</w:t>
      </w:r>
      <w:bookmarkEnd w:id="98"/>
    </w:p>
    <w:tbl>
      <w:tblPr>
        <w:tblStyle w:val="TableGrid"/>
        <w:tblW w:w="0" w:type="auto"/>
        <w:tblLayout w:type="fixed"/>
        <w:tblLook w:val="06A0" w:firstRow="1" w:lastRow="0" w:firstColumn="1" w:lastColumn="0" w:noHBand="1" w:noVBand="1"/>
      </w:tblPr>
      <w:tblGrid>
        <w:gridCol w:w="3360"/>
        <w:gridCol w:w="1755"/>
      </w:tblGrid>
      <w:tr w:rsidR="3D6C7777" w:rsidRPr="00C64BA4" w14:paraId="0840FA95" w14:textId="77777777" w:rsidTr="000F76E3">
        <w:trPr>
          <w:cantSplit/>
          <w:trHeight w:val="300"/>
        </w:trPr>
        <w:tc>
          <w:tcPr>
            <w:tcW w:w="3360" w:type="dxa"/>
            <w:tcBorders>
              <w:top w:val="nil"/>
              <w:left w:val="nil"/>
              <w:bottom w:val="nil"/>
              <w:right w:val="nil"/>
            </w:tcBorders>
            <w:vAlign w:val="bottom"/>
          </w:tcPr>
          <w:p w14:paraId="510B6777" w14:textId="5AC7172E" w:rsidR="3D6C7777" w:rsidRPr="00C64BA4" w:rsidRDefault="3D6C7777" w:rsidP="00206C45">
            <w:pPr>
              <w:spacing w:line="300" w:lineRule="auto"/>
            </w:pPr>
          </w:p>
        </w:tc>
        <w:tc>
          <w:tcPr>
            <w:tcW w:w="1755" w:type="dxa"/>
            <w:tcBorders>
              <w:top w:val="nil"/>
              <w:left w:val="nil"/>
              <w:bottom w:val="nil"/>
              <w:right w:val="nil"/>
            </w:tcBorders>
            <w:vAlign w:val="bottom"/>
          </w:tcPr>
          <w:p w14:paraId="6F91A0CA" w14:textId="5EF04B7A" w:rsidR="3D6C7777" w:rsidRPr="00C64BA4" w:rsidRDefault="3D6C7777" w:rsidP="00206C45">
            <w:pPr>
              <w:spacing w:line="300" w:lineRule="auto"/>
              <w:jc w:val="center"/>
              <w:rPr>
                <w:rFonts w:eastAsia="Tw Cen MT" w:cs="Tw Cen MT"/>
                <w:b/>
                <w:bCs/>
                <w:color w:val="404040" w:themeColor="text1" w:themeTint="BF"/>
                <w:sz w:val="22"/>
                <w:szCs w:val="22"/>
              </w:rPr>
            </w:pPr>
            <w:r w:rsidRPr="00C64BA4">
              <w:rPr>
                <w:rFonts w:eastAsia="Tw Cen MT" w:cs="Tw Cen MT"/>
                <w:b/>
                <w:bCs/>
                <w:color w:val="404040" w:themeColor="text1" w:themeTint="BF"/>
                <w:sz w:val="22"/>
                <w:szCs w:val="22"/>
              </w:rPr>
              <w:t>2017-2021</w:t>
            </w:r>
          </w:p>
        </w:tc>
      </w:tr>
      <w:tr w:rsidR="3D6C7777" w:rsidRPr="00C64BA4" w14:paraId="3E2383A4" w14:textId="77777777" w:rsidTr="000F76E3">
        <w:trPr>
          <w:cantSplit/>
          <w:trHeight w:val="900"/>
        </w:trPr>
        <w:tc>
          <w:tcPr>
            <w:tcW w:w="3360" w:type="dxa"/>
            <w:tcBorders>
              <w:top w:val="nil"/>
              <w:left w:val="nil"/>
              <w:bottom w:val="single" w:sz="4" w:space="0" w:color="auto"/>
              <w:right w:val="nil"/>
            </w:tcBorders>
            <w:vAlign w:val="bottom"/>
          </w:tcPr>
          <w:p w14:paraId="46AFF71D" w14:textId="5FFFBD3C" w:rsidR="3D6C7777" w:rsidRPr="00C64BA4" w:rsidRDefault="3D6C7777" w:rsidP="00206C45">
            <w:pPr>
              <w:spacing w:line="300" w:lineRule="auto"/>
              <w:jc w:val="center"/>
              <w:rPr>
                <w:rFonts w:eastAsia="Tw Cen MT" w:cs="Tw Cen MT"/>
                <w:b/>
                <w:bCs/>
                <w:color w:val="404040" w:themeColor="text1" w:themeTint="BF"/>
                <w:sz w:val="22"/>
                <w:szCs w:val="22"/>
              </w:rPr>
            </w:pPr>
            <w:r w:rsidRPr="00C64BA4">
              <w:rPr>
                <w:rFonts w:eastAsia="Tw Cen MT" w:cs="Tw Cen MT"/>
                <w:b/>
                <w:bCs/>
                <w:color w:val="404040" w:themeColor="text1" w:themeTint="BF"/>
                <w:sz w:val="22"/>
                <w:szCs w:val="22"/>
              </w:rPr>
              <w:t>School District</w:t>
            </w:r>
          </w:p>
        </w:tc>
        <w:tc>
          <w:tcPr>
            <w:tcW w:w="1755" w:type="dxa"/>
            <w:tcBorders>
              <w:top w:val="nil"/>
              <w:left w:val="nil"/>
              <w:bottom w:val="single" w:sz="4" w:space="0" w:color="auto"/>
              <w:right w:val="nil"/>
            </w:tcBorders>
            <w:vAlign w:val="bottom"/>
          </w:tcPr>
          <w:p w14:paraId="7C0D90FC" w14:textId="285F7A3E" w:rsidR="3D6C7777" w:rsidRPr="00C64BA4" w:rsidRDefault="3D6C7777" w:rsidP="00206C45">
            <w:pPr>
              <w:spacing w:line="300" w:lineRule="auto"/>
              <w:jc w:val="center"/>
              <w:rPr>
                <w:rFonts w:eastAsia="Tw Cen MT" w:cs="Tw Cen MT"/>
                <w:b/>
                <w:bCs/>
                <w:color w:val="404040" w:themeColor="text1" w:themeTint="BF"/>
                <w:sz w:val="22"/>
                <w:szCs w:val="22"/>
              </w:rPr>
            </w:pPr>
            <w:r w:rsidRPr="00C64BA4">
              <w:rPr>
                <w:rFonts w:eastAsia="Tw Cen MT" w:cs="Tw Cen MT"/>
                <w:b/>
                <w:bCs/>
                <w:color w:val="404040" w:themeColor="text1" w:themeTint="BF"/>
                <w:sz w:val="22"/>
                <w:szCs w:val="22"/>
              </w:rPr>
              <w:t>Average Number of Homeless School Students</w:t>
            </w:r>
          </w:p>
        </w:tc>
      </w:tr>
      <w:tr w:rsidR="3D6C7777" w:rsidRPr="00C64BA4" w14:paraId="5732B9C2" w14:textId="77777777" w:rsidTr="000F76E3">
        <w:trPr>
          <w:cantSplit/>
          <w:trHeight w:val="300"/>
        </w:trPr>
        <w:tc>
          <w:tcPr>
            <w:tcW w:w="3360" w:type="dxa"/>
            <w:tcBorders>
              <w:top w:val="single" w:sz="4" w:space="0" w:color="auto"/>
              <w:left w:val="nil"/>
              <w:bottom w:val="nil"/>
              <w:right w:val="nil"/>
            </w:tcBorders>
            <w:vAlign w:val="center"/>
          </w:tcPr>
          <w:p w14:paraId="116393EC" w14:textId="0EB46D02"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Auburn School District</w:t>
            </w:r>
          </w:p>
        </w:tc>
        <w:tc>
          <w:tcPr>
            <w:tcW w:w="1755" w:type="dxa"/>
            <w:tcBorders>
              <w:top w:val="single" w:sz="4" w:space="0" w:color="auto"/>
              <w:left w:val="nil"/>
              <w:bottom w:val="nil"/>
              <w:right w:val="nil"/>
            </w:tcBorders>
            <w:vAlign w:val="center"/>
          </w:tcPr>
          <w:p w14:paraId="44609B9E" w14:textId="5C754569"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5</w:t>
            </w:r>
          </w:p>
        </w:tc>
      </w:tr>
      <w:tr w:rsidR="3D6C7777" w:rsidRPr="00C64BA4" w14:paraId="6D01050C" w14:textId="77777777" w:rsidTr="000F76E3">
        <w:trPr>
          <w:cantSplit/>
          <w:trHeight w:val="300"/>
        </w:trPr>
        <w:tc>
          <w:tcPr>
            <w:tcW w:w="3360" w:type="dxa"/>
            <w:tcBorders>
              <w:top w:val="single" w:sz="4" w:space="0" w:color="auto"/>
              <w:left w:val="nil"/>
              <w:bottom w:val="single" w:sz="4" w:space="0" w:color="auto"/>
              <w:right w:val="nil"/>
            </w:tcBorders>
            <w:shd w:val="clear" w:color="auto" w:fill="E7E6E6"/>
            <w:vAlign w:val="center"/>
          </w:tcPr>
          <w:p w14:paraId="1BDD2112" w14:textId="5BB10C28"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Bedford School District</w:t>
            </w:r>
          </w:p>
        </w:tc>
        <w:tc>
          <w:tcPr>
            <w:tcW w:w="1755" w:type="dxa"/>
            <w:tcBorders>
              <w:top w:val="single" w:sz="4" w:space="0" w:color="auto"/>
              <w:left w:val="nil"/>
              <w:bottom w:val="single" w:sz="4" w:space="0" w:color="auto"/>
              <w:right w:val="nil"/>
            </w:tcBorders>
            <w:shd w:val="clear" w:color="auto" w:fill="E7E6E6"/>
            <w:vAlign w:val="center"/>
          </w:tcPr>
          <w:p w14:paraId="5E98803D" w14:textId="5DB4FD9B"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20</w:t>
            </w:r>
          </w:p>
        </w:tc>
      </w:tr>
      <w:tr w:rsidR="3D6C7777" w:rsidRPr="00C64BA4" w14:paraId="0A5DDF26" w14:textId="77777777" w:rsidTr="000F76E3">
        <w:trPr>
          <w:cantSplit/>
          <w:trHeight w:val="300"/>
        </w:trPr>
        <w:tc>
          <w:tcPr>
            <w:tcW w:w="3360" w:type="dxa"/>
            <w:tcBorders>
              <w:top w:val="single" w:sz="4" w:space="0" w:color="auto"/>
              <w:left w:val="nil"/>
              <w:bottom w:val="nil"/>
              <w:right w:val="nil"/>
            </w:tcBorders>
            <w:vAlign w:val="center"/>
          </w:tcPr>
          <w:p w14:paraId="79D325B5" w14:textId="2E620773"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Candia School District</w:t>
            </w:r>
          </w:p>
        </w:tc>
        <w:tc>
          <w:tcPr>
            <w:tcW w:w="1755" w:type="dxa"/>
            <w:tcBorders>
              <w:top w:val="single" w:sz="4" w:space="0" w:color="auto"/>
              <w:left w:val="nil"/>
              <w:bottom w:val="nil"/>
              <w:right w:val="nil"/>
            </w:tcBorders>
            <w:vAlign w:val="center"/>
          </w:tcPr>
          <w:p w14:paraId="1B6EC386" w14:textId="5B0EE6F4"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0</w:t>
            </w:r>
          </w:p>
        </w:tc>
      </w:tr>
      <w:tr w:rsidR="3D6C7777" w:rsidRPr="00C64BA4" w14:paraId="75529624" w14:textId="77777777" w:rsidTr="000F76E3">
        <w:trPr>
          <w:cantSplit/>
          <w:trHeight w:val="300"/>
        </w:trPr>
        <w:tc>
          <w:tcPr>
            <w:tcW w:w="3360" w:type="dxa"/>
            <w:tcBorders>
              <w:top w:val="single" w:sz="4" w:space="0" w:color="auto"/>
              <w:left w:val="nil"/>
              <w:bottom w:val="single" w:sz="4" w:space="0" w:color="auto"/>
              <w:right w:val="nil"/>
            </w:tcBorders>
            <w:shd w:val="clear" w:color="auto" w:fill="E7E6E6"/>
            <w:vAlign w:val="center"/>
          </w:tcPr>
          <w:p w14:paraId="2C01E278" w14:textId="60715524"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Chester School District</w:t>
            </w:r>
          </w:p>
        </w:tc>
        <w:tc>
          <w:tcPr>
            <w:tcW w:w="1755" w:type="dxa"/>
            <w:tcBorders>
              <w:top w:val="single" w:sz="4" w:space="0" w:color="auto"/>
              <w:left w:val="nil"/>
              <w:bottom w:val="single" w:sz="4" w:space="0" w:color="auto"/>
              <w:right w:val="nil"/>
            </w:tcBorders>
            <w:shd w:val="clear" w:color="auto" w:fill="E7E6E6"/>
            <w:vAlign w:val="center"/>
          </w:tcPr>
          <w:p w14:paraId="6ECFAC35" w14:textId="4A9F4A4B"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0</w:t>
            </w:r>
          </w:p>
        </w:tc>
      </w:tr>
      <w:tr w:rsidR="3D6C7777" w:rsidRPr="00C64BA4" w14:paraId="77A84311" w14:textId="77777777" w:rsidTr="000F76E3">
        <w:trPr>
          <w:cantSplit/>
          <w:trHeight w:val="300"/>
        </w:trPr>
        <w:tc>
          <w:tcPr>
            <w:tcW w:w="3360" w:type="dxa"/>
            <w:tcBorders>
              <w:top w:val="single" w:sz="4" w:space="0" w:color="auto"/>
              <w:left w:val="nil"/>
              <w:bottom w:val="nil"/>
              <w:right w:val="nil"/>
            </w:tcBorders>
            <w:vAlign w:val="center"/>
          </w:tcPr>
          <w:p w14:paraId="77EDE40D" w14:textId="15E41C12"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Contoocook Valley School District</w:t>
            </w:r>
          </w:p>
        </w:tc>
        <w:tc>
          <w:tcPr>
            <w:tcW w:w="1755" w:type="dxa"/>
            <w:tcBorders>
              <w:top w:val="single" w:sz="4" w:space="0" w:color="auto"/>
              <w:left w:val="nil"/>
              <w:bottom w:val="nil"/>
              <w:right w:val="nil"/>
            </w:tcBorders>
            <w:vAlign w:val="center"/>
          </w:tcPr>
          <w:p w14:paraId="00126C3D" w14:textId="44328A65"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50</w:t>
            </w:r>
          </w:p>
        </w:tc>
      </w:tr>
      <w:tr w:rsidR="3D6C7777" w:rsidRPr="00C64BA4" w14:paraId="36FE6368" w14:textId="77777777" w:rsidTr="000F76E3">
        <w:trPr>
          <w:cantSplit/>
          <w:trHeight w:val="300"/>
        </w:trPr>
        <w:tc>
          <w:tcPr>
            <w:tcW w:w="3360" w:type="dxa"/>
            <w:tcBorders>
              <w:top w:val="single" w:sz="4" w:space="0" w:color="auto"/>
              <w:left w:val="nil"/>
              <w:bottom w:val="single" w:sz="4" w:space="0" w:color="auto"/>
              <w:right w:val="nil"/>
            </w:tcBorders>
            <w:shd w:val="clear" w:color="auto" w:fill="E7E6E6"/>
            <w:vAlign w:val="center"/>
          </w:tcPr>
          <w:p w14:paraId="09DF6E55" w14:textId="59B7A167"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Deerfield School District</w:t>
            </w:r>
          </w:p>
        </w:tc>
        <w:tc>
          <w:tcPr>
            <w:tcW w:w="1755" w:type="dxa"/>
            <w:tcBorders>
              <w:top w:val="single" w:sz="4" w:space="0" w:color="auto"/>
              <w:left w:val="nil"/>
              <w:bottom w:val="single" w:sz="4" w:space="0" w:color="auto"/>
              <w:right w:val="nil"/>
            </w:tcBorders>
            <w:shd w:val="clear" w:color="auto" w:fill="E7E6E6"/>
            <w:vAlign w:val="center"/>
          </w:tcPr>
          <w:p w14:paraId="5AC4FEC0" w14:textId="17046227"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0</w:t>
            </w:r>
          </w:p>
        </w:tc>
      </w:tr>
      <w:tr w:rsidR="3D6C7777" w:rsidRPr="00C64BA4" w14:paraId="3CC679FB" w14:textId="77777777" w:rsidTr="000F76E3">
        <w:trPr>
          <w:cantSplit/>
          <w:trHeight w:val="300"/>
        </w:trPr>
        <w:tc>
          <w:tcPr>
            <w:tcW w:w="3360" w:type="dxa"/>
            <w:tcBorders>
              <w:top w:val="single" w:sz="4" w:space="0" w:color="auto"/>
              <w:left w:val="nil"/>
              <w:bottom w:val="nil"/>
              <w:right w:val="nil"/>
            </w:tcBorders>
            <w:vAlign w:val="center"/>
          </w:tcPr>
          <w:p w14:paraId="520C986E" w14:textId="49802D83"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Derry School District</w:t>
            </w:r>
          </w:p>
        </w:tc>
        <w:tc>
          <w:tcPr>
            <w:tcW w:w="1755" w:type="dxa"/>
            <w:tcBorders>
              <w:top w:val="single" w:sz="4" w:space="0" w:color="auto"/>
              <w:left w:val="nil"/>
              <w:bottom w:val="nil"/>
              <w:right w:val="nil"/>
            </w:tcBorders>
            <w:vAlign w:val="center"/>
          </w:tcPr>
          <w:p w14:paraId="4633C35D" w14:textId="6024341B"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50</w:t>
            </w:r>
          </w:p>
        </w:tc>
      </w:tr>
      <w:tr w:rsidR="3D6C7777" w:rsidRPr="00C64BA4" w14:paraId="5BF85EA3" w14:textId="77777777" w:rsidTr="000F76E3">
        <w:trPr>
          <w:cantSplit/>
          <w:trHeight w:val="300"/>
        </w:trPr>
        <w:tc>
          <w:tcPr>
            <w:tcW w:w="3360" w:type="dxa"/>
            <w:tcBorders>
              <w:top w:val="single" w:sz="4" w:space="0" w:color="auto"/>
              <w:left w:val="nil"/>
              <w:bottom w:val="single" w:sz="4" w:space="0" w:color="auto"/>
              <w:right w:val="nil"/>
            </w:tcBorders>
            <w:shd w:val="clear" w:color="auto" w:fill="E7E6E6"/>
            <w:vAlign w:val="center"/>
          </w:tcPr>
          <w:p w14:paraId="24EA5D6A" w14:textId="0F3FE550"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Goffstown School District</w:t>
            </w:r>
          </w:p>
        </w:tc>
        <w:tc>
          <w:tcPr>
            <w:tcW w:w="1755" w:type="dxa"/>
            <w:tcBorders>
              <w:top w:val="single" w:sz="4" w:space="0" w:color="auto"/>
              <w:left w:val="nil"/>
              <w:bottom w:val="single" w:sz="4" w:space="0" w:color="auto"/>
              <w:right w:val="nil"/>
            </w:tcBorders>
            <w:shd w:val="clear" w:color="auto" w:fill="E7E6E6"/>
            <w:vAlign w:val="center"/>
          </w:tcPr>
          <w:p w14:paraId="1826A87E" w14:textId="0759988E"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20</w:t>
            </w:r>
          </w:p>
        </w:tc>
      </w:tr>
      <w:tr w:rsidR="3D6C7777" w:rsidRPr="00C64BA4" w14:paraId="4C8A5357" w14:textId="77777777" w:rsidTr="000F76E3">
        <w:trPr>
          <w:cantSplit/>
          <w:trHeight w:val="300"/>
        </w:trPr>
        <w:tc>
          <w:tcPr>
            <w:tcW w:w="3360" w:type="dxa"/>
            <w:tcBorders>
              <w:top w:val="single" w:sz="4" w:space="0" w:color="auto"/>
              <w:left w:val="nil"/>
              <w:bottom w:val="nil"/>
              <w:right w:val="nil"/>
            </w:tcBorders>
            <w:vAlign w:val="center"/>
          </w:tcPr>
          <w:p w14:paraId="297486A0" w14:textId="1AF464F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Hooksett School District</w:t>
            </w:r>
          </w:p>
        </w:tc>
        <w:tc>
          <w:tcPr>
            <w:tcW w:w="1755" w:type="dxa"/>
            <w:tcBorders>
              <w:top w:val="single" w:sz="4" w:space="0" w:color="auto"/>
              <w:left w:val="nil"/>
              <w:bottom w:val="nil"/>
              <w:right w:val="nil"/>
            </w:tcBorders>
            <w:vAlign w:val="center"/>
          </w:tcPr>
          <w:p w14:paraId="6A5FF060" w14:textId="58E04361"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5</w:t>
            </w:r>
          </w:p>
        </w:tc>
      </w:tr>
      <w:tr w:rsidR="3D6C7777" w:rsidRPr="00C64BA4" w14:paraId="06837D24" w14:textId="77777777" w:rsidTr="000F76E3">
        <w:trPr>
          <w:cantSplit/>
          <w:trHeight w:val="300"/>
        </w:trPr>
        <w:tc>
          <w:tcPr>
            <w:tcW w:w="3360" w:type="dxa"/>
            <w:tcBorders>
              <w:top w:val="single" w:sz="4" w:space="0" w:color="auto"/>
              <w:left w:val="nil"/>
              <w:bottom w:val="single" w:sz="4" w:space="0" w:color="auto"/>
              <w:right w:val="nil"/>
            </w:tcBorders>
            <w:shd w:val="clear" w:color="auto" w:fill="E7E6E6"/>
            <w:vAlign w:val="center"/>
          </w:tcPr>
          <w:p w14:paraId="4A223C2E" w14:textId="43ACC0A0"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Londonderry School District</w:t>
            </w:r>
          </w:p>
        </w:tc>
        <w:tc>
          <w:tcPr>
            <w:tcW w:w="1755" w:type="dxa"/>
            <w:tcBorders>
              <w:top w:val="single" w:sz="4" w:space="0" w:color="auto"/>
              <w:left w:val="nil"/>
              <w:bottom w:val="single" w:sz="4" w:space="0" w:color="auto"/>
              <w:right w:val="nil"/>
            </w:tcBorders>
            <w:shd w:val="clear" w:color="auto" w:fill="E7E6E6"/>
            <w:vAlign w:val="center"/>
          </w:tcPr>
          <w:p w14:paraId="4EFF522C" w14:textId="2B7C02D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5</w:t>
            </w:r>
          </w:p>
        </w:tc>
      </w:tr>
      <w:tr w:rsidR="3D6C7777" w:rsidRPr="00C64BA4" w14:paraId="68888445" w14:textId="77777777" w:rsidTr="000F76E3">
        <w:trPr>
          <w:cantSplit/>
          <w:trHeight w:val="300"/>
        </w:trPr>
        <w:tc>
          <w:tcPr>
            <w:tcW w:w="3360" w:type="dxa"/>
            <w:tcBorders>
              <w:top w:val="single" w:sz="4" w:space="0" w:color="auto"/>
              <w:left w:val="nil"/>
              <w:bottom w:val="nil"/>
              <w:right w:val="nil"/>
            </w:tcBorders>
            <w:vAlign w:val="center"/>
          </w:tcPr>
          <w:p w14:paraId="41AC440C" w14:textId="265D7C3C"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Manchester School District</w:t>
            </w:r>
          </w:p>
        </w:tc>
        <w:tc>
          <w:tcPr>
            <w:tcW w:w="1755" w:type="dxa"/>
            <w:tcBorders>
              <w:top w:val="single" w:sz="4" w:space="0" w:color="auto"/>
              <w:left w:val="nil"/>
              <w:bottom w:val="nil"/>
              <w:right w:val="nil"/>
            </w:tcBorders>
            <w:vAlign w:val="center"/>
          </w:tcPr>
          <w:p w14:paraId="60AEE12E" w14:textId="6A504ED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840</w:t>
            </w:r>
          </w:p>
        </w:tc>
      </w:tr>
      <w:tr w:rsidR="3D6C7777" w:rsidRPr="00C64BA4" w14:paraId="169494F2" w14:textId="77777777" w:rsidTr="000F76E3">
        <w:trPr>
          <w:cantSplit/>
          <w:trHeight w:val="300"/>
        </w:trPr>
        <w:tc>
          <w:tcPr>
            <w:tcW w:w="3360" w:type="dxa"/>
            <w:tcBorders>
              <w:top w:val="single" w:sz="4" w:space="0" w:color="auto"/>
              <w:left w:val="nil"/>
              <w:bottom w:val="single" w:sz="4" w:space="0" w:color="auto"/>
              <w:right w:val="nil"/>
            </w:tcBorders>
            <w:shd w:val="clear" w:color="auto" w:fill="E7E6E6"/>
            <w:vAlign w:val="center"/>
          </w:tcPr>
          <w:p w14:paraId="2F47286A" w14:textId="07A9EFF5"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New Boston School District</w:t>
            </w:r>
          </w:p>
        </w:tc>
        <w:tc>
          <w:tcPr>
            <w:tcW w:w="1755" w:type="dxa"/>
            <w:tcBorders>
              <w:top w:val="single" w:sz="4" w:space="0" w:color="auto"/>
              <w:left w:val="nil"/>
              <w:bottom w:val="single" w:sz="4" w:space="0" w:color="auto"/>
              <w:right w:val="nil"/>
            </w:tcBorders>
            <w:shd w:val="clear" w:color="auto" w:fill="E7E6E6"/>
            <w:vAlign w:val="center"/>
          </w:tcPr>
          <w:p w14:paraId="03B840E0" w14:textId="456D4B1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0</w:t>
            </w:r>
          </w:p>
        </w:tc>
      </w:tr>
      <w:tr w:rsidR="3D6C7777" w:rsidRPr="00C64BA4" w14:paraId="4179677F" w14:textId="77777777" w:rsidTr="000F76E3">
        <w:trPr>
          <w:cantSplit/>
          <w:trHeight w:val="300"/>
        </w:trPr>
        <w:tc>
          <w:tcPr>
            <w:tcW w:w="3360" w:type="dxa"/>
            <w:tcBorders>
              <w:top w:val="single" w:sz="4" w:space="0" w:color="auto"/>
              <w:left w:val="nil"/>
              <w:bottom w:val="nil"/>
              <w:right w:val="nil"/>
            </w:tcBorders>
            <w:vAlign w:val="center"/>
          </w:tcPr>
          <w:p w14:paraId="1DAF4274" w14:textId="6A5A1293"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Pinkerton Academy School District</w:t>
            </w:r>
          </w:p>
        </w:tc>
        <w:tc>
          <w:tcPr>
            <w:tcW w:w="1755" w:type="dxa"/>
            <w:tcBorders>
              <w:top w:val="single" w:sz="4" w:space="0" w:color="auto"/>
              <w:left w:val="nil"/>
              <w:bottom w:val="nil"/>
              <w:right w:val="nil"/>
            </w:tcBorders>
            <w:vAlign w:val="center"/>
          </w:tcPr>
          <w:p w14:paraId="042C4FB5" w14:textId="2524BA0C"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20</w:t>
            </w:r>
          </w:p>
        </w:tc>
      </w:tr>
      <w:tr w:rsidR="3D6C7777" w:rsidRPr="00C64BA4" w14:paraId="18C4BC9F" w14:textId="77777777" w:rsidTr="000F76E3">
        <w:trPr>
          <w:cantSplit/>
          <w:trHeight w:val="300"/>
        </w:trPr>
        <w:tc>
          <w:tcPr>
            <w:tcW w:w="3360" w:type="dxa"/>
            <w:tcBorders>
              <w:top w:val="single" w:sz="4" w:space="0" w:color="auto"/>
              <w:left w:val="nil"/>
              <w:bottom w:val="single" w:sz="4" w:space="0" w:color="auto"/>
              <w:right w:val="nil"/>
            </w:tcBorders>
            <w:shd w:val="clear" w:color="auto" w:fill="E7E6E6"/>
            <w:vAlign w:val="center"/>
          </w:tcPr>
          <w:p w14:paraId="375FE2DD" w14:textId="61052835" w:rsidR="3D6C7777" w:rsidRPr="00C64BA4" w:rsidRDefault="3D6C7777" w:rsidP="00206C45">
            <w:pPr>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Weare</w:t>
            </w:r>
            <w:proofErr w:type="spellEnd"/>
            <w:r w:rsidRPr="00C64BA4">
              <w:rPr>
                <w:rFonts w:eastAsia="Tw Cen MT" w:cs="Tw Cen MT"/>
                <w:color w:val="000000" w:themeColor="text1"/>
                <w:sz w:val="22"/>
                <w:szCs w:val="22"/>
              </w:rPr>
              <w:t xml:space="preserve"> School District</w:t>
            </w:r>
          </w:p>
        </w:tc>
        <w:tc>
          <w:tcPr>
            <w:tcW w:w="1755" w:type="dxa"/>
            <w:tcBorders>
              <w:top w:val="single" w:sz="4" w:space="0" w:color="auto"/>
              <w:left w:val="nil"/>
              <w:bottom w:val="single" w:sz="4" w:space="0" w:color="auto"/>
              <w:right w:val="nil"/>
            </w:tcBorders>
            <w:shd w:val="clear" w:color="auto" w:fill="E7E6E6"/>
            <w:vAlign w:val="center"/>
          </w:tcPr>
          <w:p w14:paraId="19CBB214" w14:textId="1EA9455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10</w:t>
            </w:r>
          </w:p>
        </w:tc>
      </w:tr>
      <w:tr w:rsidR="3D6C7777" w:rsidRPr="00C64BA4" w14:paraId="1D04628A" w14:textId="77777777" w:rsidTr="000F76E3">
        <w:trPr>
          <w:cantSplit/>
          <w:trHeight w:val="315"/>
        </w:trPr>
        <w:tc>
          <w:tcPr>
            <w:tcW w:w="3360" w:type="dxa"/>
            <w:tcBorders>
              <w:top w:val="single" w:sz="4" w:space="0" w:color="auto"/>
              <w:left w:val="nil"/>
              <w:bottom w:val="single" w:sz="12" w:space="0" w:color="404040" w:themeColor="text1" w:themeTint="BF"/>
              <w:right w:val="nil"/>
            </w:tcBorders>
            <w:vAlign w:val="center"/>
          </w:tcPr>
          <w:p w14:paraId="654A956A" w14:textId="3EA24739"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Windham School District</w:t>
            </w:r>
          </w:p>
        </w:tc>
        <w:tc>
          <w:tcPr>
            <w:tcW w:w="1755" w:type="dxa"/>
            <w:tcBorders>
              <w:top w:val="single" w:sz="4" w:space="0" w:color="auto"/>
              <w:left w:val="nil"/>
              <w:bottom w:val="single" w:sz="12" w:space="0" w:color="404040" w:themeColor="text1" w:themeTint="BF"/>
              <w:right w:val="nil"/>
            </w:tcBorders>
            <w:vAlign w:val="center"/>
          </w:tcPr>
          <w:p w14:paraId="07C38264" w14:textId="2941B7FD"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5</w:t>
            </w:r>
          </w:p>
        </w:tc>
      </w:tr>
      <w:tr w:rsidR="3D6C7777" w:rsidRPr="00C64BA4" w14:paraId="779A5DE4" w14:textId="77777777" w:rsidTr="000F76E3">
        <w:trPr>
          <w:cantSplit/>
          <w:trHeight w:val="300"/>
        </w:trPr>
        <w:tc>
          <w:tcPr>
            <w:tcW w:w="3360" w:type="dxa"/>
            <w:tcBorders>
              <w:top w:val="single" w:sz="12" w:space="0" w:color="404040" w:themeColor="text1" w:themeTint="BF"/>
              <w:left w:val="nil"/>
              <w:bottom w:val="nil"/>
              <w:right w:val="nil"/>
            </w:tcBorders>
            <w:shd w:val="clear" w:color="auto" w:fill="E7E6E6"/>
            <w:vAlign w:val="center"/>
          </w:tcPr>
          <w:p w14:paraId="5225EDD6" w14:textId="26EAA74E"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NH</w:t>
            </w:r>
          </w:p>
        </w:tc>
        <w:tc>
          <w:tcPr>
            <w:tcW w:w="1755" w:type="dxa"/>
            <w:tcBorders>
              <w:top w:val="single" w:sz="12" w:space="0" w:color="404040" w:themeColor="text1" w:themeTint="BF"/>
              <w:left w:val="nil"/>
              <w:bottom w:val="nil"/>
              <w:right w:val="nil"/>
            </w:tcBorders>
            <w:shd w:val="clear" w:color="auto" w:fill="E7E6E6"/>
            <w:vAlign w:val="center"/>
          </w:tcPr>
          <w:p w14:paraId="75808D6C" w14:textId="3EF5E4B8" w:rsidR="3D6C7777" w:rsidRPr="00C64BA4" w:rsidRDefault="3D6C7777" w:rsidP="00206C45">
            <w:pPr>
              <w:spacing w:line="300" w:lineRule="auto"/>
              <w:jc w:val="center"/>
              <w:rPr>
                <w:rFonts w:eastAsia="Tw Cen MT" w:cs="Tw Cen MT"/>
                <w:color w:val="000000" w:themeColor="text1"/>
                <w:sz w:val="22"/>
                <w:szCs w:val="22"/>
              </w:rPr>
            </w:pPr>
            <w:r w:rsidRPr="00C64BA4">
              <w:rPr>
                <w:rFonts w:eastAsia="Tw Cen MT" w:cs="Tw Cen MT"/>
                <w:color w:val="000000" w:themeColor="text1"/>
                <w:sz w:val="22"/>
                <w:szCs w:val="22"/>
              </w:rPr>
              <w:t>3,680</w:t>
            </w:r>
          </w:p>
        </w:tc>
      </w:tr>
      <w:tr w:rsidR="3D6C7777" w:rsidRPr="00C64BA4" w14:paraId="1D3E9AF0" w14:textId="77777777" w:rsidTr="000F76E3">
        <w:trPr>
          <w:cantSplit/>
          <w:trHeight w:val="80"/>
        </w:trPr>
        <w:tc>
          <w:tcPr>
            <w:tcW w:w="5115" w:type="dxa"/>
            <w:gridSpan w:val="2"/>
            <w:tcBorders>
              <w:top w:val="nil"/>
              <w:left w:val="nil"/>
              <w:bottom w:val="nil"/>
              <w:right w:val="nil"/>
            </w:tcBorders>
            <w:vAlign w:val="bottom"/>
          </w:tcPr>
          <w:p w14:paraId="63CAB1D2" w14:textId="65F002BA" w:rsidR="3D6C7777" w:rsidRPr="00C64BA4" w:rsidRDefault="3D6C7777" w:rsidP="00206C45">
            <w:pPr>
              <w:spacing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NH Department of Education</w:t>
            </w:r>
          </w:p>
        </w:tc>
      </w:tr>
    </w:tbl>
    <w:p w14:paraId="3D27D8D3" w14:textId="0D92286F" w:rsidR="00FB3623" w:rsidRPr="00C64BA4" w:rsidRDefault="00FB3623" w:rsidP="00206C45">
      <w:pPr>
        <w:spacing w:line="300" w:lineRule="auto"/>
        <w:jc w:val="both"/>
        <w:rPr>
          <w:rFonts w:eastAsia="Tw Cen MT" w:cs="Tw Cen MT"/>
          <w:lang w:val="en"/>
        </w:rPr>
      </w:pPr>
    </w:p>
    <w:p w14:paraId="5EC53EC4" w14:textId="305DDD41" w:rsidR="00FB3623" w:rsidRPr="00C64BA4" w:rsidRDefault="09A70516" w:rsidP="00206C45">
      <w:pPr>
        <w:pStyle w:val="Heading4"/>
        <w:spacing w:line="300" w:lineRule="auto"/>
        <w:rPr>
          <w:rFonts w:eastAsia="Tw Cen MT" w:cs="Tw Cen MT"/>
          <w:color w:val="003BB3"/>
          <w:lang w:val="en"/>
        </w:rPr>
      </w:pPr>
      <w:r w:rsidRPr="00C64BA4">
        <w:rPr>
          <w:rFonts w:eastAsia="Tw Cen MT" w:cs="Tw Cen MT"/>
          <w:color w:val="003BB3"/>
          <w:lang w:val="en"/>
        </w:rPr>
        <w:t>The Justice-Involved</w:t>
      </w:r>
    </w:p>
    <w:p w14:paraId="0C2087E5" w14:textId="6013CB46" w:rsidR="00FB3623" w:rsidRPr="00C64BA4" w:rsidRDefault="09A70516" w:rsidP="00206C45">
      <w:pPr>
        <w:spacing w:line="300" w:lineRule="auto"/>
        <w:jc w:val="both"/>
        <w:rPr>
          <w:rFonts w:eastAsia="Tw Cen MT" w:cs="Tw Cen MT"/>
          <w:lang w:val="en"/>
        </w:rPr>
      </w:pPr>
      <w:r w:rsidRPr="00C64BA4">
        <w:rPr>
          <w:rFonts w:eastAsia="Tw Cen MT" w:cs="Tw Cen MT"/>
          <w:lang w:val="en"/>
        </w:rPr>
        <w:t>Those who have been incarcerated typically return to their communities upon release. When they arrive, they must overcome a multitude of challenges to integrate back into society. One of their first needs will be to secure safe, predictable, and affordable housing. Housing is an important element of reentry; people returning to their communities require a home in order pursue employment, education, health care, and to reengage with family and in civic activities. Stable housing reduces the risk that recidivism. Successful reentry is a public interest in that it increases public safety and saves taxpayers money by reducing the number of costly jail stays. Support of justice-involved individuals through housing will allow those individuals to reach their full potential as contributors to the local community.</w:t>
      </w:r>
    </w:p>
    <w:p w14:paraId="39A351A6" w14:textId="6BA589F3" w:rsidR="00E56745" w:rsidRPr="00591C8C" w:rsidRDefault="09A70516" w:rsidP="00206C45">
      <w:pPr>
        <w:spacing w:line="300" w:lineRule="auto"/>
        <w:jc w:val="both"/>
        <w:rPr>
          <w:rFonts w:eastAsia="Tw Cen MT" w:cs="Tw Cen MT"/>
          <w:lang w:val="en"/>
        </w:rPr>
      </w:pPr>
      <w:r w:rsidRPr="00C64BA4">
        <w:rPr>
          <w:rFonts w:eastAsia="Tw Cen MT" w:cs="Tw Cen MT"/>
          <w:lang w:val="en"/>
        </w:rPr>
        <w:t xml:space="preserve">According to the </w:t>
      </w:r>
      <w:r w:rsidR="323A0C5E" w:rsidRPr="00CB5FF1">
        <w:rPr>
          <w:rFonts w:eastAsia="Tw Cen MT" w:cs="Tw Cen MT"/>
          <w:lang w:val="en"/>
        </w:rPr>
        <w:t>Vera Insti</w:t>
      </w:r>
      <w:r w:rsidRPr="00CB5FF1">
        <w:rPr>
          <w:rFonts w:eastAsia="Tw Cen MT" w:cs="Tw Cen MT"/>
          <w:lang w:val="en"/>
        </w:rPr>
        <w:t>tute of Justice</w:t>
      </w:r>
      <w:r w:rsidR="004A2020">
        <w:rPr>
          <w:rStyle w:val="FootnoteReference"/>
          <w:rFonts w:eastAsia="Tw Cen MT" w:cs="Tw Cen MT"/>
          <w:lang w:val="en"/>
        </w:rPr>
        <w:footnoteReference w:id="13"/>
      </w:r>
      <w:r w:rsidRPr="00C64BA4">
        <w:rPr>
          <w:rFonts w:eastAsia="Tw Cen MT" w:cs="Tw Cen MT"/>
          <w:lang w:val="en"/>
        </w:rPr>
        <w:t xml:space="preserve"> and the US Bureau of Justice Statistics, the prisoner population in New Hampshire for 2018 was 2,441, continuing a slight downward trend from a high of 2,870 in 2007. That said, between 1983 and 2018 the state’s overall prison population has increased by 432%. In New Hampshire, Black individuals constituted 1% of state residents, but 8% of people in jail and 5% of people </w:t>
      </w:r>
      <w:r w:rsidRPr="00C64BA4">
        <w:rPr>
          <w:rFonts w:eastAsia="Tw Cen MT" w:cs="Tw Cen MT"/>
          <w:lang w:val="en"/>
        </w:rPr>
        <w:lastRenderedPageBreak/>
        <w:t>in prison. Similar distributions are true for those identified as Latino. There is wide variation in incarceration across the state. The highest rates of prison admissions are in rural counties.</w:t>
      </w:r>
    </w:p>
    <w:p w14:paraId="4891B8BC" w14:textId="3B25F135" w:rsidR="00FB3623" w:rsidRPr="00C64BA4" w:rsidRDefault="09A70516" w:rsidP="00206C45">
      <w:pPr>
        <w:pStyle w:val="Heading4"/>
        <w:spacing w:line="300" w:lineRule="auto"/>
        <w:rPr>
          <w:rFonts w:eastAsia="Tw Cen MT" w:cs="Tw Cen MT"/>
          <w:color w:val="003BB3"/>
          <w:lang w:val="en"/>
        </w:rPr>
      </w:pPr>
      <w:r w:rsidRPr="00C64BA4">
        <w:rPr>
          <w:rFonts w:eastAsia="Tw Cen MT" w:cs="Tw Cen MT"/>
          <w:color w:val="003BB3"/>
          <w:lang w:val="en"/>
        </w:rPr>
        <w:t>Religious Belief</w:t>
      </w:r>
    </w:p>
    <w:p w14:paraId="23E9E5B5" w14:textId="6A5D47E6" w:rsidR="00FB3623" w:rsidRPr="00C64BA4" w:rsidRDefault="09A70516" w:rsidP="00206C45">
      <w:pPr>
        <w:spacing w:line="300" w:lineRule="auto"/>
        <w:jc w:val="both"/>
        <w:rPr>
          <w:rFonts w:eastAsia="Tw Cen MT" w:cs="Tw Cen MT"/>
          <w:lang w:val="en"/>
        </w:rPr>
      </w:pPr>
      <w:r w:rsidRPr="00C64BA4">
        <w:rPr>
          <w:rFonts w:eastAsia="Tw Cen MT" w:cs="Tw Cen MT"/>
          <w:lang w:val="en"/>
        </w:rPr>
        <w:t>Religion is generally defined by organized beliefs, behaviors, and practices related to spirituality, morality, or higher beings. Definitions and practices of religion varies based on community. Religion can influence how communities think, feel, and behave in both positive and negative ways. For many people, religion and spirituality brings meaning, purpose, and social belonging to life.  Conversely, participation in religion can create social challenges, where individuals or groups can experience discrimination or internal conflict resulting from religious beliefs or practices which can extend into housing.</w:t>
      </w:r>
    </w:p>
    <w:p w14:paraId="797C0DCA" w14:textId="481EDFE8" w:rsidR="00FB3623" w:rsidRPr="00C64BA4" w:rsidRDefault="09A70516" w:rsidP="00206C45">
      <w:pPr>
        <w:spacing w:line="300" w:lineRule="auto"/>
        <w:jc w:val="both"/>
        <w:rPr>
          <w:rFonts w:eastAsia="Tw Cen MT" w:cs="Tw Cen MT"/>
          <w:lang w:val="en"/>
        </w:rPr>
      </w:pPr>
      <w:r w:rsidRPr="00C64BA4">
        <w:rPr>
          <w:rFonts w:eastAsia="Tw Cen MT" w:cs="Tw Cen MT"/>
          <w:lang w:val="en"/>
        </w:rPr>
        <w:t xml:space="preserve">According to the </w:t>
      </w:r>
      <w:r w:rsidRPr="00D5700B">
        <w:rPr>
          <w:rFonts w:eastAsia="Tw Cen MT" w:cs="Tw Cen MT"/>
          <w:lang w:val="en"/>
        </w:rPr>
        <w:t>Pew Research Center</w:t>
      </w:r>
      <w:r w:rsidR="004A2020">
        <w:rPr>
          <w:rStyle w:val="FootnoteReference"/>
          <w:rFonts w:eastAsia="Tw Cen MT" w:cs="Tw Cen MT"/>
          <w:lang w:val="en"/>
        </w:rPr>
        <w:footnoteReference w:id="14"/>
      </w:r>
      <w:r w:rsidRPr="00C64BA4">
        <w:rPr>
          <w:rFonts w:eastAsia="Tw Cen MT" w:cs="Tw Cen MT"/>
          <w:lang w:val="en"/>
        </w:rPr>
        <w:t xml:space="preserve">, New Hampshire’s religious makeup is 59% Catholic and Protestant Christian with the next largest group (36%) being unaffiliated. Non-Christian faiths (Jewish, Muslim, Buddhist, Hindu, and other faiths) make up 5% of the state’s religious composition. Recent decades have witnessed a growth in irreligion in the state. Between 2007 and 2014, religious trends in New Hampshire have saw a shift from 81% of people having an absolute or </w:t>
      </w:r>
      <w:proofErr w:type="gramStart"/>
      <w:r w:rsidRPr="00C64BA4">
        <w:rPr>
          <w:rFonts w:eastAsia="Tw Cen MT" w:cs="Tw Cen MT"/>
          <w:lang w:val="en"/>
        </w:rPr>
        <w:t>fairly certain</w:t>
      </w:r>
      <w:proofErr w:type="gramEnd"/>
      <w:r w:rsidRPr="00C64BA4">
        <w:rPr>
          <w:rFonts w:eastAsia="Tw Cen MT" w:cs="Tw Cen MT"/>
          <w:lang w:val="en"/>
        </w:rPr>
        <w:t xml:space="preserve"> belief in God in 2007, down to 69% in 2014.</w:t>
      </w:r>
    </w:p>
    <w:p w14:paraId="24AE0D91" w14:textId="3C2FC295" w:rsidR="00FB3623" w:rsidRPr="00591C8C" w:rsidRDefault="09A70516" w:rsidP="00206C45">
      <w:pPr>
        <w:spacing w:line="300" w:lineRule="auto"/>
        <w:jc w:val="both"/>
        <w:rPr>
          <w:rFonts w:eastAsia="Tw Cen MT" w:cs="Tw Cen MT"/>
          <w:lang w:val="en"/>
        </w:rPr>
      </w:pPr>
      <w:r w:rsidRPr="00C64BA4">
        <w:rPr>
          <w:rFonts w:eastAsia="Tw Cen MT" w:cs="Tw Cen MT"/>
          <w:lang w:val="en"/>
        </w:rPr>
        <w:t>Individuals and groups who have common religious beliefs, habits, and practices and ideologies are a protected class within the Fair Housing Act whether they consider themselves to be members of a particular religion or how established or popular a religious practice is. Religious housing discrimination can be subtle and includes actions such as different rent rates, tenant steering, and lower priority on waitlists or for repairs.</w:t>
      </w:r>
    </w:p>
    <w:p w14:paraId="0560B547" w14:textId="77777777" w:rsidR="00274AAD" w:rsidRDefault="00274AAD">
      <w:pPr>
        <w:rPr>
          <w:rFonts w:eastAsia="Tw Cen MT" w:cs="Tw Cen MT"/>
          <w:caps/>
          <w:color w:val="003BB3"/>
          <w:spacing w:val="10"/>
          <w:lang w:val="en"/>
        </w:rPr>
      </w:pPr>
      <w:r>
        <w:rPr>
          <w:rFonts w:eastAsia="Tw Cen MT" w:cs="Tw Cen MT"/>
          <w:color w:val="003BB3"/>
          <w:lang w:val="en"/>
        </w:rPr>
        <w:br w:type="page"/>
      </w:r>
    </w:p>
    <w:p w14:paraId="1B023CA7" w14:textId="13DC4C1D" w:rsidR="00FB3623" w:rsidRPr="00C64BA4" w:rsidRDefault="09A70516" w:rsidP="000F76E3">
      <w:pPr>
        <w:pStyle w:val="Heading4"/>
        <w:keepNext/>
        <w:keepLines/>
        <w:spacing w:line="300" w:lineRule="auto"/>
        <w:jc w:val="both"/>
        <w:rPr>
          <w:rFonts w:eastAsia="Tw Cen MT" w:cs="Tw Cen MT"/>
          <w:color w:val="003BB3"/>
          <w:lang w:val="en"/>
        </w:rPr>
      </w:pPr>
      <w:r w:rsidRPr="00C64BA4">
        <w:rPr>
          <w:rFonts w:eastAsia="Tw Cen MT" w:cs="Tw Cen MT"/>
          <w:color w:val="003BB3"/>
          <w:lang w:val="en"/>
        </w:rPr>
        <w:lastRenderedPageBreak/>
        <w:t>Gender &amp; Sexual Orientation</w:t>
      </w:r>
    </w:p>
    <w:p w14:paraId="049169C5" w14:textId="0EAF4A40" w:rsidR="00591C8C" w:rsidRDefault="00591C8C" w:rsidP="000F76E3">
      <w:pPr>
        <w:pStyle w:val="Caption"/>
        <w:keepNext/>
        <w:keepLines/>
        <w:spacing w:line="300" w:lineRule="auto"/>
      </w:pPr>
      <w:bookmarkStart w:id="99" w:name="_Toc128137909"/>
      <w:r>
        <w:t xml:space="preserve">Table </w:t>
      </w:r>
      <w:r w:rsidR="0062538A">
        <w:fldChar w:fldCharType="begin"/>
      </w:r>
      <w:r w:rsidR="0062538A">
        <w:instrText xml:space="preserve"> SEQ Table \* ARABIC </w:instrText>
      </w:r>
      <w:r w:rsidR="0062538A">
        <w:fldChar w:fldCharType="separate"/>
      </w:r>
      <w:r w:rsidR="008B512A">
        <w:rPr>
          <w:noProof/>
        </w:rPr>
        <w:t>18</w:t>
      </w:r>
      <w:r w:rsidR="0062538A">
        <w:rPr>
          <w:noProof/>
        </w:rPr>
        <w:fldChar w:fldCharType="end"/>
      </w:r>
      <w:r>
        <w:t>: Male Vs Female Residents 2020</w:t>
      </w:r>
      <w:bookmarkEnd w:id="99"/>
    </w:p>
    <w:tbl>
      <w:tblPr>
        <w:tblpPr w:leftFromText="180" w:rightFromText="180" w:vertAnchor="text" w:tblpY="1"/>
        <w:tblOverlap w:val="never"/>
        <w:tblW w:w="3300" w:type="dxa"/>
        <w:tblLook w:val="04A0" w:firstRow="1" w:lastRow="0" w:firstColumn="1" w:lastColumn="0" w:noHBand="0" w:noVBand="1"/>
      </w:tblPr>
      <w:tblGrid>
        <w:gridCol w:w="1380"/>
        <w:gridCol w:w="788"/>
        <w:gridCol w:w="1132"/>
      </w:tblGrid>
      <w:tr w:rsidR="00452253" w:rsidRPr="00C64BA4" w14:paraId="3AA11688" w14:textId="77777777" w:rsidTr="00452253">
        <w:trPr>
          <w:trHeight w:val="300"/>
        </w:trPr>
        <w:tc>
          <w:tcPr>
            <w:tcW w:w="1380" w:type="dxa"/>
            <w:tcBorders>
              <w:top w:val="nil"/>
              <w:left w:val="nil"/>
              <w:bottom w:val="nil"/>
              <w:right w:val="nil"/>
            </w:tcBorders>
            <w:shd w:val="clear" w:color="auto" w:fill="auto"/>
            <w:noWrap/>
            <w:vAlign w:val="bottom"/>
            <w:hideMark/>
          </w:tcPr>
          <w:p w14:paraId="64161A5D" w14:textId="77777777" w:rsidR="00452253" w:rsidRPr="00C64BA4" w:rsidRDefault="00452253" w:rsidP="000F76E3">
            <w:pPr>
              <w:keepNext/>
              <w:keepLines/>
              <w:spacing w:after="0" w:line="300" w:lineRule="auto"/>
              <w:rPr>
                <w:rFonts w:eastAsia="Times New Roman" w:cs="Times New Roman"/>
                <w:sz w:val="24"/>
                <w:szCs w:val="24"/>
              </w:rPr>
            </w:pPr>
          </w:p>
        </w:tc>
        <w:tc>
          <w:tcPr>
            <w:tcW w:w="1920" w:type="dxa"/>
            <w:gridSpan w:val="2"/>
            <w:tcBorders>
              <w:top w:val="nil"/>
              <w:left w:val="nil"/>
              <w:bottom w:val="nil"/>
              <w:right w:val="nil"/>
            </w:tcBorders>
            <w:shd w:val="clear" w:color="auto" w:fill="auto"/>
            <w:noWrap/>
            <w:vAlign w:val="center"/>
            <w:hideMark/>
          </w:tcPr>
          <w:p w14:paraId="3EFE3E19" w14:textId="77777777" w:rsidR="00452253" w:rsidRPr="00C64BA4" w:rsidRDefault="00452253" w:rsidP="000F76E3">
            <w:pPr>
              <w:keepNext/>
              <w:keepLines/>
              <w:spacing w:after="0" w:line="300" w:lineRule="auto"/>
              <w:jc w:val="center"/>
              <w:rPr>
                <w:rFonts w:eastAsia="Times New Roman" w:cs="Calibri"/>
                <w:b/>
                <w:bCs/>
                <w:color w:val="595959"/>
              </w:rPr>
            </w:pPr>
            <w:r w:rsidRPr="00C64BA4">
              <w:rPr>
                <w:rFonts w:eastAsia="Times New Roman" w:cs="Calibri"/>
                <w:b/>
                <w:bCs/>
                <w:color w:val="595959"/>
              </w:rPr>
              <w:t>2020</w:t>
            </w:r>
          </w:p>
        </w:tc>
      </w:tr>
      <w:tr w:rsidR="00452253" w:rsidRPr="00C64BA4" w14:paraId="5E71480A" w14:textId="77777777" w:rsidTr="00452253">
        <w:trPr>
          <w:trHeight w:val="300"/>
        </w:trPr>
        <w:tc>
          <w:tcPr>
            <w:tcW w:w="1380" w:type="dxa"/>
            <w:tcBorders>
              <w:top w:val="nil"/>
              <w:left w:val="nil"/>
              <w:bottom w:val="nil"/>
              <w:right w:val="nil"/>
            </w:tcBorders>
            <w:shd w:val="clear" w:color="auto" w:fill="auto"/>
            <w:noWrap/>
            <w:vAlign w:val="center"/>
            <w:hideMark/>
          </w:tcPr>
          <w:p w14:paraId="50EA23E4" w14:textId="77777777" w:rsidR="00452253" w:rsidRPr="00C64BA4" w:rsidRDefault="00452253" w:rsidP="000F76E3">
            <w:pPr>
              <w:keepNext/>
              <w:keepLines/>
              <w:spacing w:after="0" w:line="300" w:lineRule="auto"/>
              <w:jc w:val="center"/>
              <w:rPr>
                <w:rFonts w:eastAsia="Times New Roman" w:cs="Calibri"/>
                <w:b/>
                <w:bCs/>
                <w:color w:val="595959"/>
              </w:rPr>
            </w:pPr>
          </w:p>
        </w:tc>
        <w:tc>
          <w:tcPr>
            <w:tcW w:w="788" w:type="dxa"/>
            <w:tcBorders>
              <w:top w:val="nil"/>
              <w:left w:val="nil"/>
              <w:bottom w:val="nil"/>
              <w:right w:val="nil"/>
            </w:tcBorders>
            <w:shd w:val="clear" w:color="auto" w:fill="auto"/>
            <w:noWrap/>
            <w:vAlign w:val="center"/>
            <w:hideMark/>
          </w:tcPr>
          <w:p w14:paraId="416FBC6B" w14:textId="77777777" w:rsidR="00452253" w:rsidRPr="00C64BA4" w:rsidRDefault="00452253" w:rsidP="000F76E3">
            <w:pPr>
              <w:keepNext/>
              <w:keepLines/>
              <w:spacing w:after="0" w:line="300" w:lineRule="auto"/>
              <w:jc w:val="center"/>
              <w:rPr>
                <w:rFonts w:eastAsia="Times New Roman" w:cs="Calibri"/>
                <w:b/>
                <w:bCs/>
                <w:color w:val="595959"/>
              </w:rPr>
            </w:pPr>
            <w:r w:rsidRPr="00C64BA4">
              <w:rPr>
                <w:rFonts w:eastAsia="Times New Roman" w:cs="Calibri"/>
                <w:b/>
                <w:bCs/>
                <w:color w:val="595959"/>
              </w:rPr>
              <w:t>Male</w:t>
            </w:r>
          </w:p>
        </w:tc>
        <w:tc>
          <w:tcPr>
            <w:tcW w:w="1132" w:type="dxa"/>
            <w:tcBorders>
              <w:top w:val="nil"/>
              <w:left w:val="nil"/>
              <w:bottom w:val="nil"/>
              <w:right w:val="nil"/>
            </w:tcBorders>
            <w:shd w:val="clear" w:color="auto" w:fill="auto"/>
            <w:noWrap/>
            <w:vAlign w:val="center"/>
            <w:hideMark/>
          </w:tcPr>
          <w:p w14:paraId="769C1F7F" w14:textId="77777777" w:rsidR="00452253" w:rsidRPr="00C64BA4" w:rsidRDefault="00452253" w:rsidP="000F76E3">
            <w:pPr>
              <w:keepNext/>
              <w:keepLines/>
              <w:spacing w:after="0" w:line="300" w:lineRule="auto"/>
              <w:jc w:val="center"/>
              <w:rPr>
                <w:rFonts w:eastAsia="Times New Roman" w:cs="Calibri"/>
                <w:b/>
                <w:bCs/>
                <w:color w:val="595959"/>
              </w:rPr>
            </w:pPr>
            <w:r w:rsidRPr="00C64BA4">
              <w:rPr>
                <w:rFonts w:eastAsia="Times New Roman" w:cs="Calibri"/>
                <w:b/>
                <w:bCs/>
                <w:color w:val="595959"/>
              </w:rPr>
              <w:t>Female</w:t>
            </w:r>
          </w:p>
        </w:tc>
      </w:tr>
      <w:tr w:rsidR="00452253" w:rsidRPr="00C64BA4" w14:paraId="6E2A1DB1" w14:textId="77777777" w:rsidTr="00452253">
        <w:trPr>
          <w:trHeight w:val="300"/>
        </w:trPr>
        <w:tc>
          <w:tcPr>
            <w:tcW w:w="1380" w:type="dxa"/>
            <w:tcBorders>
              <w:top w:val="single" w:sz="4" w:space="0" w:color="auto"/>
              <w:left w:val="nil"/>
              <w:bottom w:val="single" w:sz="4" w:space="0" w:color="auto"/>
              <w:right w:val="nil"/>
            </w:tcBorders>
            <w:shd w:val="clear" w:color="auto" w:fill="auto"/>
            <w:noWrap/>
            <w:vAlign w:val="center"/>
            <w:hideMark/>
          </w:tcPr>
          <w:p w14:paraId="3AE5A00B"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Auburn</w:t>
            </w:r>
          </w:p>
        </w:tc>
        <w:tc>
          <w:tcPr>
            <w:tcW w:w="788" w:type="dxa"/>
            <w:tcBorders>
              <w:top w:val="single" w:sz="4" w:space="0" w:color="auto"/>
              <w:left w:val="nil"/>
              <w:bottom w:val="single" w:sz="4" w:space="0" w:color="auto"/>
              <w:right w:val="nil"/>
            </w:tcBorders>
            <w:shd w:val="clear" w:color="auto" w:fill="auto"/>
            <w:noWrap/>
            <w:vAlign w:val="center"/>
            <w:hideMark/>
          </w:tcPr>
          <w:p w14:paraId="16399BDE"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56%</w:t>
            </w:r>
          </w:p>
        </w:tc>
        <w:tc>
          <w:tcPr>
            <w:tcW w:w="1132" w:type="dxa"/>
            <w:tcBorders>
              <w:top w:val="single" w:sz="4" w:space="0" w:color="auto"/>
              <w:left w:val="nil"/>
              <w:bottom w:val="single" w:sz="4" w:space="0" w:color="auto"/>
              <w:right w:val="nil"/>
            </w:tcBorders>
            <w:shd w:val="clear" w:color="auto" w:fill="auto"/>
            <w:noWrap/>
            <w:vAlign w:val="center"/>
            <w:hideMark/>
          </w:tcPr>
          <w:p w14:paraId="3B1D4D45"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44%</w:t>
            </w:r>
          </w:p>
        </w:tc>
      </w:tr>
      <w:tr w:rsidR="00452253" w:rsidRPr="00C64BA4" w14:paraId="2E7A25DA" w14:textId="77777777" w:rsidTr="00452253">
        <w:trPr>
          <w:trHeight w:val="300"/>
        </w:trPr>
        <w:tc>
          <w:tcPr>
            <w:tcW w:w="1380" w:type="dxa"/>
            <w:tcBorders>
              <w:top w:val="nil"/>
              <w:left w:val="nil"/>
              <w:bottom w:val="nil"/>
              <w:right w:val="nil"/>
            </w:tcBorders>
            <w:shd w:val="clear" w:color="000000" w:fill="E7E6E6"/>
            <w:noWrap/>
            <w:vAlign w:val="center"/>
            <w:hideMark/>
          </w:tcPr>
          <w:p w14:paraId="60C1F008"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Bedford</w:t>
            </w:r>
          </w:p>
        </w:tc>
        <w:tc>
          <w:tcPr>
            <w:tcW w:w="788" w:type="dxa"/>
            <w:tcBorders>
              <w:top w:val="nil"/>
              <w:left w:val="nil"/>
              <w:bottom w:val="nil"/>
              <w:right w:val="nil"/>
            </w:tcBorders>
            <w:shd w:val="clear" w:color="000000" w:fill="E7E6E6"/>
            <w:noWrap/>
            <w:vAlign w:val="center"/>
            <w:hideMark/>
          </w:tcPr>
          <w:p w14:paraId="0B224FEE"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48%</w:t>
            </w:r>
          </w:p>
        </w:tc>
        <w:tc>
          <w:tcPr>
            <w:tcW w:w="1132" w:type="dxa"/>
            <w:tcBorders>
              <w:top w:val="nil"/>
              <w:left w:val="nil"/>
              <w:bottom w:val="nil"/>
              <w:right w:val="nil"/>
            </w:tcBorders>
            <w:shd w:val="clear" w:color="000000" w:fill="E7E6E6"/>
            <w:noWrap/>
            <w:vAlign w:val="center"/>
            <w:hideMark/>
          </w:tcPr>
          <w:p w14:paraId="3E611BF4"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52%</w:t>
            </w:r>
          </w:p>
        </w:tc>
      </w:tr>
      <w:tr w:rsidR="00452253" w:rsidRPr="00C64BA4" w14:paraId="6B814E96" w14:textId="77777777" w:rsidTr="00452253">
        <w:trPr>
          <w:trHeight w:val="300"/>
        </w:trPr>
        <w:tc>
          <w:tcPr>
            <w:tcW w:w="1380" w:type="dxa"/>
            <w:tcBorders>
              <w:top w:val="single" w:sz="4" w:space="0" w:color="auto"/>
              <w:left w:val="nil"/>
              <w:bottom w:val="single" w:sz="4" w:space="0" w:color="auto"/>
              <w:right w:val="nil"/>
            </w:tcBorders>
            <w:shd w:val="clear" w:color="auto" w:fill="auto"/>
            <w:noWrap/>
            <w:vAlign w:val="center"/>
            <w:hideMark/>
          </w:tcPr>
          <w:p w14:paraId="1F0AD73E"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Candia</w:t>
            </w:r>
          </w:p>
        </w:tc>
        <w:tc>
          <w:tcPr>
            <w:tcW w:w="788" w:type="dxa"/>
            <w:tcBorders>
              <w:top w:val="single" w:sz="4" w:space="0" w:color="auto"/>
              <w:left w:val="nil"/>
              <w:bottom w:val="single" w:sz="4" w:space="0" w:color="auto"/>
              <w:right w:val="nil"/>
            </w:tcBorders>
            <w:shd w:val="clear" w:color="auto" w:fill="auto"/>
            <w:noWrap/>
            <w:vAlign w:val="center"/>
            <w:hideMark/>
          </w:tcPr>
          <w:p w14:paraId="7DF01E17"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53%</w:t>
            </w:r>
          </w:p>
        </w:tc>
        <w:tc>
          <w:tcPr>
            <w:tcW w:w="1132" w:type="dxa"/>
            <w:tcBorders>
              <w:top w:val="single" w:sz="4" w:space="0" w:color="auto"/>
              <w:left w:val="nil"/>
              <w:bottom w:val="single" w:sz="4" w:space="0" w:color="auto"/>
              <w:right w:val="nil"/>
            </w:tcBorders>
            <w:shd w:val="clear" w:color="auto" w:fill="auto"/>
            <w:noWrap/>
            <w:vAlign w:val="center"/>
            <w:hideMark/>
          </w:tcPr>
          <w:p w14:paraId="7FBF5DE0"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47%</w:t>
            </w:r>
          </w:p>
        </w:tc>
      </w:tr>
      <w:tr w:rsidR="00452253" w:rsidRPr="00C64BA4" w14:paraId="39ECEC95" w14:textId="77777777" w:rsidTr="00452253">
        <w:trPr>
          <w:trHeight w:val="300"/>
        </w:trPr>
        <w:tc>
          <w:tcPr>
            <w:tcW w:w="1380" w:type="dxa"/>
            <w:tcBorders>
              <w:top w:val="nil"/>
              <w:left w:val="nil"/>
              <w:bottom w:val="nil"/>
              <w:right w:val="nil"/>
            </w:tcBorders>
            <w:shd w:val="clear" w:color="000000" w:fill="E7E6E6"/>
            <w:noWrap/>
            <w:vAlign w:val="center"/>
            <w:hideMark/>
          </w:tcPr>
          <w:p w14:paraId="5AB0C634"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Chester</w:t>
            </w:r>
          </w:p>
        </w:tc>
        <w:tc>
          <w:tcPr>
            <w:tcW w:w="788" w:type="dxa"/>
            <w:tcBorders>
              <w:top w:val="nil"/>
              <w:left w:val="nil"/>
              <w:bottom w:val="nil"/>
              <w:right w:val="nil"/>
            </w:tcBorders>
            <w:shd w:val="clear" w:color="000000" w:fill="E7E6E6"/>
            <w:noWrap/>
            <w:vAlign w:val="center"/>
            <w:hideMark/>
          </w:tcPr>
          <w:p w14:paraId="4AB0A084"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52%</w:t>
            </w:r>
          </w:p>
        </w:tc>
        <w:tc>
          <w:tcPr>
            <w:tcW w:w="1132" w:type="dxa"/>
            <w:tcBorders>
              <w:top w:val="nil"/>
              <w:left w:val="nil"/>
              <w:bottom w:val="nil"/>
              <w:right w:val="nil"/>
            </w:tcBorders>
            <w:shd w:val="clear" w:color="000000" w:fill="E7E6E6"/>
            <w:noWrap/>
            <w:vAlign w:val="center"/>
            <w:hideMark/>
          </w:tcPr>
          <w:p w14:paraId="750AC9CE"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48%</w:t>
            </w:r>
          </w:p>
        </w:tc>
      </w:tr>
      <w:tr w:rsidR="00452253" w:rsidRPr="00C64BA4" w14:paraId="27A6B922" w14:textId="77777777" w:rsidTr="00452253">
        <w:trPr>
          <w:trHeight w:val="300"/>
        </w:trPr>
        <w:tc>
          <w:tcPr>
            <w:tcW w:w="1380" w:type="dxa"/>
            <w:tcBorders>
              <w:top w:val="single" w:sz="4" w:space="0" w:color="auto"/>
              <w:left w:val="nil"/>
              <w:bottom w:val="single" w:sz="4" w:space="0" w:color="auto"/>
              <w:right w:val="nil"/>
            </w:tcBorders>
            <w:shd w:val="clear" w:color="auto" w:fill="auto"/>
            <w:noWrap/>
            <w:vAlign w:val="center"/>
            <w:hideMark/>
          </w:tcPr>
          <w:p w14:paraId="513CD6A3"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Deerfield</w:t>
            </w:r>
          </w:p>
        </w:tc>
        <w:tc>
          <w:tcPr>
            <w:tcW w:w="788" w:type="dxa"/>
            <w:tcBorders>
              <w:top w:val="single" w:sz="4" w:space="0" w:color="auto"/>
              <w:left w:val="nil"/>
              <w:bottom w:val="single" w:sz="4" w:space="0" w:color="auto"/>
              <w:right w:val="nil"/>
            </w:tcBorders>
            <w:shd w:val="clear" w:color="auto" w:fill="auto"/>
            <w:noWrap/>
            <w:vAlign w:val="center"/>
            <w:hideMark/>
          </w:tcPr>
          <w:p w14:paraId="26030222"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47%</w:t>
            </w:r>
          </w:p>
        </w:tc>
        <w:tc>
          <w:tcPr>
            <w:tcW w:w="1132" w:type="dxa"/>
            <w:tcBorders>
              <w:top w:val="single" w:sz="4" w:space="0" w:color="auto"/>
              <w:left w:val="nil"/>
              <w:bottom w:val="single" w:sz="4" w:space="0" w:color="auto"/>
              <w:right w:val="nil"/>
            </w:tcBorders>
            <w:shd w:val="clear" w:color="auto" w:fill="auto"/>
            <w:noWrap/>
            <w:vAlign w:val="center"/>
            <w:hideMark/>
          </w:tcPr>
          <w:p w14:paraId="5C75A0CD"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53%</w:t>
            </w:r>
          </w:p>
        </w:tc>
      </w:tr>
      <w:tr w:rsidR="00452253" w:rsidRPr="00C64BA4" w14:paraId="5E56A096" w14:textId="77777777" w:rsidTr="00452253">
        <w:trPr>
          <w:trHeight w:val="300"/>
        </w:trPr>
        <w:tc>
          <w:tcPr>
            <w:tcW w:w="1380" w:type="dxa"/>
            <w:tcBorders>
              <w:top w:val="nil"/>
              <w:left w:val="nil"/>
              <w:bottom w:val="nil"/>
              <w:right w:val="nil"/>
            </w:tcBorders>
            <w:shd w:val="clear" w:color="000000" w:fill="E7E6E6"/>
            <w:noWrap/>
            <w:vAlign w:val="center"/>
            <w:hideMark/>
          </w:tcPr>
          <w:p w14:paraId="42190CF7"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Derry</w:t>
            </w:r>
          </w:p>
        </w:tc>
        <w:tc>
          <w:tcPr>
            <w:tcW w:w="788" w:type="dxa"/>
            <w:tcBorders>
              <w:top w:val="nil"/>
              <w:left w:val="nil"/>
              <w:bottom w:val="nil"/>
              <w:right w:val="nil"/>
            </w:tcBorders>
            <w:shd w:val="clear" w:color="000000" w:fill="E7E6E6"/>
            <w:noWrap/>
            <w:vAlign w:val="center"/>
            <w:hideMark/>
          </w:tcPr>
          <w:p w14:paraId="561341BC"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48%</w:t>
            </w:r>
          </w:p>
        </w:tc>
        <w:tc>
          <w:tcPr>
            <w:tcW w:w="1132" w:type="dxa"/>
            <w:tcBorders>
              <w:top w:val="nil"/>
              <w:left w:val="nil"/>
              <w:bottom w:val="nil"/>
              <w:right w:val="nil"/>
            </w:tcBorders>
            <w:shd w:val="clear" w:color="000000" w:fill="E7E6E6"/>
            <w:noWrap/>
            <w:vAlign w:val="center"/>
            <w:hideMark/>
          </w:tcPr>
          <w:p w14:paraId="3BCDB99D"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52%</w:t>
            </w:r>
          </w:p>
        </w:tc>
      </w:tr>
      <w:tr w:rsidR="00452253" w:rsidRPr="00C64BA4" w14:paraId="5B2A1856" w14:textId="77777777" w:rsidTr="00452253">
        <w:trPr>
          <w:trHeight w:val="300"/>
        </w:trPr>
        <w:tc>
          <w:tcPr>
            <w:tcW w:w="1380" w:type="dxa"/>
            <w:tcBorders>
              <w:top w:val="single" w:sz="4" w:space="0" w:color="auto"/>
              <w:left w:val="nil"/>
              <w:bottom w:val="single" w:sz="4" w:space="0" w:color="auto"/>
              <w:right w:val="nil"/>
            </w:tcBorders>
            <w:shd w:val="clear" w:color="auto" w:fill="auto"/>
            <w:noWrap/>
            <w:vAlign w:val="center"/>
            <w:hideMark/>
          </w:tcPr>
          <w:p w14:paraId="3C5B918E" w14:textId="77777777" w:rsidR="00452253" w:rsidRPr="00C64BA4" w:rsidRDefault="00452253" w:rsidP="000F76E3">
            <w:pPr>
              <w:keepNext/>
              <w:keepLines/>
              <w:spacing w:after="0" w:line="300" w:lineRule="auto"/>
              <w:jc w:val="center"/>
              <w:rPr>
                <w:rFonts w:eastAsia="Times New Roman" w:cs="Calibri"/>
                <w:color w:val="000000"/>
              </w:rPr>
            </w:pPr>
            <w:proofErr w:type="spellStart"/>
            <w:r w:rsidRPr="00C64BA4">
              <w:rPr>
                <w:rFonts w:eastAsia="Times New Roman" w:cs="Calibri"/>
                <w:color w:val="000000"/>
              </w:rPr>
              <w:t>Francestown</w:t>
            </w:r>
            <w:proofErr w:type="spellEnd"/>
          </w:p>
        </w:tc>
        <w:tc>
          <w:tcPr>
            <w:tcW w:w="788" w:type="dxa"/>
            <w:tcBorders>
              <w:top w:val="single" w:sz="4" w:space="0" w:color="auto"/>
              <w:left w:val="nil"/>
              <w:bottom w:val="single" w:sz="4" w:space="0" w:color="auto"/>
              <w:right w:val="nil"/>
            </w:tcBorders>
            <w:shd w:val="clear" w:color="auto" w:fill="auto"/>
            <w:noWrap/>
            <w:vAlign w:val="center"/>
            <w:hideMark/>
          </w:tcPr>
          <w:p w14:paraId="1FEBC01E"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50%</w:t>
            </w:r>
          </w:p>
        </w:tc>
        <w:tc>
          <w:tcPr>
            <w:tcW w:w="1132" w:type="dxa"/>
            <w:tcBorders>
              <w:top w:val="single" w:sz="4" w:space="0" w:color="auto"/>
              <w:left w:val="nil"/>
              <w:bottom w:val="single" w:sz="4" w:space="0" w:color="auto"/>
              <w:right w:val="nil"/>
            </w:tcBorders>
            <w:shd w:val="clear" w:color="auto" w:fill="auto"/>
            <w:noWrap/>
            <w:vAlign w:val="center"/>
            <w:hideMark/>
          </w:tcPr>
          <w:p w14:paraId="3235F5F9"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50%</w:t>
            </w:r>
          </w:p>
        </w:tc>
      </w:tr>
      <w:tr w:rsidR="00452253" w:rsidRPr="00C64BA4" w14:paraId="27B86364" w14:textId="77777777" w:rsidTr="00452253">
        <w:trPr>
          <w:trHeight w:val="300"/>
        </w:trPr>
        <w:tc>
          <w:tcPr>
            <w:tcW w:w="1380" w:type="dxa"/>
            <w:tcBorders>
              <w:top w:val="nil"/>
              <w:left w:val="nil"/>
              <w:bottom w:val="nil"/>
              <w:right w:val="nil"/>
            </w:tcBorders>
            <w:shd w:val="clear" w:color="000000" w:fill="E7E6E6"/>
            <w:noWrap/>
            <w:vAlign w:val="center"/>
            <w:hideMark/>
          </w:tcPr>
          <w:p w14:paraId="78F494FF"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Goffstown</w:t>
            </w:r>
          </w:p>
        </w:tc>
        <w:tc>
          <w:tcPr>
            <w:tcW w:w="788" w:type="dxa"/>
            <w:tcBorders>
              <w:top w:val="nil"/>
              <w:left w:val="nil"/>
              <w:bottom w:val="nil"/>
              <w:right w:val="nil"/>
            </w:tcBorders>
            <w:shd w:val="clear" w:color="000000" w:fill="E7E6E6"/>
            <w:noWrap/>
            <w:vAlign w:val="center"/>
            <w:hideMark/>
          </w:tcPr>
          <w:p w14:paraId="5A050135"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46%</w:t>
            </w:r>
          </w:p>
        </w:tc>
        <w:tc>
          <w:tcPr>
            <w:tcW w:w="1132" w:type="dxa"/>
            <w:tcBorders>
              <w:top w:val="nil"/>
              <w:left w:val="nil"/>
              <w:bottom w:val="nil"/>
              <w:right w:val="nil"/>
            </w:tcBorders>
            <w:shd w:val="clear" w:color="000000" w:fill="E7E6E6"/>
            <w:noWrap/>
            <w:vAlign w:val="center"/>
            <w:hideMark/>
          </w:tcPr>
          <w:p w14:paraId="0D0C30CA"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54%</w:t>
            </w:r>
          </w:p>
        </w:tc>
      </w:tr>
      <w:tr w:rsidR="00452253" w:rsidRPr="00C64BA4" w14:paraId="05B50460" w14:textId="77777777" w:rsidTr="00452253">
        <w:trPr>
          <w:trHeight w:val="300"/>
        </w:trPr>
        <w:tc>
          <w:tcPr>
            <w:tcW w:w="1380" w:type="dxa"/>
            <w:tcBorders>
              <w:top w:val="single" w:sz="4" w:space="0" w:color="auto"/>
              <w:left w:val="nil"/>
              <w:bottom w:val="single" w:sz="4" w:space="0" w:color="auto"/>
              <w:right w:val="nil"/>
            </w:tcBorders>
            <w:shd w:val="clear" w:color="auto" w:fill="auto"/>
            <w:noWrap/>
            <w:vAlign w:val="center"/>
            <w:hideMark/>
          </w:tcPr>
          <w:p w14:paraId="67C9BB08"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Hooksett</w:t>
            </w:r>
          </w:p>
        </w:tc>
        <w:tc>
          <w:tcPr>
            <w:tcW w:w="788" w:type="dxa"/>
            <w:tcBorders>
              <w:top w:val="single" w:sz="4" w:space="0" w:color="auto"/>
              <w:left w:val="nil"/>
              <w:bottom w:val="single" w:sz="4" w:space="0" w:color="auto"/>
              <w:right w:val="nil"/>
            </w:tcBorders>
            <w:shd w:val="clear" w:color="auto" w:fill="auto"/>
            <w:noWrap/>
            <w:vAlign w:val="center"/>
            <w:hideMark/>
          </w:tcPr>
          <w:p w14:paraId="41191B97"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49%</w:t>
            </w:r>
          </w:p>
        </w:tc>
        <w:tc>
          <w:tcPr>
            <w:tcW w:w="1132" w:type="dxa"/>
            <w:tcBorders>
              <w:top w:val="single" w:sz="4" w:space="0" w:color="auto"/>
              <w:left w:val="nil"/>
              <w:bottom w:val="single" w:sz="4" w:space="0" w:color="auto"/>
              <w:right w:val="nil"/>
            </w:tcBorders>
            <w:shd w:val="clear" w:color="auto" w:fill="auto"/>
            <w:noWrap/>
            <w:vAlign w:val="center"/>
            <w:hideMark/>
          </w:tcPr>
          <w:p w14:paraId="7B444917"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51%</w:t>
            </w:r>
          </w:p>
        </w:tc>
      </w:tr>
      <w:tr w:rsidR="00452253" w:rsidRPr="00C64BA4" w14:paraId="2E156FF3" w14:textId="77777777" w:rsidTr="00452253">
        <w:trPr>
          <w:trHeight w:val="300"/>
        </w:trPr>
        <w:tc>
          <w:tcPr>
            <w:tcW w:w="1380" w:type="dxa"/>
            <w:tcBorders>
              <w:top w:val="nil"/>
              <w:left w:val="nil"/>
              <w:bottom w:val="nil"/>
              <w:right w:val="nil"/>
            </w:tcBorders>
            <w:shd w:val="clear" w:color="000000" w:fill="E7E6E6"/>
            <w:noWrap/>
            <w:vAlign w:val="center"/>
            <w:hideMark/>
          </w:tcPr>
          <w:p w14:paraId="0C7584A9"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Londonderry</w:t>
            </w:r>
          </w:p>
        </w:tc>
        <w:tc>
          <w:tcPr>
            <w:tcW w:w="788" w:type="dxa"/>
            <w:tcBorders>
              <w:top w:val="nil"/>
              <w:left w:val="nil"/>
              <w:bottom w:val="nil"/>
              <w:right w:val="nil"/>
            </w:tcBorders>
            <w:shd w:val="clear" w:color="000000" w:fill="E7E6E6"/>
            <w:noWrap/>
            <w:vAlign w:val="center"/>
            <w:hideMark/>
          </w:tcPr>
          <w:p w14:paraId="136EFA33"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49%</w:t>
            </w:r>
          </w:p>
        </w:tc>
        <w:tc>
          <w:tcPr>
            <w:tcW w:w="1132" w:type="dxa"/>
            <w:tcBorders>
              <w:top w:val="nil"/>
              <w:left w:val="nil"/>
              <w:bottom w:val="nil"/>
              <w:right w:val="nil"/>
            </w:tcBorders>
            <w:shd w:val="clear" w:color="000000" w:fill="E7E6E6"/>
            <w:noWrap/>
            <w:vAlign w:val="center"/>
            <w:hideMark/>
          </w:tcPr>
          <w:p w14:paraId="23812FD9"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51%</w:t>
            </w:r>
          </w:p>
        </w:tc>
      </w:tr>
      <w:tr w:rsidR="00452253" w:rsidRPr="00C64BA4" w14:paraId="739EF6A1" w14:textId="77777777" w:rsidTr="00452253">
        <w:trPr>
          <w:trHeight w:val="300"/>
        </w:trPr>
        <w:tc>
          <w:tcPr>
            <w:tcW w:w="1380" w:type="dxa"/>
            <w:tcBorders>
              <w:top w:val="single" w:sz="4" w:space="0" w:color="auto"/>
              <w:left w:val="nil"/>
              <w:bottom w:val="single" w:sz="4" w:space="0" w:color="auto"/>
              <w:right w:val="nil"/>
            </w:tcBorders>
            <w:shd w:val="clear" w:color="auto" w:fill="auto"/>
            <w:noWrap/>
            <w:vAlign w:val="center"/>
            <w:hideMark/>
          </w:tcPr>
          <w:p w14:paraId="07748822"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Manchester</w:t>
            </w:r>
          </w:p>
        </w:tc>
        <w:tc>
          <w:tcPr>
            <w:tcW w:w="788" w:type="dxa"/>
            <w:tcBorders>
              <w:top w:val="single" w:sz="4" w:space="0" w:color="auto"/>
              <w:left w:val="nil"/>
              <w:bottom w:val="single" w:sz="4" w:space="0" w:color="auto"/>
              <w:right w:val="nil"/>
            </w:tcBorders>
            <w:shd w:val="clear" w:color="auto" w:fill="auto"/>
            <w:noWrap/>
            <w:vAlign w:val="center"/>
            <w:hideMark/>
          </w:tcPr>
          <w:p w14:paraId="1C974570"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51%</w:t>
            </w:r>
          </w:p>
        </w:tc>
        <w:tc>
          <w:tcPr>
            <w:tcW w:w="1132" w:type="dxa"/>
            <w:tcBorders>
              <w:top w:val="single" w:sz="4" w:space="0" w:color="auto"/>
              <w:left w:val="nil"/>
              <w:bottom w:val="single" w:sz="4" w:space="0" w:color="auto"/>
              <w:right w:val="nil"/>
            </w:tcBorders>
            <w:shd w:val="clear" w:color="auto" w:fill="auto"/>
            <w:noWrap/>
            <w:vAlign w:val="center"/>
            <w:hideMark/>
          </w:tcPr>
          <w:p w14:paraId="724F9F4B"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49%</w:t>
            </w:r>
          </w:p>
        </w:tc>
      </w:tr>
      <w:tr w:rsidR="00452253" w:rsidRPr="00C64BA4" w14:paraId="182A2624" w14:textId="77777777" w:rsidTr="00452253">
        <w:trPr>
          <w:trHeight w:val="300"/>
        </w:trPr>
        <w:tc>
          <w:tcPr>
            <w:tcW w:w="1380" w:type="dxa"/>
            <w:tcBorders>
              <w:top w:val="nil"/>
              <w:left w:val="nil"/>
              <w:bottom w:val="nil"/>
              <w:right w:val="nil"/>
            </w:tcBorders>
            <w:shd w:val="clear" w:color="000000" w:fill="E7E6E6"/>
            <w:noWrap/>
            <w:vAlign w:val="center"/>
            <w:hideMark/>
          </w:tcPr>
          <w:p w14:paraId="34687E64"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New Boston</w:t>
            </w:r>
          </w:p>
        </w:tc>
        <w:tc>
          <w:tcPr>
            <w:tcW w:w="788" w:type="dxa"/>
            <w:tcBorders>
              <w:top w:val="nil"/>
              <w:left w:val="nil"/>
              <w:bottom w:val="nil"/>
              <w:right w:val="nil"/>
            </w:tcBorders>
            <w:shd w:val="clear" w:color="000000" w:fill="E7E6E6"/>
            <w:noWrap/>
            <w:vAlign w:val="center"/>
            <w:hideMark/>
          </w:tcPr>
          <w:p w14:paraId="27C59E91"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49%</w:t>
            </w:r>
          </w:p>
        </w:tc>
        <w:tc>
          <w:tcPr>
            <w:tcW w:w="1132" w:type="dxa"/>
            <w:tcBorders>
              <w:top w:val="nil"/>
              <w:left w:val="nil"/>
              <w:bottom w:val="nil"/>
              <w:right w:val="nil"/>
            </w:tcBorders>
            <w:shd w:val="clear" w:color="000000" w:fill="E7E6E6"/>
            <w:noWrap/>
            <w:vAlign w:val="center"/>
            <w:hideMark/>
          </w:tcPr>
          <w:p w14:paraId="6360EB27"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51%</w:t>
            </w:r>
          </w:p>
        </w:tc>
      </w:tr>
      <w:tr w:rsidR="00452253" w:rsidRPr="00C64BA4" w14:paraId="65F13D63" w14:textId="77777777" w:rsidTr="00452253">
        <w:trPr>
          <w:trHeight w:val="300"/>
        </w:trPr>
        <w:tc>
          <w:tcPr>
            <w:tcW w:w="1380" w:type="dxa"/>
            <w:tcBorders>
              <w:top w:val="single" w:sz="4" w:space="0" w:color="auto"/>
              <w:left w:val="nil"/>
              <w:bottom w:val="single" w:sz="4" w:space="0" w:color="auto"/>
              <w:right w:val="nil"/>
            </w:tcBorders>
            <w:shd w:val="clear" w:color="auto" w:fill="auto"/>
            <w:noWrap/>
            <w:vAlign w:val="center"/>
            <w:hideMark/>
          </w:tcPr>
          <w:p w14:paraId="2405E6EE" w14:textId="77777777" w:rsidR="00452253" w:rsidRPr="00C64BA4" w:rsidRDefault="00452253" w:rsidP="000F76E3">
            <w:pPr>
              <w:keepNext/>
              <w:keepLines/>
              <w:spacing w:after="0" w:line="300" w:lineRule="auto"/>
              <w:jc w:val="center"/>
              <w:rPr>
                <w:rFonts w:eastAsia="Times New Roman" w:cs="Calibri"/>
                <w:color w:val="000000"/>
              </w:rPr>
            </w:pPr>
            <w:proofErr w:type="spellStart"/>
            <w:r w:rsidRPr="00C64BA4">
              <w:rPr>
                <w:rFonts w:eastAsia="Times New Roman" w:cs="Calibri"/>
                <w:color w:val="000000"/>
              </w:rPr>
              <w:t>Weare</w:t>
            </w:r>
            <w:proofErr w:type="spellEnd"/>
          </w:p>
        </w:tc>
        <w:tc>
          <w:tcPr>
            <w:tcW w:w="788" w:type="dxa"/>
            <w:tcBorders>
              <w:top w:val="single" w:sz="4" w:space="0" w:color="auto"/>
              <w:left w:val="nil"/>
              <w:bottom w:val="single" w:sz="4" w:space="0" w:color="auto"/>
              <w:right w:val="nil"/>
            </w:tcBorders>
            <w:shd w:val="clear" w:color="auto" w:fill="auto"/>
            <w:noWrap/>
            <w:vAlign w:val="center"/>
            <w:hideMark/>
          </w:tcPr>
          <w:p w14:paraId="1179069D"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48%</w:t>
            </w:r>
          </w:p>
        </w:tc>
        <w:tc>
          <w:tcPr>
            <w:tcW w:w="1132" w:type="dxa"/>
            <w:tcBorders>
              <w:top w:val="single" w:sz="4" w:space="0" w:color="auto"/>
              <w:left w:val="nil"/>
              <w:bottom w:val="single" w:sz="4" w:space="0" w:color="auto"/>
              <w:right w:val="nil"/>
            </w:tcBorders>
            <w:shd w:val="clear" w:color="auto" w:fill="auto"/>
            <w:noWrap/>
            <w:vAlign w:val="center"/>
            <w:hideMark/>
          </w:tcPr>
          <w:p w14:paraId="6AFF79D1"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52%</w:t>
            </w:r>
          </w:p>
        </w:tc>
      </w:tr>
      <w:tr w:rsidR="00452253" w:rsidRPr="00C64BA4" w14:paraId="202C99E0" w14:textId="77777777" w:rsidTr="00452253">
        <w:trPr>
          <w:trHeight w:val="315"/>
        </w:trPr>
        <w:tc>
          <w:tcPr>
            <w:tcW w:w="1380" w:type="dxa"/>
            <w:tcBorders>
              <w:top w:val="nil"/>
              <w:left w:val="nil"/>
              <w:bottom w:val="single" w:sz="12" w:space="0" w:color="404040" w:themeColor="text1" w:themeTint="BF"/>
              <w:right w:val="nil"/>
            </w:tcBorders>
            <w:shd w:val="clear" w:color="000000" w:fill="E7E6E6"/>
            <w:noWrap/>
            <w:vAlign w:val="center"/>
            <w:hideMark/>
          </w:tcPr>
          <w:p w14:paraId="72CCDF8B"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Windham</w:t>
            </w:r>
          </w:p>
        </w:tc>
        <w:tc>
          <w:tcPr>
            <w:tcW w:w="788" w:type="dxa"/>
            <w:tcBorders>
              <w:top w:val="nil"/>
              <w:left w:val="nil"/>
              <w:bottom w:val="single" w:sz="12" w:space="0" w:color="404040" w:themeColor="text1" w:themeTint="BF"/>
              <w:right w:val="nil"/>
            </w:tcBorders>
            <w:shd w:val="clear" w:color="000000" w:fill="E7E6E6"/>
            <w:noWrap/>
            <w:vAlign w:val="center"/>
            <w:hideMark/>
          </w:tcPr>
          <w:p w14:paraId="38A8DCDF"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51%</w:t>
            </w:r>
          </w:p>
        </w:tc>
        <w:tc>
          <w:tcPr>
            <w:tcW w:w="1132" w:type="dxa"/>
            <w:tcBorders>
              <w:top w:val="nil"/>
              <w:left w:val="nil"/>
              <w:bottom w:val="single" w:sz="12" w:space="0" w:color="404040" w:themeColor="text1" w:themeTint="BF"/>
              <w:right w:val="nil"/>
            </w:tcBorders>
            <w:shd w:val="clear" w:color="000000" w:fill="E7E6E6"/>
            <w:noWrap/>
            <w:vAlign w:val="center"/>
            <w:hideMark/>
          </w:tcPr>
          <w:p w14:paraId="412E16C7"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49%</w:t>
            </w:r>
          </w:p>
        </w:tc>
      </w:tr>
      <w:tr w:rsidR="00452253" w:rsidRPr="00C64BA4" w14:paraId="44285362" w14:textId="77777777" w:rsidTr="00452253">
        <w:trPr>
          <w:trHeight w:val="315"/>
        </w:trPr>
        <w:tc>
          <w:tcPr>
            <w:tcW w:w="1380"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6A17E816"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SNHPC</w:t>
            </w:r>
          </w:p>
        </w:tc>
        <w:tc>
          <w:tcPr>
            <w:tcW w:w="788"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322F794C"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50%</w:t>
            </w:r>
          </w:p>
        </w:tc>
        <w:tc>
          <w:tcPr>
            <w:tcW w:w="1132"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624D2243"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50%</w:t>
            </w:r>
          </w:p>
        </w:tc>
      </w:tr>
      <w:tr w:rsidR="00452253" w:rsidRPr="00C64BA4" w14:paraId="76C1A9AD" w14:textId="77777777" w:rsidTr="00452253">
        <w:trPr>
          <w:trHeight w:val="300"/>
        </w:trPr>
        <w:tc>
          <w:tcPr>
            <w:tcW w:w="1380" w:type="dxa"/>
            <w:tcBorders>
              <w:top w:val="single" w:sz="12" w:space="0" w:color="404040" w:themeColor="text1" w:themeTint="BF"/>
              <w:left w:val="nil"/>
              <w:bottom w:val="nil"/>
              <w:right w:val="nil"/>
            </w:tcBorders>
            <w:shd w:val="clear" w:color="000000" w:fill="E7E6E6"/>
            <w:noWrap/>
            <w:vAlign w:val="center"/>
            <w:hideMark/>
          </w:tcPr>
          <w:p w14:paraId="5A13B7C8"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NH</w:t>
            </w:r>
          </w:p>
        </w:tc>
        <w:tc>
          <w:tcPr>
            <w:tcW w:w="788" w:type="dxa"/>
            <w:tcBorders>
              <w:top w:val="single" w:sz="12" w:space="0" w:color="404040" w:themeColor="text1" w:themeTint="BF"/>
              <w:left w:val="nil"/>
              <w:bottom w:val="nil"/>
              <w:right w:val="nil"/>
            </w:tcBorders>
            <w:shd w:val="clear" w:color="000000" w:fill="E7E6E6"/>
            <w:noWrap/>
            <w:vAlign w:val="center"/>
            <w:hideMark/>
          </w:tcPr>
          <w:p w14:paraId="417E640D"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50%</w:t>
            </w:r>
          </w:p>
        </w:tc>
        <w:tc>
          <w:tcPr>
            <w:tcW w:w="1132" w:type="dxa"/>
            <w:tcBorders>
              <w:top w:val="single" w:sz="12" w:space="0" w:color="404040" w:themeColor="text1" w:themeTint="BF"/>
              <w:left w:val="nil"/>
              <w:bottom w:val="nil"/>
              <w:right w:val="nil"/>
            </w:tcBorders>
            <w:shd w:val="clear" w:color="000000" w:fill="E7E6E6"/>
            <w:noWrap/>
            <w:vAlign w:val="center"/>
            <w:hideMark/>
          </w:tcPr>
          <w:p w14:paraId="28D10BE2" w14:textId="77777777" w:rsidR="00452253" w:rsidRPr="00C64BA4" w:rsidRDefault="00452253" w:rsidP="000F76E3">
            <w:pPr>
              <w:keepNext/>
              <w:keepLines/>
              <w:spacing w:after="0" w:line="300" w:lineRule="auto"/>
              <w:jc w:val="center"/>
              <w:rPr>
                <w:rFonts w:eastAsia="Times New Roman" w:cs="Calibri"/>
                <w:color w:val="000000"/>
              </w:rPr>
            </w:pPr>
            <w:r w:rsidRPr="00C64BA4">
              <w:rPr>
                <w:rFonts w:eastAsia="Times New Roman" w:cs="Calibri"/>
                <w:color w:val="000000"/>
              </w:rPr>
              <w:t>50%</w:t>
            </w:r>
          </w:p>
        </w:tc>
      </w:tr>
      <w:tr w:rsidR="00452253" w:rsidRPr="00C64BA4" w14:paraId="0C1CE687" w14:textId="77777777" w:rsidTr="00452253">
        <w:trPr>
          <w:trHeight w:val="80"/>
        </w:trPr>
        <w:tc>
          <w:tcPr>
            <w:tcW w:w="3300" w:type="dxa"/>
            <w:gridSpan w:val="3"/>
            <w:tcBorders>
              <w:top w:val="nil"/>
              <w:left w:val="nil"/>
              <w:bottom w:val="nil"/>
              <w:right w:val="nil"/>
            </w:tcBorders>
            <w:shd w:val="clear" w:color="auto" w:fill="auto"/>
            <w:noWrap/>
            <w:vAlign w:val="center"/>
            <w:hideMark/>
          </w:tcPr>
          <w:p w14:paraId="7E97441C" w14:textId="77777777" w:rsidR="00452253" w:rsidRPr="00C64BA4" w:rsidRDefault="00452253" w:rsidP="000F76E3">
            <w:pPr>
              <w:keepNext/>
              <w:keepLines/>
              <w:spacing w:after="0" w:line="300" w:lineRule="auto"/>
              <w:jc w:val="right"/>
              <w:rPr>
                <w:rFonts w:eastAsia="Times New Roman" w:cs="Calibri"/>
                <w:color w:val="000000"/>
                <w:sz w:val="20"/>
                <w:szCs w:val="20"/>
              </w:rPr>
            </w:pPr>
            <w:r w:rsidRPr="00C64BA4">
              <w:rPr>
                <w:rFonts w:eastAsia="Times New Roman" w:cs="Calibri"/>
                <w:color w:val="000000"/>
                <w:sz w:val="20"/>
                <w:szCs w:val="20"/>
              </w:rPr>
              <w:t>5-Year American Community Survey</w:t>
            </w:r>
          </w:p>
        </w:tc>
      </w:tr>
      <w:tr w:rsidR="00452253" w:rsidRPr="00C64BA4" w14:paraId="4CCA01E6" w14:textId="77777777" w:rsidTr="00452253">
        <w:trPr>
          <w:trHeight w:val="80"/>
        </w:trPr>
        <w:tc>
          <w:tcPr>
            <w:tcW w:w="3300" w:type="dxa"/>
            <w:gridSpan w:val="3"/>
            <w:tcBorders>
              <w:top w:val="nil"/>
              <w:left w:val="nil"/>
              <w:bottom w:val="nil"/>
              <w:right w:val="nil"/>
            </w:tcBorders>
            <w:shd w:val="clear" w:color="auto" w:fill="auto"/>
            <w:vAlign w:val="center"/>
            <w:hideMark/>
          </w:tcPr>
          <w:p w14:paraId="4BC4825D" w14:textId="77777777" w:rsidR="00452253" w:rsidRPr="00C64BA4" w:rsidRDefault="00452253" w:rsidP="000F76E3">
            <w:pPr>
              <w:keepNext/>
              <w:keepLines/>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US Census Bureau</w:t>
            </w:r>
          </w:p>
        </w:tc>
      </w:tr>
    </w:tbl>
    <w:p w14:paraId="72C74418" w14:textId="6FEE032F" w:rsidR="00FB3623" w:rsidRPr="00C64BA4" w:rsidRDefault="09A70516" w:rsidP="000F76E3">
      <w:pPr>
        <w:keepNext/>
        <w:keepLines/>
        <w:spacing w:line="300" w:lineRule="auto"/>
        <w:jc w:val="both"/>
        <w:rPr>
          <w:rFonts w:eastAsia="Tw Cen MT" w:cs="Tw Cen MT"/>
          <w:lang w:val="en"/>
        </w:rPr>
      </w:pPr>
      <w:r w:rsidRPr="00C64BA4">
        <w:rPr>
          <w:rFonts w:eastAsia="Tw Cen MT" w:cs="Tw Cen MT"/>
          <w:lang w:val="en"/>
        </w:rPr>
        <w:t>The number of male and female residents has remained roughly equal throughout the state and region over the last decade. Individual municipalities do see wider disparities but often within the margin of error.</w:t>
      </w:r>
    </w:p>
    <w:p w14:paraId="525A979A" w14:textId="1D52394E" w:rsidR="00FB3623" w:rsidRPr="00C64BA4" w:rsidRDefault="09A70516" w:rsidP="000F76E3">
      <w:pPr>
        <w:keepNext/>
        <w:keepLines/>
        <w:spacing w:line="300" w:lineRule="auto"/>
        <w:jc w:val="both"/>
        <w:rPr>
          <w:rFonts w:eastAsia="Tw Cen MT" w:cs="Tw Cen MT"/>
          <w:lang w:val="en"/>
        </w:rPr>
      </w:pPr>
      <w:r w:rsidRPr="00C64BA4">
        <w:rPr>
          <w:rFonts w:eastAsia="Tw Cen MT" w:cs="Tw Cen MT"/>
          <w:lang w:val="en"/>
        </w:rPr>
        <w:t>Information on gender</w:t>
      </w:r>
      <w:r w:rsidR="00FF422E">
        <w:rPr>
          <w:rFonts w:eastAsia="Tw Cen MT" w:cs="Tw Cen MT"/>
          <w:lang w:val="en"/>
        </w:rPr>
        <w:t xml:space="preserve"> </w:t>
      </w:r>
      <w:r w:rsidRPr="00C64BA4">
        <w:rPr>
          <w:rFonts w:eastAsia="Tw Cen MT" w:cs="Tw Cen MT"/>
          <w:lang w:val="en"/>
        </w:rPr>
        <w:t>identity and sexual</w:t>
      </w:r>
      <w:r w:rsidR="00FF422E">
        <w:rPr>
          <w:rFonts w:eastAsia="Tw Cen MT" w:cs="Tw Cen MT"/>
          <w:lang w:val="en"/>
        </w:rPr>
        <w:t xml:space="preserve"> </w:t>
      </w:r>
      <w:r w:rsidRPr="00C64BA4">
        <w:rPr>
          <w:rFonts w:eastAsia="Tw Cen MT" w:cs="Tw Cen MT"/>
          <w:lang w:val="en"/>
        </w:rPr>
        <w:t xml:space="preserve">orientation is not widely tracked by most government agencies and therefore official estimates for these populations is hard to come by. Using Gallup data, the University of California-Los Angeles estimates that there are around </w:t>
      </w:r>
      <w:r w:rsidRPr="00EB549E">
        <w:rPr>
          <w:rFonts w:eastAsia="Tw Cen MT" w:cs="Tw Cen MT"/>
          <w:lang w:val="en"/>
        </w:rPr>
        <w:t>51,000 people</w:t>
      </w:r>
      <w:r w:rsidR="004A2020">
        <w:rPr>
          <w:rStyle w:val="FootnoteReference"/>
          <w:rFonts w:eastAsia="Tw Cen MT" w:cs="Tw Cen MT"/>
          <w:lang w:val="en"/>
        </w:rPr>
        <w:footnoteReference w:id="15"/>
      </w:r>
      <w:r w:rsidRPr="00C64BA4">
        <w:rPr>
          <w:rFonts w:eastAsia="Tw Cen MT" w:cs="Tw Cen MT"/>
          <w:lang w:val="en"/>
        </w:rPr>
        <w:t xml:space="preserve"> living in New Hampshire that are members of the lesbian, gay, bisexual, and transgender (LGBT) communities. A later study utilizing figures from CDC data speculates that there are around </w:t>
      </w:r>
      <w:r w:rsidRPr="00EB549E">
        <w:rPr>
          <w:rFonts w:eastAsia="Tw Cen MT" w:cs="Tw Cen MT"/>
          <w:lang w:val="en"/>
        </w:rPr>
        <w:t>6,300 persons</w:t>
      </w:r>
      <w:r w:rsidR="004A2020">
        <w:rPr>
          <w:rStyle w:val="FootnoteReference"/>
          <w:rFonts w:eastAsia="Tw Cen MT" w:cs="Tw Cen MT"/>
          <w:lang w:val="en"/>
        </w:rPr>
        <w:footnoteReference w:id="16"/>
      </w:r>
      <w:r w:rsidRPr="00C64BA4">
        <w:rPr>
          <w:rFonts w:eastAsia="Tw Cen MT" w:cs="Tw Cen MT"/>
          <w:lang w:val="en"/>
        </w:rPr>
        <w:t xml:space="preserve"> in New Hampshire that are transgender, including 5,600 adults.</w:t>
      </w:r>
      <w:r w:rsidR="71B4D213" w:rsidRPr="00C64BA4">
        <w:rPr>
          <w:rFonts w:eastAsia="Tw Cen MT" w:cs="Tw Cen MT"/>
          <w:lang w:val="en"/>
        </w:rPr>
        <w:t xml:space="preserve"> </w:t>
      </w:r>
      <w:r w:rsidR="4D7C3C33" w:rsidRPr="00EB549E">
        <w:rPr>
          <w:rFonts w:eastAsia="Tw Cen MT" w:cs="Tw Cen MT"/>
          <w:lang w:val="en"/>
        </w:rPr>
        <w:t>Research illustrates</w:t>
      </w:r>
      <w:r w:rsidR="004A2020">
        <w:rPr>
          <w:rStyle w:val="FootnoteReference"/>
          <w:rFonts w:eastAsia="Tw Cen MT" w:cs="Tw Cen MT"/>
          <w:lang w:val="en"/>
        </w:rPr>
        <w:footnoteReference w:id="17"/>
      </w:r>
      <w:r w:rsidR="4D7C3C33" w:rsidRPr="00C64BA4">
        <w:rPr>
          <w:rFonts w:eastAsia="Tw Cen MT" w:cs="Tw Cen MT"/>
          <w:lang w:val="en"/>
        </w:rPr>
        <w:t xml:space="preserve"> that </w:t>
      </w:r>
      <w:r w:rsidR="7D65F9E2" w:rsidRPr="00C64BA4">
        <w:rPr>
          <w:rFonts w:eastAsia="Tw Cen MT" w:cs="Tw Cen MT"/>
          <w:lang w:val="en"/>
        </w:rPr>
        <w:t xml:space="preserve">LGBTQ people </w:t>
      </w:r>
      <w:r w:rsidR="60CF000A" w:rsidRPr="00C64BA4">
        <w:rPr>
          <w:rFonts w:eastAsia="Tw Cen MT" w:cs="Tw Cen MT"/>
          <w:lang w:val="en"/>
        </w:rPr>
        <w:t>face</w:t>
      </w:r>
      <w:r w:rsidR="05EEF524" w:rsidRPr="00C64BA4">
        <w:rPr>
          <w:rFonts w:eastAsia="Tw Cen MT" w:cs="Tw Cen MT"/>
          <w:lang w:val="en"/>
        </w:rPr>
        <w:t xml:space="preserve"> </w:t>
      </w:r>
      <w:r w:rsidR="4D7C3C33" w:rsidRPr="00C64BA4">
        <w:rPr>
          <w:rFonts w:eastAsia="Tw Cen MT" w:cs="Tw Cen MT"/>
          <w:lang w:val="en"/>
        </w:rPr>
        <w:t>housing discrimination</w:t>
      </w:r>
      <w:r w:rsidR="046E6ED9" w:rsidRPr="00C64BA4">
        <w:rPr>
          <w:rFonts w:eastAsia="Tw Cen MT" w:cs="Tw Cen MT"/>
          <w:lang w:val="en"/>
        </w:rPr>
        <w:t>, and because of this, they are more likely to</w:t>
      </w:r>
      <w:r w:rsidR="2DE0AA43" w:rsidRPr="00C64BA4">
        <w:rPr>
          <w:rFonts w:eastAsia="Tw Cen MT" w:cs="Tw Cen MT"/>
          <w:lang w:val="en"/>
        </w:rPr>
        <w:t xml:space="preserve"> experience housing instability and even homelessness.</w:t>
      </w:r>
      <w:r w:rsidR="00452253" w:rsidRPr="00C64BA4">
        <w:rPr>
          <w:rFonts w:eastAsia="Tw Cen MT" w:cs="Tw Cen MT"/>
          <w:lang w:val="en"/>
        </w:rPr>
        <w:t xml:space="preserve"> </w:t>
      </w:r>
    </w:p>
    <w:p w14:paraId="546D4469" w14:textId="77777777" w:rsidR="00452253" w:rsidRPr="00C64BA4" w:rsidRDefault="00452253" w:rsidP="00206C45">
      <w:pPr>
        <w:spacing w:line="300" w:lineRule="auto"/>
        <w:jc w:val="both"/>
        <w:rPr>
          <w:rFonts w:eastAsia="Tw Cen MT" w:cs="Tw Cen MT"/>
          <w:lang w:val="en"/>
        </w:rPr>
      </w:pPr>
    </w:p>
    <w:p w14:paraId="650A0AB3" w14:textId="77777777" w:rsidR="00452253" w:rsidRPr="00C64BA4" w:rsidRDefault="00452253" w:rsidP="00206C45">
      <w:pPr>
        <w:spacing w:line="300" w:lineRule="auto"/>
        <w:jc w:val="both"/>
        <w:rPr>
          <w:rFonts w:eastAsia="Tw Cen MT" w:cs="Tw Cen MT"/>
          <w:lang w:val="en"/>
        </w:rPr>
      </w:pPr>
    </w:p>
    <w:p w14:paraId="10F8E599" w14:textId="77777777" w:rsidR="00452253" w:rsidRPr="00C64BA4" w:rsidRDefault="00452253" w:rsidP="00206C45">
      <w:pPr>
        <w:spacing w:line="300" w:lineRule="auto"/>
        <w:jc w:val="both"/>
        <w:rPr>
          <w:rFonts w:eastAsia="Tw Cen MT" w:cs="Tw Cen MT"/>
          <w:lang w:val="en"/>
        </w:rPr>
      </w:pPr>
    </w:p>
    <w:p w14:paraId="32B3807B" w14:textId="77777777" w:rsidR="00452253" w:rsidRPr="00C64BA4" w:rsidRDefault="00452253" w:rsidP="00206C45">
      <w:pPr>
        <w:spacing w:line="300" w:lineRule="auto"/>
        <w:rPr>
          <w:rFonts w:eastAsia="Tw Cen MT" w:cs="Tw Cen MT"/>
          <w:lang w:val="en"/>
        </w:rPr>
      </w:pPr>
      <w:r w:rsidRPr="00C64BA4">
        <w:rPr>
          <w:rFonts w:eastAsia="Tw Cen MT" w:cs="Tw Cen MT"/>
          <w:lang w:val="en"/>
        </w:rPr>
        <w:br w:type="page"/>
      </w:r>
    </w:p>
    <w:p w14:paraId="2830AA94" w14:textId="378CE17E" w:rsidR="00FB3623" w:rsidRPr="00C64BA4" w:rsidRDefault="09A70516" w:rsidP="00206C45">
      <w:pPr>
        <w:pStyle w:val="Heading4"/>
        <w:spacing w:line="300" w:lineRule="auto"/>
        <w:rPr>
          <w:lang w:val="en"/>
        </w:rPr>
      </w:pPr>
      <w:r w:rsidRPr="00C64BA4">
        <w:rPr>
          <w:lang w:val="en"/>
        </w:rPr>
        <w:lastRenderedPageBreak/>
        <w:t>Racial Diversity and Ethnic Integration</w:t>
      </w:r>
    </w:p>
    <w:p w14:paraId="5DB12551" w14:textId="44DFBE80" w:rsidR="00FB3623" w:rsidRPr="00C64BA4" w:rsidRDefault="09A70516" w:rsidP="00206C45">
      <w:pPr>
        <w:spacing w:line="300" w:lineRule="auto"/>
        <w:jc w:val="both"/>
        <w:rPr>
          <w:rFonts w:eastAsia="Tw Cen MT" w:cs="Tw Cen MT"/>
          <w:lang w:val="en"/>
        </w:rPr>
      </w:pPr>
      <w:r w:rsidRPr="00C64BA4">
        <w:rPr>
          <w:rFonts w:eastAsia="Tw Cen MT" w:cs="Tw Cen MT"/>
          <w:lang w:val="en"/>
        </w:rPr>
        <w:t xml:space="preserve">The Fair Housing Act requires HUD and its recipients of federal financial assistance to do more than simply not discriminate; they must take meaningful actions to overcome patterns of segregation and foster inclusive communities. Title VIII of the Civil Rights Act of 1968, known as the </w:t>
      </w:r>
      <w:r w:rsidRPr="00EB549E">
        <w:rPr>
          <w:rFonts w:eastAsia="Tw Cen MT" w:cs="Tw Cen MT"/>
          <w:lang w:val="en"/>
        </w:rPr>
        <w:t>Fair Housing Act</w:t>
      </w:r>
      <w:r w:rsidR="00CA5118">
        <w:rPr>
          <w:rStyle w:val="FootnoteReference"/>
          <w:rFonts w:eastAsia="Tw Cen MT" w:cs="Tw Cen MT"/>
          <w:lang w:val="en"/>
        </w:rPr>
        <w:footnoteReference w:id="18"/>
      </w:r>
      <w:r w:rsidRPr="00C64BA4">
        <w:rPr>
          <w:rFonts w:eastAsia="Tw Cen MT" w:cs="Tw Cen MT"/>
          <w:lang w:val="en"/>
        </w:rPr>
        <w:t>, requires HUD and recipients of federal funds from HUD to affirmatively further the policies and purposes of the Fair Housing Act, also known as “affirmatively further fair housing” or “AFFH.” In administering programs related to housing and community development, the federal government, HUD, and recipients must:</w:t>
      </w:r>
    </w:p>
    <w:p w14:paraId="18F8597D" w14:textId="39A5A97D" w:rsidR="00FB3623" w:rsidRPr="00C64BA4" w:rsidRDefault="09A70516" w:rsidP="00206C45">
      <w:pPr>
        <w:pStyle w:val="ListParagraph"/>
        <w:numPr>
          <w:ilvl w:val="0"/>
          <w:numId w:val="1"/>
        </w:numPr>
        <w:spacing w:line="300" w:lineRule="auto"/>
        <w:rPr>
          <w:lang w:val="en"/>
        </w:rPr>
      </w:pPr>
      <w:r w:rsidRPr="00C64BA4">
        <w:rPr>
          <w:lang w:val="en"/>
        </w:rPr>
        <w:t xml:space="preserve">Determine who lacks access to opportunity and address inequity among protected class </w:t>
      </w:r>
      <w:proofErr w:type="gramStart"/>
      <w:r w:rsidRPr="00C64BA4">
        <w:rPr>
          <w:lang w:val="en"/>
        </w:rPr>
        <w:t>groups</w:t>
      </w:r>
      <w:proofErr w:type="gramEnd"/>
    </w:p>
    <w:p w14:paraId="256218D3" w14:textId="4D93C11C" w:rsidR="00FB3623" w:rsidRPr="00C64BA4" w:rsidRDefault="09A70516" w:rsidP="00206C45">
      <w:pPr>
        <w:pStyle w:val="ListParagraph"/>
        <w:numPr>
          <w:ilvl w:val="0"/>
          <w:numId w:val="1"/>
        </w:numPr>
        <w:spacing w:line="300" w:lineRule="auto"/>
        <w:rPr>
          <w:lang w:val="en"/>
        </w:rPr>
      </w:pPr>
      <w:r w:rsidRPr="00C64BA4">
        <w:rPr>
          <w:lang w:val="en"/>
        </w:rPr>
        <w:t xml:space="preserve">Promote integration and reduce </w:t>
      </w:r>
      <w:proofErr w:type="gramStart"/>
      <w:r w:rsidRPr="00C64BA4">
        <w:rPr>
          <w:lang w:val="en"/>
        </w:rPr>
        <w:t>segregation</w:t>
      </w:r>
      <w:proofErr w:type="gramEnd"/>
    </w:p>
    <w:p w14:paraId="04EABADA" w14:textId="423985E6" w:rsidR="00FB3623" w:rsidRPr="00C64BA4" w:rsidRDefault="09A70516" w:rsidP="00206C45">
      <w:pPr>
        <w:pStyle w:val="ListParagraph"/>
        <w:numPr>
          <w:ilvl w:val="0"/>
          <w:numId w:val="1"/>
        </w:numPr>
        <w:spacing w:line="300" w:lineRule="auto"/>
        <w:rPr>
          <w:lang w:val="en"/>
        </w:rPr>
      </w:pPr>
      <w:r w:rsidRPr="00C64BA4">
        <w:rPr>
          <w:lang w:val="en"/>
        </w:rPr>
        <w:t xml:space="preserve">Transform racially or ethnically concentrated areas of poverty into areas of </w:t>
      </w:r>
      <w:proofErr w:type="gramStart"/>
      <w:r w:rsidRPr="00C64BA4">
        <w:rPr>
          <w:lang w:val="en"/>
        </w:rPr>
        <w:t>opportunity</w:t>
      </w:r>
      <w:proofErr w:type="gramEnd"/>
    </w:p>
    <w:p w14:paraId="5E6191EC" w14:textId="045491BB" w:rsidR="00FB3623" w:rsidRPr="00C64BA4" w:rsidRDefault="09A70516" w:rsidP="00206C45">
      <w:pPr>
        <w:spacing w:line="300" w:lineRule="auto"/>
        <w:rPr>
          <w:rFonts w:eastAsia="Tw Cen MT" w:cs="Tw Cen MT"/>
          <w:lang w:val="en"/>
        </w:rPr>
      </w:pPr>
      <w:r w:rsidRPr="00C64BA4">
        <w:rPr>
          <w:rFonts w:eastAsia="Tw Cen MT" w:cs="Tw Cen MT"/>
          <w:lang w:val="en"/>
        </w:rPr>
        <w:t xml:space="preserve">HUD makes use of two coarse measures to determine areas of concentrated racial and ethnicity minorities and poverty. The first is the </w:t>
      </w:r>
      <w:r w:rsidRPr="00C64BA4">
        <w:rPr>
          <w:rFonts w:eastAsia="Tw Cen MT" w:cs="Tw Cen MT"/>
          <w:i/>
          <w:iCs/>
          <w:lang w:val="en"/>
        </w:rPr>
        <w:t>Racially or Ethnically Concentrated Areas of Poverty</w:t>
      </w:r>
      <w:r w:rsidRPr="00C64BA4">
        <w:rPr>
          <w:rFonts w:eastAsia="Tw Cen MT" w:cs="Tw Cen MT"/>
          <w:lang w:val="en"/>
        </w:rPr>
        <w:t xml:space="preserve"> (R/ECAPs) designation which considers minority and poverty concentrations together. As of 2020, there were no census tracts in New Hampshire that met HUD’s definition for R/ECAPs.</w:t>
      </w:r>
    </w:p>
    <w:p w14:paraId="3396326B" w14:textId="17CB59BD" w:rsidR="00FB3623" w:rsidRPr="00C64BA4" w:rsidRDefault="09A70516" w:rsidP="00206C45">
      <w:pPr>
        <w:spacing w:line="300" w:lineRule="auto"/>
        <w:jc w:val="both"/>
        <w:rPr>
          <w:rFonts w:eastAsia="Tw Cen MT" w:cs="Tw Cen MT"/>
          <w:lang w:val="en"/>
        </w:rPr>
      </w:pPr>
      <w:r w:rsidRPr="00C64BA4">
        <w:rPr>
          <w:rFonts w:eastAsia="Tw Cen MT" w:cs="Tw Cen MT"/>
          <w:lang w:val="en"/>
        </w:rPr>
        <w:t>HUD also makes us of a dissimilarity index to gauge instances of racial or ethnic segregation. This index measures the how evenly two groups are distributed across a component area and that larger area of which it is part. A score of 0 signals perfect integration, and one of 100 signals perfect segregation. The simplicity of the dissimilarity index makes it easy to use and calculate, but like all measures it has limitations. Most significantly, when the group in question is very small, it often overestimates the level of segregation of that group. Therefore, checks should be made to ensure that the population in question is large enough for the index to be reliable. In the SNHPC region, for example, the American Indian or Alaska Native population is shown to have high levels of segregation compared to the non-Hispanic/Latino White population. However, the American Indian or Alaska Native population is very low in region, less than 1% of the total population. As such, the results for the index should be treated very skeptically.</w:t>
      </w:r>
    </w:p>
    <w:p w14:paraId="50C83C36" w14:textId="4BCC4E37" w:rsidR="00FB3623" w:rsidRPr="00064404" w:rsidRDefault="09A70516" w:rsidP="00206C45">
      <w:pPr>
        <w:spacing w:line="300" w:lineRule="auto"/>
        <w:jc w:val="both"/>
        <w:rPr>
          <w:rFonts w:eastAsia="Tw Cen MT" w:cs="Tw Cen MT"/>
          <w:lang w:val="en"/>
        </w:rPr>
      </w:pPr>
      <w:r w:rsidRPr="00C64BA4">
        <w:rPr>
          <w:rFonts w:eastAsia="Tw Cen MT" w:cs="Tw Cen MT"/>
          <w:lang w:val="en"/>
        </w:rPr>
        <w:t>Within the region and the state as a whole, three groups scored moderate levels of segregation when compared to the non-Hispanic/Latino White population and made up at least 1% of the total population: Hispanics or Latinos of any race and non-Hispanic/Latino Blacks or African Americans or Asians. Particularly troubling is the dissimilarity index for Blacks or African Americans in the SNHPC region. That value is less than one point below 55, which HUD considers high segregation.</w:t>
      </w:r>
    </w:p>
    <w:p w14:paraId="0E01BDF7" w14:textId="77777777" w:rsidR="005053D2" w:rsidRPr="00C64BA4" w:rsidRDefault="005053D2" w:rsidP="00206C45">
      <w:pPr>
        <w:spacing w:line="300" w:lineRule="auto"/>
      </w:pPr>
      <w:r w:rsidRPr="00C64BA4">
        <w:br w:type="page"/>
      </w:r>
    </w:p>
    <w:p w14:paraId="7BDFD968" w14:textId="77777777" w:rsidR="007C1EB9" w:rsidRPr="00C64BA4" w:rsidRDefault="007C1EB9" w:rsidP="00206C45">
      <w:pPr>
        <w:spacing w:line="300" w:lineRule="auto"/>
        <w:rPr>
          <w:rFonts w:eastAsia="Tw Cen MT" w:cs="Tw Cen MT"/>
          <w:color w:val="000000" w:themeColor="text1"/>
          <w:sz w:val="24"/>
          <w:szCs w:val="24"/>
        </w:rPr>
        <w:sectPr w:rsidR="007C1EB9" w:rsidRPr="00C64BA4" w:rsidSect="008142C8">
          <w:pgSz w:w="12240" w:h="15840" w:code="1"/>
          <w:pgMar w:top="900" w:right="1440" w:bottom="1080" w:left="1440" w:header="432" w:footer="288" w:gutter="0"/>
          <w:cols w:space="720"/>
          <w:docGrid w:linePitch="360"/>
        </w:sectPr>
      </w:pPr>
    </w:p>
    <w:p w14:paraId="08414E46" w14:textId="6C766CD1" w:rsidR="00064404" w:rsidRDefault="00064404" w:rsidP="00206C45">
      <w:pPr>
        <w:pStyle w:val="Caption"/>
        <w:keepNext/>
        <w:spacing w:line="300" w:lineRule="auto"/>
      </w:pPr>
      <w:bookmarkStart w:id="100" w:name="_Toc128137910"/>
      <w:r>
        <w:lastRenderedPageBreak/>
        <w:t xml:space="preserve">Table </w:t>
      </w:r>
      <w:r w:rsidR="0062538A">
        <w:fldChar w:fldCharType="begin"/>
      </w:r>
      <w:r w:rsidR="0062538A">
        <w:instrText xml:space="preserve"> SEQ Table \* ARABIC </w:instrText>
      </w:r>
      <w:r w:rsidR="0062538A">
        <w:fldChar w:fldCharType="separate"/>
      </w:r>
      <w:r w:rsidR="008B512A">
        <w:rPr>
          <w:noProof/>
        </w:rPr>
        <w:t>19</w:t>
      </w:r>
      <w:r w:rsidR="0062538A">
        <w:rPr>
          <w:noProof/>
        </w:rPr>
        <w:fldChar w:fldCharType="end"/>
      </w:r>
      <w:r>
        <w:t>: Dissimilarity Index: Comparision Between the Concentrations of Two Populations</w:t>
      </w:r>
      <w:bookmarkEnd w:id="100"/>
    </w:p>
    <w:tbl>
      <w:tblPr>
        <w:tblW w:w="13647" w:type="dxa"/>
        <w:jc w:val="center"/>
        <w:tblLook w:val="04A0" w:firstRow="1" w:lastRow="0" w:firstColumn="1" w:lastColumn="0" w:noHBand="0" w:noVBand="1"/>
      </w:tblPr>
      <w:tblGrid>
        <w:gridCol w:w="849"/>
        <w:gridCol w:w="2258"/>
        <w:gridCol w:w="1720"/>
        <w:gridCol w:w="1280"/>
        <w:gridCol w:w="1240"/>
        <w:gridCol w:w="1240"/>
        <w:gridCol w:w="1240"/>
        <w:gridCol w:w="1320"/>
        <w:gridCol w:w="1240"/>
        <w:gridCol w:w="1260"/>
      </w:tblGrid>
      <w:tr w:rsidR="00271AA2" w:rsidRPr="00C64BA4" w14:paraId="18D60FFE" w14:textId="77777777" w:rsidTr="00491BF5">
        <w:trPr>
          <w:trHeight w:val="285"/>
          <w:jc w:val="center"/>
        </w:trPr>
        <w:tc>
          <w:tcPr>
            <w:tcW w:w="849" w:type="dxa"/>
            <w:tcBorders>
              <w:top w:val="nil"/>
              <w:left w:val="nil"/>
              <w:bottom w:val="nil"/>
              <w:right w:val="nil"/>
            </w:tcBorders>
            <w:shd w:val="clear" w:color="auto" w:fill="auto"/>
            <w:noWrap/>
            <w:vAlign w:val="bottom"/>
            <w:hideMark/>
          </w:tcPr>
          <w:p w14:paraId="1386CC0A" w14:textId="77777777" w:rsidR="00271AA2" w:rsidRPr="00C64BA4" w:rsidRDefault="00271AA2" w:rsidP="00206C45">
            <w:pPr>
              <w:spacing w:after="0" w:line="300" w:lineRule="auto"/>
              <w:rPr>
                <w:rFonts w:eastAsia="Times New Roman" w:cs="Times New Roman"/>
                <w:sz w:val="20"/>
                <w:szCs w:val="20"/>
              </w:rPr>
            </w:pPr>
            <w:bookmarkStart w:id="101" w:name="_Hlk121222036"/>
          </w:p>
        </w:tc>
        <w:tc>
          <w:tcPr>
            <w:tcW w:w="12798" w:type="dxa"/>
            <w:gridSpan w:val="9"/>
            <w:tcBorders>
              <w:top w:val="nil"/>
              <w:left w:val="nil"/>
              <w:bottom w:val="nil"/>
              <w:right w:val="nil"/>
            </w:tcBorders>
            <w:shd w:val="clear" w:color="auto" w:fill="auto"/>
            <w:noWrap/>
            <w:vAlign w:val="bottom"/>
            <w:hideMark/>
          </w:tcPr>
          <w:p w14:paraId="354E5315" w14:textId="77777777" w:rsidR="00271AA2" w:rsidRPr="00C64BA4" w:rsidRDefault="00271AA2" w:rsidP="00206C45">
            <w:pPr>
              <w:spacing w:after="0" w:line="300" w:lineRule="auto"/>
              <w:jc w:val="center"/>
              <w:rPr>
                <w:rFonts w:eastAsia="Times New Roman" w:cs="Calibri"/>
                <w:b/>
                <w:bCs/>
                <w:color w:val="595959"/>
              </w:rPr>
            </w:pPr>
            <w:r w:rsidRPr="00C64BA4">
              <w:rPr>
                <w:rFonts w:eastAsia="Times New Roman" w:cs="Calibri"/>
                <w:b/>
                <w:bCs/>
                <w:color w:val="595959"/>
              </w:rPr>
              <w:t>Dissimilarity Index: Comparison Between the Concentrations of Two Populations</w:t>
            </w:r>
          </w:p>
        </w:tc>
      </w:tr>
      <w:tr w:rsidR="00271AA2" w:rsidRPr="00C64BA4" w14:paraId="78051BA0" w14:textId="77777777" w:rsidTr="00491BF5">
        <w:trPr>
          <w:trHeight w:val="513"/>
          <w:jc w:val="center"/>
        </w:trPr>
        <w:tc>
          <w:tcPr>
            <w:tcW w:w="849" w:type="dxa"/>
            <w:tcBorders>
              <w:top w:val="nil"/>
              <w:left w:val="nil"/>
              <w:bottom w:val="nil"/>
              <w:right w:val="nil"/>
            </w:tcBorders>
            <w:shd w:val="clear" w:color="auto" w:fill="auto"/>
            <w:noWrap/>
            <w:vAlign w:val="bottom"/>
            <w:hideMark/>
          </w:tcPr>
          <w:p w14:paraId="67304210" w14:textId="77777777" w:rsidR="00271AA2" w:rsidRPr="00C64BA4" w:rsidRDefault="00271AA2" w:rsidP="00206C45">
            <w:pPr>
              <w:spacing w:after="0" w:line="300" w:lineRule="auto"/>
              <w:jc w:val="center"/>
              <w:rPr>
                <w:rFonts w:eastAsia="Times New Roman" w:cs="Calibri"/>
                <w:b/>
                <w:bCs/>
                <w:color w:val="595959"/>
              </w:rPr>
            </w:pPr>
          </w:p>
        </w:tc>
        <w:tc>
          <w:tcPr>
            <w:tcW w:w="2258" w:type="dxa"/>
            <w:tcBorders>
              <w:top w:val="nil"/>
              <w:left w:val="nil"/>
              <w:bottom w:val="nil"/>
              <w:right w:val="nil"/>
            </w:tcBorders>
            <w:shd w:val="clear" w:color="auto" w:fill="auto"/>
            <w:noWrap/>
            <w:vAlign w:val="bottom"/>
            <w:hideMark/>
          </w:tcPr>
          <w:p w14:paraId="416341E5" w14:textId="77777777" w:rsidR="00271AA2" w:rsidRPr="00C64BA4" w:rsidRDefault="00271AA2" w:rsidP="00206C45">
            <w:pPr>
              <w:spacing w:after="0" w:line="300" w:lineRule="auto"/>
              <w:rPr>
                <w:rFonts w:eastAsia="Times New Roman" w:cs="Times New Roman"/>
                <w:sz w:val="20"/>
                <w:szCs w:val="20"/>
              </w:rPr>
            </w:pPr>
          </w:p>
        </w:tc>
        <w:tc>
          <w:tcPr>
            <w:tcW w:w="1720" w:type="dxa"/>
            <w:tcBorders>
              <w:top w:val="nil"/>
              <w:left w:val="single" w:sz="4" w:space="0" w:color="auto"/>
              <w:bottom w:val="nil"/>
              <w:right w:val="nil"/>
            </w:tcBorders>
            <w:shd w:val="clear" w:color="auto" w:fill="auto"/>
            <w:noWrap/>
            <w:vAlign w:val="bottom"/>
            <w:hideMark/>
          </w:tcPr>
          <w:p w14:paraId="17E3BF1E" w14:textId="77777777" w:rsidR="00271AA2" w:rsidRPr="00C64BA4" w:rsidRDefault="00271AA2" w:rsidP="00206C45">
            <w:pPr>
              <w:spacing w:after="0" w:line="300" w:lineRule="auto"/>
              <w:rPr>
                <w:rFonts w:eastAsia="Times New Roman" w:cs="Calibri"/>
                <w:b/>
                <w:bCs/>
                <w:color w:val="595959"/>
              </w:rPr>
            </w:pPr>
            <w:r w:rsidRPr="00C64BA4">
              <w:rPr>
                <w:rFonts w:eastAsia="Times New Roman" w:cs="Calibri"/>
                <w:b/>
                <w:bCs/>
                <w:color w:val="595959"/>
              </w:rPr>
              <w:t> </w:t>
            </w:r>
          </w:p>
        </w:tc>
        <w:tc>
          <w:tcPr>
            <w:tcW w:w="1280" w:type="dxa"/>
            <w:tcBorders>
              <w:top w:val="nil"/>
              <w:left w:val="nil"/>
              <w:bottom w:val="nil"/>
              <w:right w:val="nil"/>
            </w:tcBorders>
            <w:shd w:val="clear" w:color="auto" w:fill="auto"/>
            <w:noWrap/>
            <w:vAlign w:val="bottom"/>
            <w:hideMark/>
          </w:tcPr>
          <w:p w14:paraId="17279BF8" w14:textId="77777777" w:rsidR="00271AA2" w:rsidRPr="00C64BA4" w:rsidRDefault="00271AA2" w:rsidP="00206C45">
            <w:pPr>
              <w:spacing w:after="0" w:line="300" w:lineRule="auto"/>
              <w:rPr>
                <w:rFonts w:eastAsia="Times New Roman" w:cs="Calibri"/>
                <w:b/>
                <w:bCs/>
                <w:color w:val="595959"/>
              </w:rPr>
            </w:pPr>
          </w:p>
        </w:tc>
        <w:tc>
          <w:tcPr>
            <w:tcW w:w="7540" w:type="dxa"/>
            <w:gridSpan w:val="6"/>
            <w:tcBorders>
              <w:top w:val="nil"/>
              <w:left w:val="single" w:sz="4" w:space="0" w:color="auto"/>
              <w:bottom w:val="nil"/>
              <w:right w:val="nil"/>
            </w:tcBorders>
            <w:shd w:val="clear" w:color="auto" w:fill="auto"/>
            <w:noWrap/>
            <w:vAlign w:val="bottom"/>
            <w:hideMark/>
          </w:tcPr>
          <w:p w14:paraId="65974A2A" w14:textId="77777777" w:rsidR="00271AA2" w:rsidRPr="00C64BA4" w:rsidRDefault="00271AA2" w:rsidP="00206C45">
            <w:pPr>
              <w:spacing w:after="0" w:line="300" w:lineRule="auto"/>
              <w:jc w:val="center"/>
              <w:rPr>
                <w:rFonts w:eastAsia="Times New Roman" w:cs="Calibri"/>
                <w:b/>
                <w:bCs/>
                <w:color w:val="595959"/>
              </w:rPr>
            </w:pPr>
            <w:r w:rsidRPr="00C64BA4">
              <w:rPr>
                <w:rFonts w:eastAsia="Times New Roman" w:cs="Calibri"/>
                <w:b/>
                <w:bCs/>
                <w:color w:val="595959"/>
              </w:rPr>
              <w:t>Not Hispanic or Latino</w:t>
            </w:r>
          </w:p>
        </w:tc>
      </w:tr>
      <w:tr w:rsidR="00271AA2" w:rsidRPr="00C64BA4" w14:paraId="3D10D9FA" w14:textId="77777777" w:rsidTr="00491BF5">
        <w:trPr>
          <w:trHeight w:val="1620"/>
          <w:jc w:val="center"/>
        </w:trPr>
        <w:tc>
          <w:tcPr>
            <w:tcW w:w="849" w:type="dxa"/>
            <w:tcBorders>
              <w:top w:val="nil"/>
              <w:left w:val="nil"/>
              <w:bottom w:val="single" w:sz="4" w:space="0" w:color="auto"/>
              <w:right w:val="nil"/>
            </w:tcBorders>
            <w:shd w:val="clear" w:color="auto" w:fill="auto"/>
            <w:noWrap/>
            <w:vAlign w:val="bottom"/>
            <w:hideMark/>
          </w:tcPr>
          <w:p w14:paraId="7701B851" w14:textId="77777777" w:rsidR="00271AA2" w:rsidRPr="00C64BA4" w:rsidRDefault="00271AA2" w:rsidP="00206C45">
            <w:pPr>
              <w:spacing w:after="0" w:line="300" w:lineRule="auto"/>
              <w:rPr>
                <w:rFonts w:eastAsia="Times New Roman" w:cs="Calibri"/>
                <w:color w:val="000000"/>
              </w:rPr>
            </w:pPr>
            <w:r w:rsidRPr="00C64BA4">
              <w:rPr>
                <w:rFonts w:eastAsia="Times New Roman" w:cs="Calibri"/>
                <w:color w:val="000000"/>
              </w:rPr>
              <w:t> </w:t>
            </w:r>
          </w:p>
        </w:tc>
        <w:tc>
          <w:tcPr>
            <w:tcW w:w="2258" w:type="dxa"/>
            <w:tcBorders>
              <w:top w:val="nil"/>
              <w:left w:val="nil"/>
              <w:bottom w:val="single" w:sz="4" w:space="0" w:color="auto"/>
              <w:right w:val="nil"/>
            </w:tcBorders>
            <w:shd w:val="clear" w:color="auto" w:fill="auto"/>
            <w:noWrap/>
            <w:vAlign w:val="bottom"/>
            <w:hideMark/>
          </w:tcPr>
          <w:p w14:paraId="1808EA8C" w14:textId="77777777" w:rsidR="00271AA2" w:rsidRPr="00C64BA4" w:rsidRDefault="00271AA2" w:rsidP="00206C45">
            <w:pPr>
              <w:spacing w:after="0" w:line="300" w:lineRule="auto"/>
              <w:rPr>
                <w:rFonts w:eastAsia="Times New Roman" w:cs="Calibri"/>
                <w:b/>
                <w:bCs/>
                <w:color w:val="595959"/>
              </w:rPr>
            </w:pPr>
            <w:r w:rsidRPr="00C64BA4">
              <w:rPr>
                <w:rFonts w:eastAsia="Times New Roman" w:cs="Calibri"/>
                <w:b/>
                <w:bCs/>
                <w:color w:val="595959"/>
              </w:rPr>
              <w:t> </w:t>
            </w:r>
          </w:p>
        </w:tc>
        <w:tc>
          <w:tcPr>
            <w:tcW w:w="1720" w:type="dxa"/>
            <w:tcBorders>
              <w:top w:val="nil"/>
              <w:left w:val="single" w:sz="4" w:space="0" w:color="auto"/>
              <w:bottom w:val="single" w:sz="4" w:space="0" w:color="auto"/>
              <w:right w:val="nil"/>
            </w:tcBorders>
            <w:shd w:val="clear" w:color="auto" w:fill="auto"/>
            <w:vAlign w:val="bottom"/>
            <w:hideMark/>
          </w:tcPr>
          <w:p w14:paraId="291ABEB9" w14:textId="77777777" w:rsidR="00271AA2" w:rsidRPr="00C64BA4" w:rsidRDefault="00271AA2" w:rsidP="00206C45">
            <w:pPr>
              <w:spacing w:after="0" w:line="300" w:lineRule="auto"/>
              <w:jc w:val="center"/>
              <w:rPr>
                <w:rFonts w:eastAsia="Times New Roman" w:cs="Calibri"/>
                <w:b/>
                <w:bCs/>
                <w:color w:val="595959"/>
              </w:rPr>
            </w:pPr>
            <w:r w:rsidRPr="00C64BA4">
              <w:rPr>
                <w:rFonts w:eastAsia="Times New Roman" w:cs="Calibri"/>
                <w:b/>
                <w:bCs/>
                <w:color w:val="595959"/>
              </w:rPr>
              <w:t>Minority: White Not Hispanic or Latino</w:t>
            </w:r>
          </w:p>
        </w:tc>
        <w:tc>
          <w:tcPr>
            <w:tcW w:w="1280" w:type="dxa"/>
            <w:tcBorders>
              <w:top w:val="nil"/>
              <w:left w:val="nil"/>
              <w:bottom w:val="single" w:sz="4" w:space="0" w:color="auto"/>
              <w:right w:val="nil"/>
            </w:tcBorders>
            <w:shd w:val="clear" w:color="auto" w:fill="auto"/>
            <w:vAlign w:val="bottom"/>
            <w:hideMark/>
          </w:tcPr>
          <w:p w14:paraId="02138C16" w14:textId="77777777" w:rsidR="00271AA2" w:rsidRPr="00C64BA4" w:rsidRDefault="00271AA2" w:rsidP="00206C45">
            <w:pPr>
              <w:spacing w:after="0" w:line="300" w:lineRule="auto"/>
              <w:jc w:val="center"/>
              <w:rPr>
                <w:rFonts w:eastAsia="Times New Roman" w:cs="Calibri"/>
                <w:b/>
                <w:bCs/>
                <w:color w:val="595959"/>
              </w:rPr>
            </w:pPr>
            <w:r w:rsidRPr="00C64BA4">
              <w:rPr>
                <w:rFonts w:eastAsia="Times New Roman" w:cs="Calibri"/>
                <w:b/>
                <w:bCs/>
                <w:color w:val="595959"/>
              </w:rPr>
              <w:t>Hispanic or Latino of Any Race: White Not Hispanic or Latino</w:t>
            </w:r>
          </w:p>
        </w:tc>
        <w:tc>
          <w:tcPr>
            <w:tcW w:w="1240" w:type="dxa"/>
            <w:tcBorders>
              <w:top w:val="nil"/>
              <w:left w:val="single" w:sz="4" w:space="0" w:color="auto"/>
              <w:bottom w:val="single" w:sz="4" w:space="0" w:color="auto"/>
              <w:right w:val="nil"/>
            </w:tcBorders>
            <w:shd w:val="clear" w:color="auto" w:fill="auto"/>
            <w:vAlign w:val="bottom"/>
            <w:hideMark/>
          </w:tcPr>
          <w:p w14:paraId="42F1E968" w14:textId="77777777" w:rsidR="00271AA2" w:rsidRPr="00C64BA4" w:rsidRDefault="00271AA2" w:rsidP="00206C45">
            <w:pPr>
              <w:spacing w:after="0" w:line="300" w:lineRule="auto"/>
              <w:jc w:val="center"/>
              <w:rPr>
                <w:rFonts w:eastAsia="Times New Roman" w:cs="Calibri"/>
                <w:b/>
                <w:bCs/>
                <w:color w:val="595959"/>
              </w:rPr>
            </w:pPr>
            <w:r w:rsidRPr="00C64BA4">
              <w:rPr>
                <w:rFonts w:eastAsia="Times New Roman" w:cs="Calibri"/>
                <w:b/>
                <w:bCs/>
                <w:color w:val="595959"/>
              </w:rPr>
              <w:t>Black or African American: White</w:t>
            </w:r>
          </w:p>
        </w:tc>
        <w:tc>
          <w:tcPr>
            <w:tcW w:w="1240" w:type="dxa"/>
            <w:tcBorders>
              <w:top w:val="nil"/>
              <w:left w:val="nil"/>
              <w:bottom w:val="single" w:sz="4" w:space="0" w:color="auto"/>
              <w:right w:val="nil"/>
            </w:tcBorders>
            <w:shd w:val="clear" w:color="auto" w:fill="auto"/>
            <w:vAlign w:val="bottom"/>
            <w:hideMark/>
          </w:tcPr>
          <w:p w14:paraId="55940436" w14:textId="77777777" w:rsidR="00271AA2" w:rsidRPr="00C64BA4" w:rsidRDefault="00271AA2" w:rsidP="00206C45">
            <w:pPr>
              <w:spacing w:after="0" w:line="300" w:lineRule="auto"/>
              <w:jc w:val="center"/>
              <w:rPr>
                <w:rFonts w:eastAsia="Times New Roman" w:cs="Calibri"/>
                <w:b/>
                <w:bCs/>
                <w:color w:val="595959"/>
              </w:rPr>
            </w:pPr>
            <w:r w:rsidRPr="00C64BA4">
              <w:rPr>
                <w:rFonts w:eastAsia="Times New Roman" w:cs="Calibri"/>
                <w:b/>
                <w:bCs/>
                <w:color w:val="595959"/>
              </w:rPr>
              <w:t>Asian: White</w:t>
            </w:r>
          </w:p>
        </w:tc>
        <w:tc>
          <w:tcPr>
            <w:tcW w:w="1240" w:type="dxa"/>
            <w:tcBorders>
              <w:top w:val="nil"/>
              <w:left w:val="nil"/>
              <w:bottom w:val="single" w:sz="4" w:space="0" w:color="auto"/>
              <w:right w:val="nil"/>
            </w:tcBorders>
            <w:shd w:val="clear" w:color="auto" w:fill="auto"/>
            <w:vAlign w:val="bottom"/>
            <w:hideMark/>
          </w:tcPr>
          <w:p w14:paraId="2A727CC3" w14:textId="77777777" w:rsidR="00271AA2" w:rsidRPr="00C64BA4" w:rsidRDefault="00271AA2" w:rsidP="00206C45">
            <w:pPr>
              <w:spacing w:after="0" w:line="300" w:lineRule="auto"/>
              <w:jc w:val="center"/>
              <w:rPr>
                <w:rFonts w:eastAsia="Times New Roman" w:cs="Calibri"/>
                <w:b/>
                <w:bCs/>
                <w:color w:val="595959"/>
              </w:rPr>
            </w:pPr>
            <w:r w:rsidRPr="00C64BA4">
              <w:rPr>
                <w:rFonts w:eastAsia="Times New Roman" w:cs="Calibri"/>
                <w:b/>
                <w:bCs/>
                <w:color w:val="595959"/>
              </w:rPr>
              <w:t>American Indian or Alaska Native: White</w:t>
            </w:r>
          </w:p>
        </w:tc>
        <w:tc>
          <w:tcPr>
            <w:tcW w:w="1320" w:type="dxa"/>
            <w:tcBorders>
              <w:top w:val="nil"/>
              <w:left w:val="nil"/>
              <w:bottom w:val="single" w:sz="4" w:space="0" w:color="auto"/>
              <w:right w:val="nil"/>
            </w:tcBorders>
            <w:shd w:val="clear" w:color="auto" w:fill="auto"/>
            <w:vAlign w:val="bottom"/>
            <w:hideMark/>
          </w:tcPr>
          <w:p w14:paraId="052902F6" w14:textId="77777777" w:rsidR="00271AA2" w:rsidRPr="00C64BA4" w:rsidRDefault="00271AA2" w:rsidP="00206C45">
            <w:pPr>
              <w:spacing w:after="0" w:line="300" w:lineRule="auto"/>
              <w:jc w:val="center"/>
              <w:rPr>
                <w:rFonts w:eastAsia="Times New Roman" w:cs="Calibri"/>
                <w:b/>
                <w:bCs/>
                <w:color w:val="595959"/>
              </w:rPr>
            </w:pPr>
            <w:r w:rsidRPr="00C64BA4">
              <w:rPr>
                <w:rFonts w:eastAsia="Times New Roman" w:cs="Calibri"/>
                <w:b/>
                <w:bCs/>
                <w:color w:val="595959"/>
              </w:rPr>
              <w:t>Native Hawaiian or Other Pacific Islander: White</w:t>
            </w:r>
          </w:p>
        </w:tc>
        <w:tc>
          <w:tcPr>
            <w:tcW w:w="1240" w:type="dxa"/>
            <w:tcBorders>
              <w:top w:val="nil"/>
              <w:left w:val="nil"/>
              <w:bottom w:val="single" w:sz="4" w:space="0" w:color="auto"/>
              <w:right w:val="nil"/>
            </w:tcBorders>
            <w:shd w:val="clear" w:color="auto" w:fill="auto"/>
            <w:vAlign w:val="bottom"/>
            <w:hideMark/>
          </w:tcPr>
          <w:p w14:paraId="11633ABD" w14:textId="77777777" w:rsidR="00271AA2" w:rsidRPr="00C64BA4" w:rsidRDefault="00271AA2" w:rsidP="00206C45">
            <w:pPr>
              <w:spacing w:after="0" w:line="300" w:lineRule="auto"/>
              <w:jc w:val="center"/>
              <w:rPr>
                <w:rFonts w:eastAsia="Times New Roman" w:cs="Calibri"/>
                <w:b/>
                <w:bCs/>
                <w:color w:val="595959"/>
              </w:rPr>
            </w:pPr>
            <w:r w:rsidRPr="00C64BA4">
              <w:rPr>
                <w:rFonts w:eastAsia="Times New Roman" w:cs="Calibri"/>
                <w:b/>
                <w:bCs/>
                <w:color w:val="595959"/>
              </w:rPr>
              <w:t>Some Other Race: White</w:t>
            </w:r>
          </w:p>
        </w:tc>
        <w:tc>
          <w:tcPr>
            <w:tcW w:w="1260" w:type="dxa"/>
            <w:tcBorders>
              <w:top w:val="nil"/>
              <w:left w:val="nil"/>
              <w:bottom w:val="single" w:sz="4" w:space="0" w:color="auto"/>
              <w:right w:val="nil"/>
            </w:tcBorders>
            <w:shd w:val="clear" w:color="auto" w:fill="auto"/>
            <w:vAlign w:val="bottom"/>
            <w:hideMark/>
          </w:tcPr>
          <w:p w14:paraId="26D10DF3" w14:textId="77777777" w:rsidR="00271AA2" w:rsidRPr="00C64BA4" w:rsidRDefault="00271AA2" w:rsidP="00206C45">
            <w:pPr>
              <w:spacing w:after="0" w:line="300" w:lineRule="auto"/>
              <w:jc w:val="center"/>
              <w:rPr>
                <w:rFonts w:eastAsia="Times New Roman" w:cs="Calibri"/>
                <w:b/>
                <w:bCs/>
                <w:color w:val="595959"/>
              </w:rPr>
            </w:pPr>
            <w:r w:rsidRPr="00C64BA4">
              <w:rPr>
                <w:rFonts w:eastAsia="Times New Roman" w:cs="Calibri"/>
                <w:b/>
                <w:bCs/>
                <w:color w:val="595959"/>
              </w:rPr>
              <w:t>Multiracial: White</w:t>
            </w:r>
          </w:p>
        </w:tc>
      </w:tr>
      <w:tr w:rsidR="00271AA2" w:rsidRPr="00C64BA4" w14:paraId="33645CAC" w14:textId="77777777" w:rsidTr="00491BF5">
        <w:trPr>
          <w:trHeight w:val="285"/>
          <w:jc w:val="center"/>
        </w:trPr>
        <w:tc>
          <w:tcPr>
            <w:tcW w:w="849" w:type="dxa"/>
            <w:vMerge w:val="restart"/>
            <w:tcBorders>
              <w:top w:val="nil"/>
              <w:left w:val="nil"/>
              <w:bottom w:val="single" w:sz="8" w:space="0" w:color="000000"/>
              <w:right w:val="nil"/>
            </w:tcBorders>
            <w:shd w:val="clear" w:color="auto" w:fill="auto"/>
            <w:noWrap/>
            <w:vAlign w:val="center"/>
            <w:hideMark/>
          </w:tcPr>
          <w:p w14:paraId="4A871639"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SNHPC</w:t>
            </w:r>
          </w:p>
        </w:tc>
        <w:tc>
          <w:tcPr>
            <w:tcW w:w="2258" w:type="dxa"/>
            <w:tcBorders>
              <w:top w:val="nil"/>
              <w:left w:val="nil"/>
              <w:bottom w:val="single" w:sz="4" w:space="0" w:color="auto"/>
              <w:right w:val="nil"/>
            </w:tcBorders>
            <w:shd w:val="clear" w:color="auto" w:fill="auto"/>
            <w:noWrap/>
            <w:vAlign w:val="center"/>
            <w:hideMark/>
          </w:tcPr>
          <w:p w14:paraId="3B6C70B5"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Dissimilarity Index</w:t>
            </w:r>
          </w:p>
        </w:tc>
        <w:tc>
          <w:tcPr>
            <w:tcW w:w="1720" w:type="dxa"/>
            <w:tcBorders>
              <w:top w:val="nil"/>
              <w:left w:val="single" w:sz="4" w:space="0" w:color="auto"/>
              <w:bottom w:val="single" w:sz="4" w:space="0" w:color="auto"/>
              <w:right w:val="nil"/>
            </w:tcBorders>
            <w:shd w:val="clear" w:color="auto" w:fill="auto"/>
            <w:noWrap/>
            <w:vAlign w:val="bottom"/>
            <w:hideMark/>
          </w:tcPr>
          <w:p w14:paraId="4A2CAE17"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35.3</w:t>
            </w:r>
          </w:p>
        </w:tc>
        <w:tc>
          <w:tcPr>
            <w:tcW w:w="1280" w:type="dxa"/>
            <w:tcBorders>
              <w:top w:val="nil"/>
              <w:left w:val="nil"/>
              <w:bottom w:val="single" w:sz="4" w:space="0" w:color="auto"/>
              <w:right w:val="nil"/>
            </w:tcBorders>
            <w:shd w:val="clear" w:color="auto" w:fill="auto"/>
            <w:noWrap/>
            <w:vAlign w:val="bottom"/>
            <w:hideMark/>
          </w:tcPr>
          <w:p w14:paraId="2F1F7622"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44.2</w:t>
            </w:r>
          </w:p>
        </w:tc>
        <w:tc>
          <w:tcPr>
            <w:tcW w:w="1240" w:type="dxa"/>
            <w:tcBorders>
              <w:top w:val="nil"/>
              <w:left w:val="single" w:sz="4" w:space="0" w:color="auto"/>
              <w:bottom w:val="single" w:sz="4" w:space="0" w:color="auto"/>
              <w:right w:val="nil"/>
            </w:tcBorders>
            <w:shd w:val="clear" w:color="auto" w:fill="auto"/>
            <w:noWrap/>
            <w:vAlign w:val="bottom"/>
            <w:hideMark/>
          </w:tcPr>
          <w:p w14:paraId="6503BEA8"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54.1</w:t>
            </w:r>
          </w:p>
        </w:tc>
        <w:tc>
          <w:tcPr>
            <w:tcW w:w="1240" w:type="dxa"/>
            <w:tcBorders>
              <w:top w:val="nil"/>
              <w:left w:val="nil"/>
              <w:bottom w:val="single" w:sz="4" w:space="0" w:color="auto"/>
              <w:right w:val="nil"/>
            </w:tcBorders>
            <w:shd w:val="clear" w:color="auto" w:fill="auto"/>
            <w:noWrap/>
            <w:vAlign w:val="bottom"/>
            <w:hideMark/>
          </w:tcPr>
          <w:p w14:paraId="5BB617BC"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44.0</w:t>
            </w:r>
          </w:p>
        </w:tc>
        <w:tc>
          <w:tcPr>
            <w:tcW w:w="1240" w:type="dxa"/>
            <w:tcBorders>
              <w:top w:val="nil"/>
              <w:left w:val="nil"/>
              <w:bottom w:val="single" w:sz="4" w:space="0" w:color="auto"/>
              <w:right w:val="nil"/>
            </w:tcBorders>
            <w:shd w:val="clear" w:color="auto" w:fill="auto"/>
            <w:noWrap/>
            <w:vAlign w:val="bottom"/>
            <w:hideMark/>
          </w:tcPr>
          <w:p w14:paraId="73B965EE"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79.9</w:t>
            </w:r>
          </w:p>
        </w:tc>
        <w:tc>
          <w:tcPr>
            <w:tcW w:w="1320" w:type="dxa"/>
            <w:tcBorders>
              <w:top w:val="nil"/>
              <w:left w:val="nil"/>
              <w:bottom w:val="single" w:sz="4" w:space="0" w:color="auto"/>
              <w:right w:val="nil"/>
            </w:tcBorders>
            <w:shd w:val="clear" w:color="auto" w:fill="auto"/>
            <w:noWrap/>
            <w:vAlign w:val="bottom"/>
            <w:hideMark/>
          </w:tcPr>
          <w:p w14:paraId="2A88451D"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97.0</w:t>
            </w:r>
          </w:p>
        </w:tc>
        <w:tc>
          <w:tcPr>
            <w:tcW w:w="1240" w:type="dxa"/>
            <w:tcBorders>
              <w:top w:val="nil"/>
              <w:left w:val="nil"/>
              <w:bottom w:val="single" w:sz="4" w:space="0" w:color="auto"/>
              <w:right w:val="nil"/>
            </w:tcBorders>
            <w:shd w:val="clear" w:color="auto" w:fill="auto"/>
            <w:noWrap/>
            <w:vAlign w:val="bottom"/>
            <w:hideMark/>
          </w:tcPr>
          <w:p w14:paraId="48D02182"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80.7</w:t>
            </w:r>
          </w:p>
        </w:tc>
        <w:tc>
          <w:tcPr>
            <w:tcW w:w="1260" w:type="dxa"/>
            <w:tcBorders>
              <w:top w:val="nil"/>
              <w:left w:val="nil"/>
              <w:bottom w:val="single" w:sz="4" w:space="0" w:color="auto"/>
              <w:right w:val="nil"/>
            </w:tcBorders>
            <w:shd w:val="clear" w:color="auto" w:fill="auto"/>
            <w:noWrap/>
            <w:vAlign w:val="bottom"/>
            <w:hideMark/>
          </w:tcPr>
          <w:p w14:paraId="73A24600"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32.7</w:t>
            </w:r>
          </w:p>
        </w:tc>
      </w:tr>
      <w:tr w:rsidR="00271AA2" w:rsidRPr="00C64BA4" w14:paraId="2D4761F1" w14:textId="77777777" w:rsidTr="00491BF5">
        <w:trPr>
          <w:trHeight w:val="285"/>
          <w:jc w:val="center"/>
        </w:trPr>
        <w:tc>
          <w:tcPr>
            <w:tcW w:w="849" w:type="dxa"/>
            <w:vMerge/>
            <w:tcBorders>
              <w:top w:val="nil"/>
              <w:left w:val="nil"/>
              <w:bottom w:val="single" w:sz="8" w:space="0" w:color="000000"/>
              <w:right w:val="nil"/>
            </w:tcBorders>
            <w:vAlign w:val="center"/>
            <w:hideMark/>
          </w:tcPr>
          <w:p w14:paraId="2C43F0E7" w14:textId="77777777" w:rsidR="00271AA2" w:rsidRPr="00C64BA4" w:rsidRDefault="00271AA2" w:rsidP="00206C45">
            <w:pPr>
              <w:spacing w:after="0" w:line="300" w:lineRule="auto"/>
              <w:rPr>
                <w:rFonts w:eastAsia="Times New Roman" w:cs="Calibri"/>
                <w:color w:val="000000"/>
              </w:rPr>
            </w:pPr>
          </w:p>
        </w:tc>
        <w:tc>
          <w:tcPr>
            <w:tcW w:w="2258" w:type="dxa"/>
            <w:tcBorders>
              <w:top w:val="nil"/>
              <w:left w:val="nil"/>
              <w:bottom w:val="single" w:sz="4" w:space="0" w:color="auto"/>
              <w:right w:val="nil"/>
            </w:tcBorders>
            <w:shd w:val="clear" w:color="000000" w:fill="E7E6E6"/>
            <w:noWrap/>
            <w:vAlign w:val="center"/>
            <w:hideMark/>
          </w:tcPr>
          <w:p w14:paraId="457D8D28"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Level of Segregation</w:t>
            </w:r>
          </w:p>
        </w:tc>
        <w:tc>
          <w:tcPr>
            <w:tcW w:w="1720" w:type="dxa"/>
            <w:tcBorders>
              <w:top w:val="nil"/>
              <w:left w:val="single" w:sz="4" w:space="0" w:color="auto"/>
              <w:bottom w:val="single" w:sz="4" w:space="0" w:color="auto"/>
              <w:right w:val="nil"/>
            </w:tcBorders>
            <w:shd w:val="clear" w:color="000000" w:fill="E2EFDA"/>
            <w:noWrap/>
            <w:vAlign w:val="bottom"/>
            <w:hideMark/>
          </w:tcPr>
          <w:p w14:paraId="7C9D1D0E"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Low</w:t>
            </w:r>
          </w:p>
        </w:tc>
        <w:tc>
          <w:tcPr>
            <w:tcW w:w="1280" w:type="dxa"/>
            <w:tcBorders>
              <w:top w:val="nil"/>
              <w:left w:val="nil"/>
              <w:bottom w:val="single" w:sz="4" w:space="0" w:color="auto"/>
              <w:right w:val="nil"/>
            </w:tcBorders>
            <w:shd w:val="clear" w:color="000000" w:fill="A9D08E"/>
            <w:noWrap/>
            <w:vAlign w:val="bottom"/>
            <w:hideMark/>
          </w:tcPr>
          <w:p w14:paraId="3270A703"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Moderate</w:t>
            </w:r>
          </w:p>
        </w:tc>
        <w:tc>
          <w:tcPr>
            <w:tcW w:w="1240" w:type="dxa"/>
            <w:tcBorders>
              <w:top w:val="nil"/>
              <w:left w:val="single" w:sz="4" w:space="0" w:color="auto"/>
              <w:bottom w:val="single" w:sz="4" w:space="0" w:color="auto"/>
              <w:right w:val="nil"/>
            </w:tcBorders>
            <w:shd w:val="clear" w:color="000000" w:fill="A9D08E"/>
            <w:noWrap/>
            <w:vAlign w:val="bottom"/>
            <w:hideMark/>
          </w:tcPr>
          <w:p w14:paraId="26C3DA8F"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Moderate</w:t>
            </w:r>
          </w:p>
        </w:tc>
        <w:tc>
          <w:tcPr>
            <w:tcW w:w="1240" w:type="dxa"/>
            <w:tcBorders>
              <w:top w:val="nil"/>
              <w:left w:val="nil"/>
              <w:bottom w:val="single" w:sz="4" w:space="0" w:color="auto"/>
              <w:right w:val="nil"/>
            </w:tcBorders>
            <w:shd w:val="clear" w:color="000000" w:fill="A9D08E"/>
            <w:noWrap/>
            <w:vAlign w:val="bottom"/>
            <w:hideMark/>
          </w:tcPr>
          <w:p w14:paraId="42A469D4"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Moderate</w:t>
            </w:r>
          </w:p>
        </w:tc>
        <w:tc>
          <w:tcPr>
            <w:tcW w:w="1240" w:type="dxa"/>
            <w:tcBorders>
              <w:top w:val="nil"/>
              <w:left w:val="nil"/>
              <w:bottom w:val="single" w:sz="4" w:space="0" w:color="auto"/>
              <w:right w:val="nil"/>
            </w:tcBorders>
            <w:shd w:val="clear" w:color="000000" w:fill="70AD47"/>
            <w:noWrap/>
            <w:vAlign w:val="bottom"/>
            <w:hideMark/>
          </w:tcPr>
          <w:p w14:paraId="387CC79A"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High</w:t>
            </w:r>
          </w:p>
        </w:tc>
        <w:tc>
          <w:tcPr>
            <w:tcW w:w="1320" w:type="dxa"/>
            <w:tcBorders>
              <w:top w:val="nil"/>
              <w:left w:val="nil"/>
              <w:bottom w:val="single" w:sz="4" w:space="0" w:color="auto"/>
              <w:right w:val="nil"/>
            </w:tcBorders>
            <w:shd w:val="clear" w:color="000000" w:fill="70AD47"/>
            <w:noWrap/>
            <w:vAlign w:val="bottom"/>
            <w:hideMark/>
          </w:tcPr>
          <w:p w14:paraId="260233C4"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High</w:t>
            </w:r>
          </w:p>
        </w:tc>
        <w:tc>
          <w:tcPr>
            <w:tcW w:w="1240" w:type="dxa"/>
            <w:tcBorders>
              <w:top w:val="nil"/>
              <w:left w:val="nil"/>
              <w:bottom w:val="single" w:sz="4" w:space="0" w:color="auto"/>
              <w:right w:val="nil"/>
            </w:tcBorders>
            <w:shd w:val="clear" w:color="000000" w:fill="70AD47"/>
            <w:noWrap/>
            <w:vAlign w:val="bottom"/>
            <w:hideMark/>
          </w:tcPr>
          <w:p w14:paraId="3D88B15B"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High</w:t>
            </w:r>
          </w:p>
        </w:tc>
        <w:tc>
          <w:tcPr>
            <w:tcW w:w="1260" w:type="dxa"/>
            <w:tcBorders>
              <w:top w:val="nil"/>
              <w:left w:val="nil"/>
              <w:bottom w:val="single" w:sz="4" w:space="0" w:color="auto"/>
              <w:right w:val="nil"/>
            </w:tcBorders>
            <w:shd w:val="clear" w:color="000000" w:fill="E2EFDA"/>
            <w:noWrap/>
            <w:vAlign w:val="bottom"/>
            <w:hideMark/>
          </w:tcPr>
          <w:p w14:paraId="4008D104"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Low</w:t>
            </w:r>
          </w:p>
        </w:tc>
      </w:tr>
      <w:tr w:rsidR="00271AA2" w:rsidRPr="00C64BA4" w14:paraId="38B5BC94" w14:textId="77777777" w:rsidTr="00491BF5">
        <w:trPr>
          <w:trHeight w:val="870"/>
          <w:jc w:val="center"/>
        </w:trPr>
        <w:tc>
          <w:tcPr>
            <w:tcW w:w="849" w:type="dxa"/>
            <w:vMerge/>
            <w:tcBorders>
              <w:top w:val="nil"/>
              <w:left w:val="nil"/>
              <w:bottom w:val="single" w:sz="8" w:space="0" w:color="000000"/>
              <w:right w:val="nil"/>
            </w:tcBorders>
            <w:vAlign w:val="center"/>
            <w:hideMark/>
          </w:tcPr>
          <w:p w14:paraId="26852C13" w14:textId="77777777" w:rsidR="00271AA2" w:rsidRPr="00C64BA4" w:rsidRDefault="00271AA2" w:rsidP="00206C45">
            <w:pPr>
              <w:spacing w:after="0" w:line="300" w:lineRule="auto"/>
              <w:rPr>
                <w:rFonts w:eastAsia="Times New Roman" w:cs="Calibri"/>
                <w:color w:val="000000"/>
              </w:rPr>
            </w:pPr>
          </w:p>
        </w:tc>
        <w:tc>
          <w:tcPr>
            <w:tcW w:w="2258" w:type="dxa"/>
            <w:tcBorders>
              <w:top w:val="nil"/>
              <w:left w:val="nil"/>
              <w:bottom w:val="single" w:sz="8" w:space="0" w:color="auto"/>
              <w:right w:val="nil"/>
            </w:tcBorders>
            <w:shd w:val="clear" w:color="auto" w:fill="auto"/>
            <w:vAlign w:val="center"/>
            <w:hideMark/>
          </w:tcPr>
          <w:p w14:paraId="5DF8A05B"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Population In Question =&gt; 1% of Total Population</w:t>
            </w:r>
          </w:p>
        </w:tc>
        <w:tc>
          <w:tcPr>
            <w:tcW w:w="1720" w:type="dxa"/>
            <w:tcBorders>
              <w:top w:val="nil"/>
              <w:left w:val="single" w:sz="4" w:space="0" w:color="auto"/>
              <w:bottom w:val="single" w:sz="8" w:space="0" w:color="auto"/>
              <w:right w:val="nil"/>
            </w:tcBorders>
            <w:shd w:val="clear" w:color="000000" w:fill="E2EFDA"/>
            <w:noWrap/>
            <w:vAlign w:val="center"/>
            <w:hideMark/>
          </w:tcPr>
          <w:p w14:paraId="262C9987" w14:textId="77777777" w:rsidR="00271AA2" w:rsidRPr="00C64BA4" w:rsidRDefault="00271AA2" w:rsidP="00206C45">
            <w:pPr>
              <w:spacing w:after="0" w:line="300" w:lineRule="auto"/>
              <w:jc w:val="center"/>
              <w:rPr>
                <w:rFonts w:eastAsia="Times New Roman" w:cs="Calibri"/>
              </w:rPr>
            </w:pPr>
            <w:r w:rsidRPr="00C64BA4">
              <w:rPr>
                <w:rFonts w:eastAsia="Times New Roman" w:cs="Calibri"/>
              </w:rPr>
              <w:t>Yes</w:t>
            </w:r>
          </w:p>
        </w:tc>
        <w:tc>
          <w:tcPr>
            <w:tcW w:w="1280" w:type="dxa"/>
            <w:tcBorders>
              <w:top w:val="nil"/>
              <w:left w:val="nil"/>
              <w:bottom w:val="single" w:sz="8" w:space="0" w:color="auto"/>
              <w:right w:val="nil"/>
            </w:tcBorders>
            <w:shd w:val="clear" w:color="000000" w:fill="E2EFDA"/>
            <w:noWrap/>
            <w:vAlign w:val="center"/>
            <w:hideMark/>
          </w:tcPr>
          <w:p w14:paraId="180A9B0D" w14:textId="77777777" w:rsidR="00271AA2" w:rsidRPr="00C64BA4" w:rsidRDefault="00271AA2" w:rsidP="00206C45">
            <w:pPr>
              <w:spacing w:after="0" w:line="300" w:lineRule="auto"/>
              <w:jc w:val="center"/>
              <w:rPr>
                <w:rFonts w:eastAsia="Times New Roman" w:cs="Calibri"/>
              </w:rPr>
            </w:pPr>
            <w:r w:rsidRPr="00C64BA4">
              <w:rPr>
                <w:rFonts w:eastAsia="Times New Roman" w:cs="Calibri"/>
              </w:rPr>
              <w:t>Yes</w:t>
            </w:r>
          </w:p>
        </w:tc>
        <w:tc>
          <w:tcPr>
            <w:tcW w:w="1240" w:type="dxa"/>
            <w:tcBorders>
              <w:top w:val="nil"/>
              <w:left w:val="single" w:sz="4" w:space="0" w:color="auto"/>
              <w:bottom w:val="single" w:sz="8" w:space="0" w:color="auto"/>
              <w:right w:val="nil"/>
            </w:tcBorders>
            <w:shd w:val="clear" w:color="000000" w:fill="E2EFDA"/>
            <w:noWrap/>
            <w:vAlign w:val="center"/>
            <w:hideMark/>
          </w:tcPr>
          <w:p w14:paraId="69EAEE61" w14:textId="77777777" w:rsidR="00271AA2" w:rsidRPr="00C64BA4" w:rsidRDefault="00271AA2" w:rsidP="00206C45">
            <w:pPr>
              <w:spacing w:after="0" w:line="300" w:lineRule="auto"/>
              <w:jc w:val="center"/>
              <w:rPr>
                <w:rFonts w:eastAsia="Times New Roman" w:cs="Calibri"/>
              </w:rPr>
            </w:pPr>
            <w:r w:rsidRPr="00C64BA4">
              <w:rPr>
                <w:rFonts w:eastAsia="Times New Roman" w:cs="Calibri"/>
              </w:rPr>
              <w:t>Yes</w:t>
            </w:r>
          </w:p>
        </w:tc>
        <w:tc>
          <w:tcPr>
            <w:tcW w:w="1240" w:type="dxa"/>
            <w:tcBorders>
              <w:top w:val="nil"/>
              <w:left w:val="nil"/>
              <w:bottom w:val="single" w:sz="8" w:space="0" w:color="auto"/>
              <w:right w:val="nil"/>
            </w:tcBorders>
            <w:shd w:val="clear" w:color="000000" w:fill="E2EFDA"/>
            <w:noWrap/>
            <w:vAlign w:val="center"/>
            <w:hideMark/>
          </w:tcPr>
          <w:p w14:paraId="74C7E2F7" w14:textId="77777777" w:rsidR="00271AA2" w:rsidRPr="00C64BA4" w:rsidRDefault="00271AA2" w:rsidP="00206C45">
            <w:pPr>
              <w:spacing w:after="0" w:line="300" w:lineRule="auto"/>
              <w:jc w:val="center"/>
              <w:rPr>
                <w:rFonts w:eastAsia="Times New Roman" w:cs="Calibri"/>
              </w:rPr>
            </w:pPr>
            <w:r w:rsidRPr="00C64BA4">
              <w:rPr>
                <w:rFonts w:eastAsia="Times New Roman" w:cs="Calibri"/>
              </w:rPr>
              <w:t>Yes</w:t>
            </w:r>
          </w:p>
        </w:tc>
        <w:tc>
          <w:tcPr>
            <w:tcW w:w="1240" w:type="dxa"/>
            <w:tcBorders>
              <w:top w:val="nil"/>
              <w:left w:val="nil"/>
              <w:bottom w:val="single" w:sz="8" w:space="0" w:color="auto"/>
              <w:right w:val="nil"/>
            </w:tcBorders>
            <w:shd w:val="clear" w:color="000000" w:fill="FFF2CC"/>
            <w:noWrap/>
            <w:vAlign w:val="center"/>
            <w:hideMark/>
          </w:tcPr>
          <w:p w14:paraId="335B14DE"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No</w:t>
            </w:r>
          </w:p>
        </w:tc>
        <w:tc>
          <w:tcPr>
            <w:tcW w:w="1320" w:type="dxa"/>
            <w:tcBorders>
              <w:top w:val="nil"/>
              <w:left w:val="nil"/>
              <w:bottom w:val="single" w:sz="8" w:space="0" w:color="auto"/>
              <w:right w:val="nil"/>
            </w:tcBorders>
            <w:shd w:val="clear" w:color="000000" w:fill="FFF2CC"/>
            <w:noWrap/>
            <w:vAlign w:val="center"/>
            <w:hideMark/>
          </w:tcPr>
          <w:p w14:paraId="483C5B4B"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No</w:t>
            </w:r>
          </w:p>
        </w:tc>
        <w:tc>
          <w:tcPr>
            <w:tcW w:w="1240" w:type="dxa"/>
            <w:tcBorders>
              <w:top w:val="nil"/>
              <w:left w:val="nil"/>
              <w:bottom w:val="single" w:sz="8" w:space="0" w:color="auto"/>
              <w:right w:val="nil"/>
            </w:tcBorders>
            <w:shd w:val="clear" w:color="000000" w:fill="FFF2CC"/>
            <w:noWrap/>
            <w:vAlign w:val="center"/>
            <w:hideMark/>
          </w:tcPr>
          <w:p w14:paraId="4E87337F"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No</w:t>
            </w:r>
          </w:p>
        </w:tc>
        <w:tc>
          <w:tcPr>
            <w:tcW w:w="1260" w:type="dxa"/>
            <w:tcBorders>
              <w:top w:val="nil"/>
              <w:left w:val="nil"/>
              <w:bottom w:val="single" w:sz="8" w:space="0" w:color="auto"/>
              <w:right w:val="nil"/>
            </w:tcBorders>
            <w:shd w:val="clear" w:color="000000" w:fill="E2EFDA"/>
            <w:noWrap/>
            <w:vAlign w:val="center"/>
            <w:hideMark/>
          </w:tcPr>
          <w:p w14:paraId="33CF7484"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Yes</w:t>
            </w:r>
          </w:p>
        </w:tc>
      </w:tr>
      <w:tr w:rsidR="00271AA2" w:rsidRPr="00C64BA4" w14:paraId="1DC2F8AB" w14:textId="77777777" w:rsidTr="00491BF5">
        <w:trPr>
          <w:trHeight w:val="285"/>
          <w:jc w:val="center"/>
        </w:trPr>
        <w:tc>
          <w:tcPr>
            <w:tcW w:w="849" w:type="dxa"/>
            <w:vMerge w:val="restart"/>
            <w:tcBorders>
              <w:top w:val="nil"/>
              <w:left w:val="nil"/>
              <w:bottom w:val="nil"/>
              <w:right w:val="nil"/>
            </w:tcBorders>
            <w:shd w:val="clear" w:color="auto" w:fill="auto"/>
            <w:noWrap/>
            <w:vAlign w:val="center"/>
            <w:hideMark/>
          </w:tcPr>
          <w:p w14:paraId="2F103E54"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NH</w:t>
            </w:r>
          </w:p>
        </w:tc>
        <w:tc>
          <w:tcPr>
            <w:tcW w:w="2258" w:type="dxa"/>
            <w:tcBorders>
              <w:top w:val="nil"/>
              <w:left w:val="nil"/>
              <w:bottom w:val="single" w:sz="4" w:space="0" w:color="auto"/>
              <w:right w:val="nil"/>
            </w:tcBorders>
            <w:shd w:val="clear" w:color="auto" w:fill="auto"/>
            <w:noWrap/>
            <w:vAlign w:val="center"/>
            <w:hideMark/>
          </w:tcPr>
          <w:p w14:paraId="1D33D7B6"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Dissimilarity Index</w:t>
            </w:r>
          </w:p>
        </w:tc>
        <w:tc>
          <w:tcPr>
            <w:tcW w:w="1720" w:type="dxa"/>
            <w:tcBorders>
              <w:top w:val="nil"/>
              <w:left w:val="single" w:sz="4" w:space="0" w:color="auto"/>
              <w:bottom w:val="single" w:sz="4" w:space="0" w:color="auto"/>
              <w:right w:val="nil"/>
            </w:tcBorders>
            <w:shd w:val="clear" w:color="auto" w:fill="auto"/>
            <w:noWrap/>
            <w:vAlign w:val="center"/>
            <w:hideMark/>
          </w:tcPr>
          <w:p w14:paraId="68E7279F"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32.0</w:t>
            </w:r>
          </w:p>
        </w:tc>
        <w:tc>
          <w:tcPr>
            <w:tcW w:w="1280" w:type="dxa"/>
            <w:tcBorders>
              <w:top w:val="nil"/>
              <w:left w:val="nil"/>
              <w:bottom w:val="single" w:sz="4" w:space="0" w:color="auto"/>
              <w:right w:val="nil"/>
            </w:tcBorders>
            <w:shd w:val="clear" w:color="auto" w:fill="auto"/>
            <w:noWrap/>
            <w:vAlign w:val="center"/>
            <w:hideMark/>
          </w:tcPr>
          <w:p w14:paraId="06E7FC0C"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41.5</w:t>
            </w:r>
          </w:p>
        </w:tc>
        <w:tc>
          <w:tcPr>
            <w:tcW w:w="1240" w:type="dxa"/>
            <w:tcBorders>
              <w:top w:val="nil"/>
              <w:left w:val="single" w:sz="4" w:space="0" w:color="auto"/>
              <w:bottom w:val="single" w:sz="4" w:space="0" w:color="auto"/>
              <w:right w:val="nil"/>
            </w:tcBorders>
            <w:shd w:val="clear" w:color="auto" w:fill="auto"/>
            <w:noWrap/>
            <w:vAlign w:val="center"/>
            <w:hideMark/>
          </w:tcPr>
          <w:p w14:paraId="0CBD0073"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51.7</w:t>
            </w:r>
          </w:p>
        </w:tc>
        <w:tc>
          <w:tcPr>
            <w:tcW w:w="1240" w:type="dxa"/>
            <w:tcBorders>
              <w:top w:val="nil"/>
              <w:left w:val="nil"/>
              <w:bottom w:val="single" w:sz="4" w:space="0" w:color="auto"/>
              <w:right w:val="nil"/>
            </w:tcBorders>
            <w:shd w:val="clear" w:color="auto" w:fill="auto"/>
            <w:noWrap/>
            <w:vAlign w:val="center"/>
            <w:hideMark/>
          </w:tcPr>
          <w:p w14:paraId="49C6F612"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46.8</w:t>
            </w:r>
          </w:p>
        </w:tc>
        <w:tc>
          <w:tcPr>
            <w:tcW w:w="1240" w:type="dxa"/>
            <w:tcBorders>
              <w:top w:val="nil"/>
              <w:left w:val="nil"/>
              <w:bottom w:val="single" w:sz="4" w:space="0" w:color="auto"/>
              <w:right w:val="nil"/>
            </w:tcBorders>
            <w:shd w:val="clear" w:color="auto" w:fill="auto"/>
            <w:noWrap/>
            <w:vAlign w:val="center"/>
            <w:hideMark/>
          </w:tcPr>
          <w:p w14:paraId="70DAF684"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69.5</w:t>
            </w:r>
          </w:p>
        </w:tc>
        <w:tc>
          <w:tcPr>
            <w:tcW w:w="1320" w:type="dxa"/>
            <w:tcBorders>
              <w:top w:val="nil"/>
              <w:left w:val="nil"/>
              <w:bottom w:val="single" w:sz="4" w:space="0" w:color="auto"/>
              <w:right w:val="nil"/>
            </w:tcBorders>
            <w:shd w:val="clear" w:color="auto" w:fill="auto"/>
            <w:noWrap/>
            <w:vAlign w:val="center"/>
            <w:hideMark/>
          </w:tcPr>
          <w:p w14:paraId="1B3007F6"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82.5</w:t>
            </w:r>
          </w:p>
        </w:tc>
        <w:tc>
          <w:tcPr>
            <w:tcW w:w="1240" w:type="dxa"/>
            <w:tcBorders>
              <w:top w:val="nil"/>
              <w:left w:val="nil"/>
              <w:bottom w:val="single" w:sz="4" w:space="0" w:color="auto"/>
              <w:right w:val="nil"/>
            </w:tcBorders>
            <w:shd w:val="clear" w:color="auto" w:fill="auto"/>
            <w:noWrap/>
            <w:vAlign w:val="center"/>
            <w:hideMark/>
          </w:tcPr>
          <w:p w14:paraId="1CAE3253"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73.3</w:t>
            </w:r>
          </w:p>
        </w:tc>
        <w:tc>
          <w:tcPr>
            <w:tcW w:w="1260" w:type="dxa"/>
            <w:tcBorders>
              <w:top w:val="nil"/>
              <w:left w:val="nil"/>
              <w:bottom w:val="single" w:sz="4" w:space="0" w:color="auto"/>
              <w:right w:val="nil"/>
            </w:tcBorders>
            <w:shd w:val="clear" w:color="auto" w:fill="auto"/>
            <w:noWrap/>
            <w:vAlign w:val="center"/>
            <w:hideMark/>
          </w:tcPr>
          <w:p w14:paraId="61CD5857"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30.4</w:t>
            </w:r>
          </w:p>
        </w:tc>
      </w:tr>
      <w:tr w:rsidR="00271AA2" w:rsidRPr="00C64BA4" w14:paraId="29E8B1FB" w14:textId="77777777" w:rsidTr="00491BF5">
        <w:trPr>
          <w:trHeight w:val="285"/>
          <w:jc w:val="center"/>
        </w:trPr>
        <w:tc>
          <w:tcPr>
            <w:tcW w:w="849" w:type="dxa"/>
            <w:vMerge/>
            <w:tcBorders>
              <w:top w:val="nil"/>
              <w:left w:val="nil"/>
              <w:bottom w:val="nil"/>
              <w:right w:val="nil"/>
            </w:tcBorders>
            <w:vAlign w:val="center"/>
            <w:hideMark/>
          </w:tcPr>
          <w:p w14:paraId="5BCA83A6" w14:textId="77777777" w:rsidR="00271AA2" w:rsidRPr="00C64BA4" w:rsidRDefault="00271AA2" w:rsidP="00206C45">
            <w:pPr>
              <w:spacing w:after="0" w:line="300" w:lineRule="auto"/>
              <w:rPr>
                <w:rFonts w:eastAsia="Times New Roman" w:cs="Calibri"/>
                <w:color w:val="000000"/>
              </w:rPr>
            </w:pPr>
          </w:p>
        </w:tc>
        <w:tc>
          <w:tcPr>
            <w:tcW w:w="2258" w:type="dxa"/>
            <w:tcBorders>
              <w:top w:val="nil"/>
              <w:left w:val="nil"/>
              <w:bottom w:val="single" w:sz="4" w:space="0" w:color="auto"/>
              <w:right w:val="nil"/>
            </w:tcBorders>
            <w:shd w:val="clear" w:color="000000" w:fill="E7E6E6"/>
            <w:noWrap/>
            <w:vAlign w:val="center"/>
            <w:hideMark/>
          </w:tcPr>
          <w:p w14:paraId="032954BF"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Level of Segregation</w:t>
            </w:r>
          </w:p>
        </w:tc>
        <w:tc>
          <w:tcPr>
            <w:tcW w:w="1720" w:type="dxa"/>
            <w:tcBorders>
              <w:top w:val="nil"/>
              <w:left w:val="single" w:sz="4" w:space="0" w:color="auto"/>
              <w:bottom w:val="single" w:sz="4" w:space="0" w:color="auto"/>
              <w:right w:val="nil"/>
            </w:tcBorders>
            <w:shd w:val="clear" w:color="000000" w:fill="E2EFDA"/>
            <w:noWrap/>
            <w:vAlign w:val="center"/>
            <w:hideMark/>
          </w:tcPr>
          <w:p w14:paraId="63A4C3E7"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Low</w:t>
            </w:r>
          </w:p>
        </w:tc>
        <w:tc>
          <w:tcPr>
            <w:tcW w:w="1280" w:type="dxa"/>
            <w:tcBorders>
              <w:top w:val="nil"/>
              <w:left w:val="nil"/>
              <w:bottom w:val="single" w:sz="4" w:space="0" w:color="auto"/>
              <w:right w:val="nil"/>
            </w:tcBorders>
            <w:shd w:val="clear" w:color="000000" w:fill="A9D08E"/>
            <w:noWrap/>
            <w:vAlign w:val="center"/>
            <w:hideMark/>
          </w:tcPr>
          <w:p w14:paraId="42FC6EAE"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Moderate</w:t>
            </w:r>
          </w:p>
        </w:tc>
        <w:tc>
          <w:tcPr>
            <w:tcW w:w="1240" w:type="dxa"/>
            <w:tcBorders>
              <w:top w:val="nil"/>
              <w:left w:val="single" w:sz="4" w:space="0" w:color="auto"/>
              <w:bottom w:val="single" w:sz="4" w:space="0" w:color="auto"/>
              <w:right w:val="nil"/>
            </w:tcBorders>
            <w:shd w:val="clear" w:color="000000" w:fill="A9D08E"/>
            <w:noWrap/>
            <w:vAlign w:val="center"/>
            <w:hideMark/>
          </w:tcPr>
          <w:p w14:paraId="692EDA0E"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Moderate</w:t>
            </w:r>
          </w:p>
        </w:tc>
        <w:tc>
          <w:tcPr>
            <w:tcW w:w="1240" w:type="dxa"/>
            <w:tcBorders>
              <w:top w:val="nil"/>
              <w:left w:val="nil"/>
              <w:bottom w:val="single" w:sz="4" w:space="0" w:color="auto"/>
              <w:right w:val="nil"/>
            </w:tcBorders>
            <w:shd w:val="clear" w:color="000000" w:fill="A9D08E"/>
            <w:noWrap/>
            <w:vAlign w:val="center"/>
            <w:hideMark/>
          </w:tcPr>
          <w:p w14:paraId="45704AEA"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Moderate</w:t>
            </w:r>
          </w:p>
        </w:tc>
        <w:tc>
          <w:tcPr>
            <w:tcW w:w="1240" w:type="dxa"/>
            <w:tcBorders>
              <w:top w:val="nil"/>
              <w:left w:val="nil"/>
              <w:bottom w:val="single" w:sz="4" w:space="0" w:color="auto"/>
              <w:right w:val="nil"/>
            </w:tcBorders>
            <w:shd w:val="clear" w:color="000000" w:fill="70AD47"/>
            <w:noWrap/>
            <w:vAlign w:val="center"/>
            <w:hideMark/>
          </w:tcPr>
          <w:p w14:paraId="7FF6C833"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High</w:t>
            </w:r>
          </w:p>
        </w:tc>
        <w:tc>
          <w:tcPr>
            <w:tcW w:w="1320" w:type="dxa"/>
            <w:tcBorders>
              <w:top w:val="nil"/>
              <w:left w:val="nil"/>
              <w:bottom w:val="single" w:sz="4" w:space="0" w:color="auto"/>
              <w:right w:val="nil"/>
            </w:tcBorders>
            <w:shd w:val="clear" w:color="000000" w:fill="70AD47"/>
            <w:noWrap/>
            <w:vAlign w:val="center"/>
            <w:hideMark/>
          </w:tcPr>
          <w:p w14:paraId="396B3A86"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High</w:t>
            </w:r>
          </w:p>
        </w:tc>
        <w:tc>
          <w:tcPr>
            <w:tcW w:w="1240" w:type="dxa"/>
            <w:tcBorders>
              <w:top w:val="nil"/>
              <w:left w:val="nil"/>
              <w:bottom w:val="single" w:sz="4" w:space="0" w:color="auto"/>
              <w:right w:val="nil"/>
            </w:tcBorders>
            <w:shd w:val="clear" w:color="000000" w:fill="70AD47"/>
            <w:noWrap/>
            <w:vAlign w:val="center"/>
            <w:hideMark/>
          </w:tcPr>
          <w:p w14:paraId="61B0F308"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High</w:t>
            </w:r>
          </w:p>
        </w:tc>
        <w:tc>
          <w:tcPr>
            <w:tcW w:w="1260" w:type="dxa"/>
            <w:tcBorders>
              <w:top w:val="nil"/>
              <w:left w:val="nil"/>
              <w:bottom w:val="single" w:sz="4" w:space="0" w:color="auto"/>
              <w:right w:val="nil"/>
            </w:tcBorders>
            <w:shd w:val="clear" w:color="000000" w:fill="E2EFDA"/>
            <w:noWrap/>
            <w:vAlign w:val="center"/>
            <w:hideMark/>
          </w:tcPr>
          <w:p w14:paraId="5C685744"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Low</w:t>
            </w:r>
          </w:p>
        </w:tc>
      </w:tr>
      <w:tr w:rsidR="00271AA2" w:rsidRPr="00C64BA4" w14:paraId="4EFFEF63" w14:textId="77777777" w:rsidTr="00491BF5">
        <w:trPr>
          <w:trHeight w:val="855"/>
          <w:jc w:val="center"/>
        </w:trPr>
        <w:tc>
          <w:tcPr>
            <w:tcW w:w="849" w:type="dxa"/>
            <w:vMerge/>
            <w:tcBorders>
              <w:top w:val="nil"/>
              <w:left w:val="nil"/>
              <w:bottom w:val="nil"/>
              <w:right w:val="nil"/>
            </w:tcBorders>
            <w:vAlign w:val="center"/>
            <w:hideMark/>
          </w:tcPr>
          <w:p w14:paraId="5F00C1B3" w14:textId="77777777" w:rsidR="00271AA2" w:rsidRPr="00C64BA4" w:rsidRDefault="00271AA2" w:rsidP="00206C45">
            <w:pPr>
              <w:spacing w:after="0" w:line="300" w:lineRule="auto"/>
              <w:rPr>
                <w:rFonts w:eastAsia="Times New Roman" w:cs="Calibri"/>
                <w:color w:val="000000"/>
              </w:rPr>
            </w:pPr>
          </w:p>
        </w:tc>
        <w:tc>
          <w:tcPr>
            <w:tcW w:w="2258" w:type="dxa"/>
            <w:tcBorders>
              <w:top w:val="nil"/>
              <w:left w:val="nil"/>
              <w:bottom w:val="nil"/>
              <w:right w:val="nil"/>
            </w:tcBorders>
            <w:shd w:val="clear" w:color="auto" w:fill="auto"/>
            <w:vAlign w:val="center"/>
            <w:hideMark/>
          </w:tcPr>
          <w:p w14:paraId="3B13CFDC"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Population In Question =&gt; 1% of Total Population</w:t>
            </w:r>
          </w:p>
        </w:tc>
        <w:tc>
          <w:tcPr>
            <w:tcW w:w="1720" w:type="dxa"/>
            <w:tcBorders>
              <w:top w:val="nil"/>
              <w:left w:val="single" w:sz="4" w:space="0" w:color="auto"/>
              <w:bottom w:val="nil"/>
              <w:right w:val="nil"/>
            </w:tcBorders>
            <w:shd w:val="clear" w:color="000000" w:fill="E2EFDA"/>
            <w:noWrap/>
            <w:vAlign w:val="center"/>
            <w:hideMark/>
          </w:tcPr>
          <w:p w14:paraId="021A10FA"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Yes</w:t>
            </w:r>
          </w:p>
        </w:tc>
        <w:tc>
          <w:tcPr>
            <w:tcW w:w="1280" w:type="dxa"/>
            <w:tcBorders>
              <w:top w:val="nil"/>
              <w:left w:val="nil"/>
              <w:bottom w:val="nil"/>
              <w:right w:val="nil"/>
            </w:tcBorders>
            <w:shd w:val="clear" w:color="000000" w:fill="E2EFDA"/>
            <w:noWrap/>
            <w:vAlign w:val="center"/>
            <w:hideMark/>
          </w:tcPr>
          <w:p w14:paraId="3D0A096F"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Yes</w:t>
            </w:r>
          </w:p>
        </w:tc>
        <w:tc>
          <w:tcPr>
            <w:tcW w:w="1240" w:type="dxa"/>
            <w:tcBorders>
              <w:top w:val="nil"/>
              <w:left w:val="single" w:sz="4" w:space="0" w:color="auto"/>
              <w:bottom w:val="nil"/>
              <w:right w:val="nil"/>
            </w:tcBorders>
            <w:shd w:val="clear" w:color="000000" w:fill="E2EFDA"/>
            <w:noWrap/>
            <w:vAlign w:val="center"/>
            <w:hideMark/>
          </w:tcPr>
          <w:p w14:paraId="4518AD29"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Yes</w:t>
            </w:r>
          </w:p>
        </w:tc>
        <w:tc>
          <w:tcPr>
            <w:tcW w:w="1240" w:type="dxa"/>
            <w:tcBorders>
              <w:top w:val="nil"/>
              <w:left w:val="nil"/>
              <w:bottom w:val="nil"/>
              <w:right w:val="nil"/>
            </w:tcBorders>
            <w:shd w:val="clear" w:color="000000" w:fill="E2EFDA"/>
            <w:noWrap/>
            <w:vAlign w:val="center"/>
            <w:hideMark/>
          </w:tcPr>
          <w:p w14:paraId="5EB7D376"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Yes</w:t>
            </w:r>
          </w:p>
        </w:tc>
        <w:tc>
          <w:tcPr>
            <w:tcW w:w="1240" w:type="dxa"/>
            <w:tcBorders>
              <w:top w:val="nil"/>
              <w:left w:val="nil"/>
              <w:bottom w:val="nil"/>
              <w:right w:val="nil"/>
            </w:tcBorders>
            <w:shd w:val="clear" w:color="000000" w:fill="FFF2CC"/>
            <w:noWrap/>
            <w:vAlign w:val="center"/>
            <w:hideMark/>
          </w:tcPr>
          <w:p w14:paraId="4D384057"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No</w:t>
            </w:r>
          </w:p>
        </w:tc>
        <w:tc>
          <w:tcPr>
            <w:tcW w:w="1320" w:type="dxa"/>
            <w:tcBorders>
              <w:top w:val="nil"/>
              <w:left w:val="nil"/>
              <w:bottom w:val="nil"/>
              <w:right w:val="nil"/>
            </w:tcBorders>
            <w:shd w:val="clear" w:color="000000" w:fill="FFF2CC"/>
            <w:noWrap/>
            <w:vAlign w:val="center"/>
            <w:hideMark/>
          </w:tcPr>
          <w:p w14:paraId="020927B8"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No</w:t>
            </w:r>
          </w:p>
        </w:tc>
        <w:tc>
          <w:tcPr>
            <w:tcW w:w="1240" w:type="dxa"/>
            <w:tcBorders>
              <w:top w:val="nil"/>
              <w:left w:val="nil"/>
              <w:bottom w:val="nil"/>
              <w:right w:val="nil"/>
            </w:tcBorders>
            <w:shd w:val="clear" w:color="000000" w:fill="FFF2CC"/>
            <w:noWrap/>
            <w:vAlign w:val="center"/>
            <w:hideMark/>
          </w:tcPr>
          <w:p w14:paraId="344576B7"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No</w:t>
            </w:r>
          </w:p>
        </w:tc>
        <w:tc>
          <w:tcPr>
            <w:tcW w:w="1260" w:type="dxa"/>
            <w:tcBorders>
              <w:top w:val="nil"/>
              <w:left w:val="nil"/>
              <w:bottom w:val="nil"/>
              <w:right w:val="nil"/>
            </w:tcBorders>
            <w:shd w:val="clear" w:color="000000" w:fill="E2EFDA"/>
            <w:noWrap/>
            <w:vAlign w:val="center"/>
            <w:hideMark/>
          </w:tcPr>
          <w:p w14:paraId="67E81F26" w14:textId="77777777" w:rsidR="00271AA2" w:rsidRPr="00C64BA4" w:rsidRDefault="00271AA2" w:rsidP="00206C45">
            <w:pPr>
              <w:spacing w:after="0" w:line="300" w:lineRule="auto"/>
              <w:jc w:val="center"/>
              <w:rPr>
                <w:rFonts w:eastAsia="Times New Roman" w:cs="Calibri"/>
                <w:color w:val="000000"/>
              </w:rPr>
            </w:pPr>
            <w:r w:rsidRPr="00C64BA4">
              <w:rPr>
                <w:rFonts w:eastAsia="Times New Roman" w:cs="Calibri"/>
                <w:color w:val="000000"/>
              </w:rPr>
              <w:t>Yes</w:t>
            </w:r>
          </w:p>
        </w:tc>
      </w:tr>
      <w:tr w:rsidR="00271AA2" w:rsidRPr="00C64BA4" w14:paraId="5C8B5FA5" w14:textId="77777777" w:rsidTr="00491BF5">
        <w:trPr>
          <w:trHeight w:val="198"/>
          <w:jc w:val="center"/>
        </w:trPr>
        <w:tc>
          <w:tcPr>
            <w:tcW w:w="13647" w:type="dxa"/>
            <w:gridSpan w:val="10"/>
            <w:tcBorders>
              <w:top w:val="nil"/>
              <w:left w:val="nil"/>
              <w:bottom w:val="nil"/>
              <w:right w:val="nil"/>
            </w:tcBorders>
            <w:shd w:val="clear" w:color="auto" w:fill="auto"/>
            <w:noWrap/>
            <w:vAlign w:val="center"/>
            <w:hideMark/>
          </w:tcPr>
          <w:p w14:paraId="4B8F8919" w14:textId="77777777" w:rsidR="00271AA2" w:rsidRPr="00C64BA4" w:rsidRDefault="00271AA2"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5-Year American Community Survey</w:t>
            </w:r>
          </w:p>
        </w:tc>
      </w:tr>
      <w:tr w:rsidR="00271AA2" w:rsidRPr="00C64BA4" w14:paraId="7B000AA7" w14:textId="77777777" w:rsidTr="00491BF5">
        <w:trPr>
          <w:trHeight w:val="80"/>
          <w:jc w:val="center"/>
        </w:trPr>
        <w:tc>
          <w:tcPr>
            <w:tcW w:w="13647" w:type="dxa"/>
            <w:gridSpan w:val="10"/>
            <w:tcBorders>
              <w:top w:val="nil"/>
              <w:left w:val="nil"/>
              <w:bottom w:val="nil"/>
              <w:right w:val="nil"/>
            </w:tcBorders>
            <w:shd w:val="clear" w:color="auto" w:fill="auto"/>
            <w:noWrap/>
            <w:vAlign w:val="center"/>
            <w:hideMark/>
          </w:tcPr>
          <w:p w14:paraId="69E1156E" w14:textId="77777777" w:rsidR="00271AA2" w:rsidRPr="00C64BA4" w:rsidRDefault="00271AA2"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Sources: Root Policy; US Census Bureau.</w:t>
            </w:r>
          </w:p>
        </w:tc>
      </w:tr>
      <w:bookmarkEnd w:id="101"/>
    </w:tbl>
    <w:p w14:paraId="55A47207" w14:textId="77777777" w:rsidR="007C1EB9" w:rsidRPr="00C64BA4" w:rsidRDefault="007C1EB9" w:rsidP="00206C45">
      <w:pPr>
        <w:spacing w:line="300" w:lineRule="auto"/>
        <w:sectPr w:rsidR="007C1EB9" w:rsidRPr="00C64BA4" w:rsidSect="007C1EB9">
          <w:pgSz w:w="15840" w:h="12240" w:orient="landscape" w:code="1"/>
          <w:pgMar w:top="1440" w:right="907" w:bottom="1440" w:left="1080" w:header="432" w:footer="288" w:gutter="0"/>
          <w:cols w:space="720"/>
          <w:docGrid w:linePitch="360"/>
        </w:sectPr>
      </w:pPr>
    </w:p>
    <w:p w14:paraId="74061FAB" w14:textId="05317040" w:rsidR="00FB3623" w:rsidRPr="00C64BA4" w:rsidRDefault="09A70516" w:rsidP="00206C45">
      <w:pPr>
        <w:pStyle w:val="Heading3"/>
        <w:spacing w:line="300" w:lineRule="auto"/>
        <w:rPr>
          <w:rFonts w:eastAsia="Tw Cen MT" w:cs="Tw Cen MT"/>
          <w:color w:val="003BB3"/>
          <w:lang w:val="en"/>
        </w:rPr>
      </w:pPr>
      <w:bookmarkStart w:id="102" w:name="_Toc128137961"/>
      <w:r w:rsidRPr="00C64BA4">
        <w:rPr>
          <w:rFonts w:eastAsia="Tw Cen MT" w:cs="Tw Cen MT"/>
          <w:color w:val="003BB3"/>
          <w:lang w:val="en"/>
        </w:rPr>
        <w:lastRenderedPageBreak/>
        <w:t>Communities of Concern</w:t>
      </w:r>
      <w:bookmarkEnd w:id="102"/>
    </w:p>
    <w:p w14:paraId="3E6F7274" w14:textId="2E1813D2" w:rsidR="00491BF5" w:rsidRPr="00C64BA4" w:rsidRDefault="09A70516" w:rsidP="00206C45">
      <w:pPr>
        <w:spacing w:line="300" w:lineRule="auto"/>
        <w:jc w:val="both"/>
        <w:rPr>
          <w:rFonts w:eastAsia="Tw Cen MT" w:cs="Tw Cen MT"/>
          <w:lang w:val="en"/>
        </w:rPr>
      </w:pPr>
      <w:r w:rsidRPr="00C64BA4">
        <w:rPr>
          <w:rFonts w:eastAsia="Tw Cen MT" w:cs="Tw Cen MT"/>
          <w:lang w:val="en"/>
        </w:rPr>
        <w:t xml:space="preserve">To better protect </w:t>
      </w:r>
      <w:r w:rsidRPr="00C64BA4">
        <w:rPr>
          <w:rFonts w:eastAsia="Tw Cen MT" w:cs="Tw Cen MT"/>
          <w:i/>
          <w:iCs/>
          <w:lang w:val="en"/>
        </w:rPr>
        <w:t>communities of interest</w:t>
      </w:r>
      <w:r w:rsidRPr="00C64BA4">
        <w:rPr>
          <w:rFonts w:eastAsia="Tw Cen MT" w:cs="Tw Cen MT"/>
          <w:lang w:val="en"/>
        </w:rPr>
        <w:t xml:space="preserve">, SNHPC is highlighting a subset known as </w:t>
      </w:r>
      <w:r w:rsidRPr="00C64BA4">
        <w:rPr>
          <w:rFonts w:eastAsia="Tw Cen MT" w:cs="Tw Cen MT"/>
          <w:i/>
          <w:iCs/>
          <w:lang w:val="en"/>
        </w:rPr>
        <w:t>communities of concern</w:t>
      </w:r>
      <w:r w:rsidRPr="00C64BA4">
        <w:rPr>
          <w:rFonts w:eastAsia="Tw Cen MT" w:cs="Tw Cen MT"/>
          <w:lang w:val="en"/>
        </w:rPr>
        <w:t xml:space="preserve">. In particular, the commission want to identify specific areas where these populations are geographically concentrated. This Equity Area should receive greater consideration when examining housing policy and governmental actions. As part of its ongoing </w:t>
      </w:r>
      <w:r w:rsidRPr="00EB549E">
        <w:rPr>
          <w:rFonts w:eastAsia="Tw Cen MT" w:cs="Tw Cen MT"/>
          <w:lang w:val="en"/>
        </w:rPr>
        <w:t>Equity Analysis</w:t>
      </w:r>
      <w:r w:rsidR="007001F6">
        <w:rPr>
          <w:rStyle w:val="FootnoteReference"/>
          <w:rFonts w:eastAsia="Tw Cen MT" w:cs="Tw Cen MT"/>
          <w:lang w:val="en"/>
        </w:rPr>
        <w:footnoteReference w:id="19"/>
      </w:r>
      <w:r w:rsidRPr="00C64BA4">
        <w:rPr>
          <w:rFonts w:eastAsia="Tw Cen MT" w:cs="Tw Cen MT"/>
          <w:lang w:val="en"/>
        </w:rPr>
        <w:t>, SNHPC has identified six populations that are historically undeserved by the transportation system. All six groups are also included in the communities of interest. These populations were identified not only due to their importance but the availability of frequent, higher granularity data. Three of the groups, minorities, people living in poverty, and people with limited English proficiency (LEP), are Title VI/Environmental Justice (EJ) classes that SNPHC has special legal responsibilities to as a metropolitan planning organization (MPO). The other three groups chosen were people 65 years or older, those living with a disability, and households without access to a vehicle. The first three groups as well as vehicle</w:t>
      </w:r>
      <w:r w:rsidR="00EE56E6" w:rsidRPr="00C64BA4">
        <w:rPr>
          <w:rFonts w:eastAsia="Tw Cen MT" w:cs="Tw Cen MT"/>
          <w:lang w:val="en"/>
        </w:rPr>
        <w:t>-</w:t>
      </w:r>
      <w:r w:rsidRPr="00C64BA4">
        <w:rPr>
          <w:rFonts w:eastAsia="Tw Cen MT" w:cs="Tw Cen MT"/>
          <w:lang w:val="en"/>
        </w:rPr>
        <w:t xml:space="preserve">less households are largely concentrated within Manchester, particularly the center city. Seniors are much more evenly distributed around the region with </w:t>
      </w:r>
      <w:proofErr w:type="gramStart"/>
      <w:r w:rsidRPr="00C64BA4">
        <w:rPr>
          <w:rFonts w:eastAsia="Tw Cen MT" w:cs="Tw Cen MT"/>
          <w:lang w:val="en"/>
        </w:rPr>
        <w:t>particular census</w:t>
      </w:r>
      <w:proofErr w:type="gramEnd"/>
      <w:r w:rsidRPr="00C64BA4">
        <w:rPr>
          <w:rFonts w:eastAsia="Tw Cen MT" w:cs="Tw Cen MT"/>
          <w:lang w:val="en"/>
        </w:rPr>
        <w:t xml:space="preserve"> tracts exceeding normal levels due to </w:t>
      </w:r>
      <w:r w:rsidR="009B0989" w:rsidRPr="00C64BA4">
        <w:rPr>
          <w:rFonts w:eastAsia="Tw Cen MT" w:cs="Tw Cen MT"/>
          <w:lang w:val="en"/>
        </w:rPr>
        <w:t>large, assisted</w:t>
      </w:r>
      <w:r w:rsidRPr="00C64BA4">
        <w:rPr>
          <w:rFonts w:eastAsia="Tw Cen MT" w:cs="Tw Cen MT"/>
          <w:lang w:val="en"/>
        </w:rPr>
        <w:t xml:space="preserve"> living facilities (such as the Hillsborough County Nursing Home in Goffstown). Residents living with a disability also see a more equal occurrence across the region with hot spots again occurring in Manchester’s center city</w:t>
      </w:r>
      <w:r w:rsidR="00897165">
        <w:rPr>
          <w:rFonts w:eastAsia="Tw Cen MT" w:cs="Tw Cen MT"/>
          <w:lang w:val="en"/>
        </w:rPr>
        <w:t>. Full maps of each community of concern’s distribution can be found in Appendix C</w:t>
      </w:r>
      <w:r w:rsidRPr="00C64BA4">
        <w:rPr>
          <w:rFonts w:eastAsia="Tw Cen MT" w:cs="Tw Cen MT"/>
          <w:lang w:val="en"/>
        </w:rPr>
        <w:t>.</w:t>
      </w:r>
    </w:p>
    <w:p w14:paraId="4D3B9257" w14:textId="6A985616" w:rsidR="006E5BE8" w:rsidRDefault="006E5BE8" w:rsidP="00206C45">
      <w:pPr>
        <w:pStyle w:val="Caption"/>
        <w:keepNext/>
        <w:spacing w:line="300" w:lineRule="auto"/>
      </w:pPr>
      <w:bookmarkStart w:id="103" w:name="_Toc128137911"/>
      <w:r>
        <w:t xml:space="preserve">Table </w:t>
      </w:r>
      <w:r w:rsidR="0062538A">
        <w:fldChar w:fldCharType="begin"/>
      </w:r>
      <w:r w:rsidR="0062538A">
        <w:instrText xml:space="preserve"> SEQ Table \* ARABIC </w:instrText>
      </w:r>
      <w:r w:rsidR="0062538A">
        <w:fldChar w:fldCharType="separate"/>
      </w:r>
      <w:r w:rsidR="008B512A">
        <w:rPr>
          <w:noProof/>
        </w:rPr>
        <w:t>20</w:t>
      </w:r>
      <w:r w:rsidR="0062538A">
        <w:rPr>
          <w:noProof/>
        </w:rPr>
        <w:fldChar w:fldCharType="end"/>
      </w:r>
      <w:r>
        <w:t>: Communities of Concern</w:t>
      </w:r>
      <w:bookmarkEnd w:id="103"/>
    </w:p>
    <w:tbl>
      <w:tblPr>
        <w:tblW w:w="9021" w:type="dxa"/>
        <w:jc w:val="center"/>
        <w:tblLook w:val="04A0" w:firstRow="1" w:lastRow="0" w:firstColumn="1" w:lastColumn="0" w:noHBand="0" w:noVBand="1"/>
      </w:tblPr>
      <w:tblGrid>
        <w:gridCol w:w="2466"/>
        <w:gridCol w:w="1643"/>
        <w:gridCol w:w="2118"/>
        <w:gridCol w:w="2785"/>
        <w:gridCol w:w="9"/>
      </w:tblGrid>
      <w:tr w:rsidR="00491BF5" w:rsidRPr="00C64BA4" w14:paraId="1DED0B2E" w14:textId="77777777" w:rsidTr="00491BF5">
        <w:trPr>
          <w:trHeight w:val="315"/>
          <w:jc w:val="center"/>
        </w:trPr>
        <w:tc>
          <w:tcPr>
            <w:tcW w:w="2466" w:type="dxa"/>
            <w:tcBorders>
              <w:left w:val="nil"/>
              <w:bottom w:val="single" w:sz="4" w:space="0" w:color="auto"/>
              <w:right w:val="nil"/>
            </w:tcBorders>
            <w:shd w:val="clear" w:color="auto" w:fill="auto"/>
            <w:vAlign w:val="bottom"/>
            <w:hideMark/>
          </w:tcPr>
          <w:p w14:paraId="5486B1AB" w14:textId="788F5F96" w:rsidR="00491BF5" w:rsidRPr="00C64BA4" w:rsidRDefault="00491BF5" w:rsidP="00206C45">
            <w:pPr>
              <w:spacing w:after="0" w:line="300" w:lineRule="auto"/>
              <w:jc w:val="center"/>
              <w:rPr>
                <w:rFonts w:eastAsia="Times New Roman" w:cs="Calibri"/>
                <w:b/>
                <w:bCs/>
                <w:color w:val="595959"/>
              </w:rPr>
            </w:pPr>
            <w:bookmarkStart w:id="104" w:name="_Hlk122521806"/>
            <w:r w:rsidRPr="00C64BA4">
              <w:rPr>
                <w:rFonts w:eastAsia="Times New Roman" w:cs="Calibri"/>
                <w:b/>
                <w:bCs/>
                <w:color w:val="595959"/>
              </w:rPr>
              <w:t>Community of Concern</w:t>
            </w:r>
          </w:p>
        </w:tc>
        <w:tc>
          <w:tcPr>
            <w:tcW w:w="1643" w:type="dxa"/>
            <w:tcBorders>
              <w:left w:val="nil"/>
              <w:bottom w:val="single" w:sz="4" w:space="0" w:color="auto"/>
              <w:right w:val="nil"/>
            </w:tcBorders>
            <w:shd w:val="clear" w:color="auto" w:fill="auto"/>
            <w:vAlign w:val="bottom"/>
            <w:hideMark/>
          </w:tcPr>
          <w:p w14:paraId="4E5ACBAE" w14:textId="77777777" w:rsidR="00491BF5" w:rsidRPr="00C64BA4" w:rsidRDefault="00491BF5" w:rsidP="00206C45">
            <w:pPr>
              <w:spacing w:after="0" w:line="300" w:lineRule="auto"/>
              <w:jc w:val="center"/>
              <w:rPr>
                <w:rFonts w:eastAsia="Times New Roman" w:cs="Calibri"/>
                <w:b/>
                <w:bCs/>
                <w:color w:val="595959"/>
              </w:rPr>
            </w:pPr>
            <w:r w:rsidRPr="00C64BA4">
              <w:rPr>
                <w:rFonts w:eastAsia="Times New Roman" w:cs="Calibri"/>
                <w:b/>
                <w:bCs/>
                <w:color w:val="595959"/>
              </w:rPr>
              <w:t>Regional Rate</w:t>
            </w:r>
          </w:p>
        </w:tc>
        <w:tc>
          <w:tcPr>
            <w:tcW w:w="2118" w:type="dxa"/>
            <w:tcBorders>
              <w:left w:val="nil"/>
              <w:bottom w:val="single" w:sz="4" w:space="0" w:color="auto"/>
              <w:right w:val="nil"/>
            </w:tcBorders>
            <w:shd w:val="clear" w:color="auto" w:fill="auto"/>
            <w:vAlign w:val="bottom"/>
            <w:hideMark/>
          </w:tcPr>
          <w:p w14:paraId="0C44B4E5" w14:textId="77777777" w:rsidR="00491BF5" w:rsidRPr="00C64BA4" w:rsidRDefault="00491BF5" w:rsidP="00206C45">
            <w:pPr>
              <w:spacing w:after="0" w:line="300" w:lineRule="auto"/>
              <w:jc w:val="center"/>
              <w:rPr>
                <w:rFonts w:eastAsia="Times New Roman" w:cs="Calibri"/>
                <w:b/>
                <w:bCs/>
                <w:color w:val="595959"/>
              </w:rPr>
            </w:pPr>
            <w:r w:rsidRPr="00C64BA4">
              <w:rPr>
                <w:rFonts w:eastAsia="Times New Roman" w:cs="Calibri"/>
                <w:b/>
                <w:bCs/>
                <w:color w:val="595959"/>
              </w:rPr>
              <w:t>Standard Deviation</w:t>
            </w:r>
          </w:p>
        </w:tc>
        <w:tc>
          <w:tcPr>
            <w:tcW w:w="2794" w:type="dxa"/>
            <w:gridSpan w:val="2"/>
            <w:tcBorders>
              <w:left w:val="nil"/>
              <w:bottom w:val="single" w:sz="4" w:space="0" w:color="auto"/>
              <w:right w:val="nil"/>
            </w:tcBorders>
            <w:shd w:val="clear" w:color="auto" w:fill="auto"/>
            <w:vAlign w:val="bottom"/>
            <w:hideMark/>
          </w:tcPr>
          <w:p w14:paraId="42DC7122" w14:textId="12BBCF19" w:rsidR="00491BF5" w:rsidRPr="00C64BA4" w:rsidRDefault="00491BF5" w:rsidP="00206C45">
            <w:pPr>
              <w:spacing w:after="0" w:line="300" w:lineRule="auto"/>
              <w:jc w:val="center"/>
              <w:rPr>
                <w:rFonts w:eastAsia="Times New Roman" w:cs="Calibri"/>
                <w:b/>
                <w:bCs/>
                <w:color w:val="595959"/>
              </w:rPr>
            </w:pPr>
            <w:r w:rsidRPr="00C64BA4">
              <w:rPr>
                <w:rFonts w:eastAsia="Times New Roman" w:cs="Calibri"/>
                <w:b/>
                <w:bCs/>
                <w:color w:val="595959"/>
              </w:rPr>
              <w:t>Threshold Rate to Score</w:t>
            </w:r>
          </w:p>
        </w:tc>
      </w:tr>
      <w:tr w:rsidR="00491BF5" w:rsidRPr="00C64BA4" w14:paraId="41640266" w14:textId="77777777" w:rsidTr="00491BF5">
        <w:trPr>
          <w:trHeight w:val="300"/>
          <w:jc w:val="center"/>
        </w:trPr>
        <w:tc>
          <w:tcPr>
            <w:tcW w:w="2466" w:type="dxa"/>
            <w:tcBorders>
              <w:top w:val="nil"/>
              <w:left w:val="nil"/>
              <w:bottom w:val="nil"/>
              <w:right w:val="nil"/>
            </w:tcBorders>
            <w:shd w:val="clear" w:color="auto" w:fill="auto"/>
            <w:vAlign w:val="center"/>
            <w:hideMark/>
          </w:tcPr>
          <w:p w14:paraId="29D2B7C8"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Minority</w:t>
            </w:r>
          </w:p>
        </w:tc>
        <w:tc>
          <w:tcPr>
            <w:tcW w:w="1643" w:type="dxa"/>
            <w:tcBorders>
              <w:top w:val="nil"/>
              <w:left w:val="nil"/>
              <w:bottom w:val="nil"/>
              <w:right w:val="nil"/>
            </w:tcBorders>
            <w:shd w:val="clear" w:color="auto" w:fill="auto"/>
            <w:vAlign w:val="center"/>
            <w:hideMark/>
          </w:tcPr>
          <w:p w14:paraId="13E145DB"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14.6%</w:t>
            </w:r>
          </w:p>
        </w:tc>
        <w:tc>
          <w:tcPr>
            <w:tcW w:w="2118" w:type="dxa"/>
            <w:tcBorders>
              <w:top w:val="nil"/>
              <w:left w:val="nil"/>
              <w:bottom w:val="nil"/>
              <w:right w:val="nil"/>
            </w:tcBorders>
            <w:shd w:val="clear" w:color="auto" w:fill="auto"/>
            <w:vAlign w:val="center"/>
            <w:hideMark/>
          </w:tcPr>
          <w:p w14:paraId="4441A000"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12.9%</w:t>
            </w:r>
          </w:p>
        </w:tc>
        <w:tc>
          <w:tcPr>
            <w:tcW w:w="2794" w:type="dxa"/>
            <w:gridSpan w:val="2"/>
            <w:tcBorders>
              <w:top w:val="nil"/>
              <w:left w:val="nil"/>
              <w:bottom w:val="nil"/>
              <w:right w:val="nil"/>
            </w:tcBorders>
            <w:shd w:val="clear" w:color="auto" w:fill="auto"/>
            <w:vAlign w:val="center"/>
            <w:hideMark/>
          </w:tcPr>
          <w:p w14:paraId="24A3F7BE"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27.5%</w:t>
            </w:r>
          </w:p>
        </w:tc>
      </w:tr>
      <w:tr w:rsidR="00491BF5" w:rsidRPr="00C64BA4" w14:paraId="254319EB" w14:textId="77777777" w:rsidTr="00491BF5">
        <w:trPr>
          <w:trHeight w:val="300"/>
          <w:jc w:val="center"/>
        </w:trPr>
        <w:tc>
          <w:tcPr>
            <w:tcW w:w="2466" w:type="dxa"/>
            <w:tcBorders>
              <w:top w:val="single" w:sz="4" w:space="0" w:color="auto"/>
              <w:left w:val="nil"/>
              <w:bottom w:val="single" w:sz="4" w:space="0" w:color="auto"/>
              <w:right w:val="nil"/>
            </w:tcBorders>
            <w:shd w:val="clear" w:color="000000" w:fill="F2F2F2"/>
            <w:vAlign w:val="center"/>
            <w:hideMark/>
          </w:tcPr>
          <w:p w14:paraId="34BCDCBF"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Poverty</w:t>
            </w:r>
          </w:p>
        </w:tc>
        <w:tc>
          <w:tcPr>
            <w:tcW w:w="1643" w:type="dxa"/>
            <w:tcBorders>
              <w:top w:val="single" w:sz="4" w:space="0" w:color="auto"/>
              <w:left w:val="nil"/>
              <w:bottom w:val="single" w:sz="4" w:space="0" w:color="auto"/>
              <w:right w:val="nil"/>
            </w:tcBorders>
            <w:shd w:val="clear" w:color="000000" w:fill="F2F2F2"/>
            <w:vAlign w:val="center"/>
            <w:hideMark/>
          </w:tcPr>
          <w:p w14:paraId="4C6D4F1F"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7.7%</w:t>
            </w:r>
          </w:p>
        </w:tc>
        <w:tc>
          <w:tcPr>
            <w:tcW w:w="2118" w:type="dxa"/>
            <w:tcBorders>
              <w:top w:val="single" w:sz="4" w:space="0" w:color="auto"/>
              <w:left w:val="nil"/>
              <w:bottom w:val="single" w:sz="4" w:space="0" w:color="auto"/>
              <w:right w:val="nil"/>
            </w:tcBorders>
            <w:shd w:val="clear" w:color="000000" w:fill="F2F2F2"/>
            <w:vAlign w:val="center"/>
            <w:hideMark/>
          </w:tcPr>
          <w:p w14:paraId="188139E5"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7.7%</w:t>
            </w:r>
          </w:p>
        </w:tc>
        <w:tc>
          <w:tcPr>
            <w:tcW w:w="2794" w:type="dxa"/>
            <w:gridSpan w:val="2"/>
            <w:tcBorders>
              <w:top w:val="single" w:sz="4" w:space="0" w:color="auto"/>
              <w:left w:val="nil"/>
              <w:bottom w:val="single" w:sz="4" w:space="0" w:color="auto"/>
              <w:right w:val="nil"/>
            </w:tcBorders>
            <w:shd w:val="clear" w:color="000000" w:fill="F2F2F2"/>
            <w:vAlign w:val="center"/>
            <w:hideMark/>
          </w:tcPr>
          <w:p w14:paraId="3096D3AB"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15.4%</w:t>
            </w:r>
          </w:p>
        </w:tc>
      </w:tr>
      <w:tr w:rsidR="00491BF5" w:rsidRPr="00C64BA4" w14:paraId="705D8F9D" w14:textId="77777777" w:rsidTr="00491BF5">
        <w:trPr>
          <w:trHeight w:val="300"/>
          <w:jc w:val="center"/>
        </w:trPr>
        <w:tc>
          <w:tcPr>
            <w:tcW w:w="2466" w:type="dxa"/>
            <w:tcBorders>
              <w:top w:val="nil"/>
              <w:left w:val="nil"/>
              <w:bottom w:val="nil"/>
              <w:right w:val="nil"/>
            </w:tcBorders>
            <w:shd w:val="clear" w:color="auto" w:fill="auto"/>
            <w:vAlign w:val="center"/>
            <w:hideMark/>
          </w:tcPr>
          <w:p w14:paraId="1A461B33"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LEP</w:t>
            </w:r>
          </w:p>
        </w:tc>
        <w:tc>
          <w:tcPr>
            <w:tcW w:w="1643" w:type="dxa"/>
            <w:tcBorders>
              <w:top w:val="nil"/>
              <w:left w:val="nil"/>
              <w:bottom w:val="nil"/>
              <w:right w:val="nil"/>
            </w:tcBorders>
            <w:shd w:val="clear" w:color="auto" w:fill="auto"/>
            <w:vAlign w:val="center"/>
            <w:hideMark/>
          </w:tcPr>
          <w:p w14:paraId="0E8E2A4E"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4.5%</w:t>
            </w:r>
          </w:p>
        </w:tc>
        <w:tc>
          <w:tcPr>
            <w:tcW w:w="2118" w:type="dxa"/>
            <w:tcBorders>
              <w:top w:val="nil"/>
              <w:left w:val="nil"/>
              <w:bottom w:val="nil"/>
              <w:right w:val="nil"/>
            </w:tcBorders>
            <w:shd w:val="clear" w:color="auto" w:fill="auto"/>
            <w:vAlign w:val="center"/>
            <w:hideMark/>
          </w:tcPr>
          <w:p w14:paraId="7EF99D57"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7.2%</w:t>
            </w:r>
          </w:p>
        </w:tc>
        <w:tc>
          <w:tcPr>
            <w:tcW w:w="2794" w:type="dxa"/>
            <w:gridSpan w:val="2"/>
            <w:tcBorders>
              <w:top w:val="nil"/>
              <w:left w:val="nil"/>
              <w:bottom w:val="nil"/>
              <w:right w:val="nil"/>
            </w:tcBorders>
            <w:shd w:val="clear" w:color="auto" w:fill="auto"/>
            <w:vAlign w:val="center"/>
            <w:hideMark/>
          </w:tcPr>
          <w:p w14:paraId="49161CD9"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11.6%</w:t>
            </w:r>
          </w:p>
        </w:tc>
      </w:tr>
      <w:tr w:rsidR="00491BF5" w:rsidRPr="00C64BA4" w14:paraId="2D10E611" w14:textId="77777777" w:rsidTr="00491BF5">
        <w:trPr>
          <w:trHeight w:val="300"/>
          <w:jc w:val="center"/>
        </w:trPr>
        <w:tc>
          <w:tcPr>
            <w:tcW w:w="2466" w:type="dxa"/>
            <w:tcBorders>
              <w:top w:val="single" w:sz="4" w:space="0" w:color="auto"/>
              <w:left w:val="nil"/>
              <w:bottom w:val="single" w:sz="4" w:space="0" w:color="auto"/>
              <w:right w:val="nil"/>
            </w:tcBorders>
            <w:shd w:val="clear" w:color="000000" w:fill="F2F2F2"/>
            <w:vAlign w:val="center"/>
            <w:hideMark/>
          </w:tcPr>
          <w:p w14:paraId="505B719F"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Senior</w:t>
            </w:r>
          </w:p>
        </w:tc>
        <w:tc>
          <w:tcPr>
            <w:tcW w:w="1643" w:type="dxa"/>
            <w:tcBorders>
              <w:top w:val="single" w:sz="4" w:space="0" w:color="auto"/>
              <w:left w:val="nil"/>
              <w:bottom w:val="single" w:sz="4" w:space="0" w:color="auto"/>
              <w:right w:val="nil"/>
            </w:tcBorders>
            <w:shd w:val="clear" w:color="000000" w:fill="F2F2F2"/>
            <w:vAlign w:val="center"/>
            <w:hideMark/>
          </w:tcPr>
          <w:p w14:paraId="5F22B6B4"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14.2%</w:t>
            </w:r>
          </w:p>
        </w:tc>
        <w:tc>
          <w:tcPr>
            <w:tcW w:w="2118" w:type="dxa"/>
            <w:tcBorders>
              <w:top w:val="single" w:sz="4" w:space="0" w:color="auto"/>
              <w:left w:val="nil"/>
              <w:bottom w:val="single" w:sz="4" w:space="0" w:color="auto"/>
              <w:right w:val="nil"/>
            </w:tcBorders>
            <w:shd w:val="clear" w:color="000000" w:fill="F2F2F2"/>
            <w:vAlign w:val="center"/>
            <w:hideMark/>
          </w:tcPr>
          <w:p w14:paraId="51C7FE57"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5.0%</w:t>
            </w:r>
          </w:p>
        </w:tc>
        <w:tc>
          <w:tcPr>
            <w:tcW w:w="2794" w:type="dxa"/>
            <w:gridSpan w:val="2"/>
            <w:tcBorders>
              <w:top w:val="single" w:sz="4" w:space="0" w:color="auto"/>
              <w:left w:val="nil"/>
              <w:bottom w:val="single" w:sz="4" w:space="0" w:color="auto"/>
              <w:right w:val="nil"/>
            </w:tcBorders>
            <w:shd w:val="clear" w:color="000000" w:fill="F2F2F2"/>
            <w:vAlign w:val="center"/>
            <w:hideMark/>
          </w:tcPr>
          <w:p w14:paraId="00753F7A"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19.2%</w:t>
            </w:r>
          </w:p>
        </w:tc>
      </w:tr>
      <w:tr w:rsidR="00491BF5" w:rsidRPr="00C64BA4" w14:paraId="1464ADDD" w14:textId="77777777" w:rsidTr="00491BF5">
        <w:trPr>
          <w:trHeight w:val="300"/>
          <w:jc w:val="center"/>
        </w:trPr>
        <w:tc>
          <w:tcPr>
            <w:tcW w:w="2466" w:type="dxa"/>
            <w:tcBorders>
              <w:top w:val="nil"/>
              <w:left w:val="nil"/>
              <w:bottom w:val="nil"/>
              <w:right w:val="nil"/>
            </w:tcBorders>
            <w:shd w:val="clear" w:color="auto" w:fill="auto"/>
            <w:vAlign w:val="center"/>
            <w:hideMark/>
          </w:tcPr>
          <w:p w14:paraId="7C56DD3C"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Disability</w:t>
            </w:r>
          </w:p>
        </w:tc>
        <w:tc>
          <w:tcPr>
            <w:tcW w:w="1643" w:type="dxa"/>
            <w:tcBorders>
              <w:top w:val="nil"/>
              <w:left w:val="nil"/>
              <w:bottom w:val="nil"/>
              <w:right w:val="nil"/>
            </w:tcBorders>
            <w:shd w:val="clear" w:color="auto" w:fill="auto"/>
            <w:vAlign w:val="center"/>
            <w:hideMark/>
          </w:tcPr>
          <w:p w14:paraId="2B7241F1"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12.0%</w:t>
            </w:r>
          </w:p>
        </w:tc>
        <w:tc>
          <w:tcPr>
            <w:tcW w:w="2118" w:type="dxa"/>
            <w:tcBorders>
              <w:top w:val="nil"/>
              <w:left w:val="nil"/>
              <w:bottom w:val="nil"/>
              <w:right w:val="nil"/>
            </w:tcBorders>
            <w:shd w:val="clear" w:color="auto" w:fill="auto"/>
            <w:vAlign w:val="center"/>
            <w:hideMark/>
          </w:tcPr>
          <w:p w14:paraId="59589570"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4.9%</w:t>
            </w:r>
          </w:p>
        </w:tc>
        <w:tc>
          <w:tcPr>
            <w:tcW w:w="2794" w:type="dxa"/>
            <w:gridSpan w:val="2"/>
            <w:tcBorders>
              <w:top w:val="nil"/>
              <w:left w:val="nil"/>
              <w:bottom w:val="nil"/>
              <w:right w:val="nil"/>
            </w:tcBorders>
            <w:shd w:val="clear" w:color="auto" w:fill="auto"/>
            <w:vAlign w:val="center"/>
            <w:hideMark/>
          </w:tcPr>
          <w:p w14:paraId="3669D031"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16.9%</w:t>
            </w:r>
          </w:p>
        </w:tc>
      </w:tr>
      <w:tr w:rsidR="00491BF5" w:rsidRPr="00C64BA4" w14:paraId="4321146C" w14:textId="77777777" w:rsidTr="00491BF5">
        <w:trPr>
          <w:trHeight w:val="300"/>
          <w:jc w:val="center"/>
        </w:trPr>
        <w:tc>
          <w:tcPr>
            <w:tcW w:w="2466" w:type="dxa"/>
            <w:tcBorders>
              <w:top w:val="single" w:sz="4" w:space="0" w:color="auto"/>
              <w:left w:val="nil"/>
              <w:bottom w:val="nil"/>
              <w:right w:val="nil"/>
            </w:tcBorders>
            <w:shd w:val="clear" w:color="000000" w:fill="F2F2F2"/>
            <w:vAlign w:val="center"/>
            <w:hideMark/>
          </w:tcPr>
          <w:p w14:paraId="756EA464"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No Vehicle</w:t>
            </w:r>
          </w:p>
        </w:tc>
        <w:tc>
          <w:tcPr>
            <w:tcW w:w="1643" w:type="dxa"/>
            <w:tcBorders>
              <w:top w:val="single" w:sz="4" w:space="0" w:color="auto"/>
              <w:left w:val="nil"/>
              <w:bottom w:val="nil"/>
              <w:right w:val="nil"/>
            </w:tcBorders>
            <w:shd w:val="clear" w:color="000000" w:fill="F2F2F2"/>
            <w:vAlign w:val="center"/>
            <w:hideMark/>
          </w:tcPr>
          <w:p w14:paraId="30A57781"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4.7%</w:t>
            </w:r>
          </w:p>
        </w:tc>
        <w:tc>
          <w:tcPr>
            <w:tcW w:w="2118" w:type="dxa"/>
            <w:tcBorders>
              <w:top w:val="single" w:sz="4" w:space="0" w:color="auto"/>
              <w:left w:val="nil"/>
              <w:bottom w:val="nil"/>
              <w:right w:val="nil"/>
            </w:tcBorders>
            <w:shd w:val="clear" w:color="000000" w:fill="F2F2F2"/>
            <w:vAlign w:val="center"/>
            <w:hideMark/>
          </w:tcPr>
          <w:p w14:paraId="56E66E59"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6.4%</w:t>
            </w:r>
          </w:p>
        </w:tc>
        <w:tc>
          <w:tcPr>
            <w:tcW w:w="2794" w:type="dxa"/>
            <w:gridSpan w:val="2"/>
            <w:tcBorders>
              <w:top w:val="single" w:sz="4" w:space="0" w:color="auto"/>
              <w:left w:val="nil"/>
              <w:bottom w:val="nil"/>
              <w:right w:val="nil"/>
            </w:tcBorders>
            <w:shd w:val="clear" w:color="000000" w:fill="F2F2F2"/>
            <w:vAlign w:val="center"/>
            <w:hideMark/>
          </w:tcPr>
          <w:p w14:paraId="6124280B" w14:textId="77777777" w:rsidR="00491BF5" w:rsidRPr="00C64BA4" w:rsidRDefault="00491BF5" w:rsidP="00206C45">
            <w:pPr>
              <w:spacing w:after="0" w:line="300" w:lineRule="auto"/>
              <w:jc w:val="center"/>
              <w:rPr>
                <w:rFonts w:eastAsia="Times New Roman" w:cs="Calibri"/>
                <w:color w:val="000000"/>
              </w:rPr>
            </w:pPr>
            <w:r w:rsidRPr="00C64BA4">
              <w:rPr>
                <w:rFonts w:eastAsia="Times New Roman" w:cs="Calibri"/>
                <w:color w:val="000000"/>
              </w:rPr>
              <w:t>11.1%</w:t>
            </w:r>
          </w:p>
        </w:tc>
      </w:tr>
      <w:tr w:rsidR="00491BF5" w:rsidRPr="00C64BA4" w14:paraId="526C2F87" w14:textId="77777777" w:rsidTr="00491BF5">
        <w:trPr>
          <w:gridAfter w:val="1"/>
          <w:wAfter w:w="9" w:type="dxa"/>
          <w:trHeight w:val="300"/>
          <w:jc w:val="center"/>
        </w:trPr>
        <w:tc>
          <w:tcPr>
            <w:tcW w:w="9012" w:type="dxa"/>
            <w:gridSpan w:val="4"/>
            <w:tcBorders>
              <w:top w:val="nil"/>
              <w:left w:val="nil"/>
              <w:bottom w:val="nil"/>
              <w:right w:val="nil"/>
            </w:tcBorders>
            <w:shd w:val="clear" w:color="auto" w:fill="auto"/>
            <w:vAlign w:val="center"/>
            <w:hideMark/>
          </w:tcPr>
          <w:p w14:paraId="671958AF" w14:textId="77777777" w:rsidR="00491BF5" w:rsidRPr="00C64BA4" w:rsidRDefault="00491BF5"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US Census Bureau</w:t>
            </w:r>
            <w:r w:rsidRPr="00C64BA4">
              <w:rPr>
                <w:rFonts w:eastAsia="Times New Roman" w:cs="Calibri"/>
                <w:color w:val="003CB4"/>
                <w:sz w:val="20"/>
                <w:szCs w:val="20"/>
                <w:u w:val="single"/>
              </w:rPr>
              <w:t xml:space="preserve"> </w:t>
            </w:r>
          </w:p>
        </w:tc>
      </w:tr>
    </w:tbl>
    <w:bookmarkEnd w:id="104"/>
    <w:p w14:paraId="5D06EBDF" w14:textId="30E789F4" w:rsidR="00FB3623" w:rsidRPr="00C64BA4" w:rsidRDefault="09A70516" w:rsidP="00206C45">
      <w:pPr>
        <w:spacing w:line="300" w:lineRule="auto"/>
        <w:jc w:val="both"/>
        <w:rPr>
          <w:rFonts w:eastAsia="Tw Cen MT" w:cs="Tw Cen MT"/>
          <w:lang w:val="en"/>
        </w:rPr>
      </w:pPr>
      <w:r w:rsidRPr="00C64BA4">
        <w:rPr>
          <w:rFonts w:eastAsia="Tw Cen MT" w:cs="Tw Cen MT"/>
          <w:lang w:val="en"/>
        </w:rPr>
        <w:t xml:space="preserve"> </w:t>
      </w:r>
    </w:p>
    <w:p w14:paraId="5AB72EEE" w14:textId="48BBAC5E" w:rsidR="00FB3623" w:rsidRPr="00C64BA4" w:rsidRDefault="09A70516" w:rsidP="00206C45">
      <w:pPr>
        <w:spacing w:line="300" w:lineRule="auto"/>
        <w:jc w:val="both"/>
        <w:rPr>
          <w:rFonts w:eastAsia="Tw Cen MT" w:cs="Tw Cen MT"/>
          <w:lang w:val="en"/>
        </w:rPr>
      </w:pPr>
      <w:r w:rsidRPr="00C64BA4">
        <w:rPr>
          <w:rFonts w:eastAsia="Tw Cen MT" w:cs="Tw Cen MT"/>
          <w:lang w:val="en"/>
        </w:rPr>
        <w:t xml:space="preserve">A prioritization index was developed to highlight areas where they communities of concern overlapped. The regional rate for each group was determined and census tracts which exceeded one standard deviation above the regional rate were identified. </w:t>
      </w:r>
      <w:proofErr w:type="gramStart"/>
      <w:r w:rsidRPr="00C64BA4">
        <w:rPr>
          <w:rFonts w:eastAsia="Tw Cen MT" w:cs="Tw Cen MT"/>
          <w:lang w:val="en"/>
        </w:rPr>
        <w:t>On account of</w:t>
      </w:r>
      <w:proofErr w:type="gramEnd"/>
      <w:r w:rsidRPr="00C64BA4">
        <w:rPr>
          <w:rFonts w:eastAsia="Tw Cen MT" w:cs="Tw Cen MT"/>
          <w:lang w:val="en"/>
        </w:rPr>
        <w:t xml:space="preserve"> SNHPC’s MPO’s additional obligations to Title VI/EJ classes, tracts more than a standard deviation above the regional rate for minority, poverty, and LEP were given a score of two. Tracts above the regional rate for other groups were assigned a score of 1.</w:t>
      </w:r>
    </w:p>
    <w:p w14:paraId="319A5A2B" w14:textId="77777777" w:rsidR="00491BF5" w:rsidRPr="00C64BA4" w:rsidRDefault="00491BF5" w:rsidP="00206C45">
      <w:pPr>
        <w:spacing w:line="300" w:lineRule="auto"/>
      </w:pPr>
      <w:r w:rsidRPr="00C64BA4">
        <w:br w:type="page"/>
      </w:r>
    </w:p>
    <w:p w14:paraId="27DC6303" w14:textId="0B5FF2AC" w:rsidR="006E5BE8" w:rsidRDefault="006E5BE8" w:rsidP="00206C45">
      <w:pPr>
        <w:pStyle w:val="Caption"/>
        <w:keepNext/>
        <w:spacing w:line="300" w:lineRule="auto"/>
      </w:pPr>
      <w:bookmarkStart w:id="105" w:name="_Toc128137912"/>
      <w:r>
        <w:lastRenderedPageBreak/>
        <w:t xml:space="preserve">Table </w:t>
      </w:r>
      <w:r w:rsidR="0062538A">
        <w:fldChar w:fldCharType="begin"/>
      </w:r>
      <w:r w:rsidR="0062538A">
        <w:instrText xml:space="preserve"> SEQ Table \* ARABIC </w:instrText>
      </w:r>
      <w:r w:rsidR="0062538A">
        <w:fldChar w:fldCharType="separate"/>
      </w:r>
      <w:r w:rsidR="008B512A">
        <w:rPr>
          <w:noProof/>
        </w:rPr>
        <w:t>21</w:t>
      </w:r>
      <w:r w:rsidR="0062538A">
        <w:rPr>
          <w:noProof/>
        </w:rPr>
        <w:fldChar w:fldCharType="end"/>
      </w:r>
      <w:r>
        <w:t>: Communities of Concern- Scoring Thresholds</w:t>
      </w:r>
      <w:bookmarkEnd w:id="105"/>
    </w:p>
    <w:tbl>
      <w:tblPr>
        <w:tblW w:w="7120" w:type="dxa"/>
        <w:jc w:val="center"/>
        <w:tblLook w:val="04A0" w:firstRow="1" w:lastRow="0" w:firstColumn="1" w:lastColumn="0" w:noHBand="0" w:noVBand="1"/>
      </w:tblPr>
      <w:tblGrid>
        <w:gridCol w:w="2500"/>
        <w:gridCol w:w="2000"/>
        <w:gridCol w:w="2620"/>
      </w:tblGrid>
      <w:tr w:rsidR="00491BF5" w:rsidRPr="00C64BA4" w14:paraId="4D667A68" w14:textId="77777777" w:rsidTr="00491BF5">
        <w:trPr>
          <w:trHeight w:val="300"/>
          <w:jc w:val="center"/>
        </w:trPr>
        <w:tc>
          <w:tcPr>
            <w:tcW w:w="2500" w:type="dxa"/>
            <w:tcBorders>
              <w:top w:val="nil"/>
              <w:left w:val="nil"/>
              <w:bottom w:val="single" w:sz="4" w:space="0" w:color="auto"/>
              <w:right w:val="nil"/>
            </w:tcBorders>
            <w:shd w:val="clear" w:color="000000" w:fill="FFFFFF"/>
            <w:vAlign w:val="center"/>
            <w:hideMark/>
          </w:tcPr>
          <w:p w14:paraId="1A926F9E" w14:textId="77777777" w:rsidR="00491BF5" w:rsidRPr="00C64BA4" w:rsidRDefault="00491BF5" w:rsidP="00206C45">
            <w:pPr>
              <w:spacing w:after="0" w:line="300" w:lineRule="auto"/>
              <w:jc w:val="center"/>
              <w:rPr>
                <w:rFonts w:eastAsia="Times New Roman" w:cs="Calibri"/>
                <w:b/>
                <w:bCs/>
                <w:color w:val="595959"/>
              </w:rPr>
            </w:pPr>
            <w:bookmarkStart w:id="106" w:name="_Hlk122521857"/>
            <w:r w:rsidRPr="00C64BA4">
              <w:rPr>
                <w:rFonts w:eastAsia="Times New Roman" w:cs="Calibri"/>
                <w:b/>
                <w:bCs/>
                <w:color w:val="595959"/>
              </w:rPr>
              <w:t>Community of Concern</w:t>
            </w:r>
          </w:p>
        </w:tc>
        <w:tc>
          <w:tcPr>
            <w:tcW w:w="2000" w:type="dxa"/>
            <w:tcBorders>
              <w:top w:val="nil"/>
              <w:left w:val="nil"/>
              <w:bottom w:val="single" w:sz="4" w:space="0" w:color="auto"/>
              <w:right w:val="nil"/>
            </w:tcBorders>
            <w:shd w:val="clear" w:color="000000" w:fill="FFFFFF"/>
            <w:vAlign w:val="center"/>
            <w:hideMark/>
          </w:tcPr>
          <w:p w14:paraId="7ED0BE70" w14:textId="77777777" w:rsidR="00491BF5" w:rsidRPr="00C64BA4" w:rsidRDefault="00491BF5" w:rsidP="00206C45">
            <w:pPr>
              <w:spacing w:after="0" w:line="300" w:lineRule="auto"/>
              <w:jc w:val="center"/>
              <w:rPr>
                <w:rFonts w:eastAsia="Times New Roman" w:cs="Calibri"/>
                <w:b/>
                <w:bCs/>
                <w:color w:val="595959"/>
              </w:rPr>
            </w:pPr>
            <w:r w:rsidRPr="00C64BA4">
              <w:rPr>
                <w:rFonts w:eastAsia="Times New Roman" w:cs="Calibri"/>
                <w:b/>
                <w:bCs/>
                <w:color w:val="595959"/>
              </w:rPr>
              <w:t>Scoring Threshold</w:t>
            </w:r>
          </w:p>
        </w:tc>
        <w:tc>
          <w:tcPr>
            <w:tcW w:w="2620" w:type="dxa"/>
            <w:tcBorders>
              <w:top w:val="nil"/>
              <w:left w:val="nil"/>
              <w:bottom w:val="single" w:sz="4" w:space="0" w:color="auto"/>
              <w:right w:val="nil"/>
            </w:tcBorders>
            <w:shd w:val="clear" w:color="000000" w:fill="FFFFFF"/>
            <w:vAlign w:val="center"/>
            <w:hideMark/>
          </w:tcPr>
          <w:p w14:paraId="2926B7D0" w14:textId="77777777" w:rsidR="00491BF5" w:rsidRPr="00C64BA4" w:rsidRDefault="00491BF5" w:rsidP="00206C45">
            <w:pPr>
              <w:spacing w:after="0" w:line="300" w:lineRule="auto"/>
              <w:jc w:val="center"/>
              <w:rPr>
                <w:rFonts w:eastAsia="Times New Roman" w:cs="Calibri"/>
                <w:b/>
                <w:bCs/>
                <w:color w:val="595959"/>
              </w:rPr>
            </w:pPr>
            <w:r w:rsidRPr="00C64BA4">
              <w:rPr>
                <w:rFonts w:eastAsia="Times New Roman" w:cs="Calibri"/>
                <w:b/>
                <w:bCs/>
                <w:color w:val="595959"/>
              </w:rPr>
              <w:t>Points Assigned</w:t>
            </w:r>
          </w:p>
        </w:tc>
      </w:tr>
      <w:tr w:rsidR="00491BF5" w:rsidRPr="00C64BA4" w14:paraId="64CC2623" w14:textId="77777777" w:rsidTr="00491BF5">
        <w:trPr>
          <w:trHeight w:val="300"/>
          <w:jc w:val="center"/>
        </w:trPr>
        <w:tc>
          <w:tcPr>
            <w:tcW w:w="2500" w:type="dxa"/>
            <w:tcBorders>
              <w:top w:val="nil"/>
              <w:left w:val="nil"/>
              <w:bottom w:val="nil"/>
              <w:right w:val="nil"/>
            </w:tcBorders>
            <w:shd w:val="clear" w:color="000000" w:fill="FFFFFF"/>
            <w:vAlign w:val="center"/>
            <w:hideMark/>
          </w:tcPr>
          <w:p w14:paraId="6F72CB6F"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Minority Individuals</w:t>
            </w:r>
          </w:p>
        </w:tc>
        <w:tc>
          <w:tcPr>
            <w:tcW w:w="2000" w:type="dxa"/>
            <w:vMerge w:val="restart"/>
            <w:tcBorders>
              <w:top w:val="nil"/>
              <w:left w:val="nil"/>
              <w:bottom w:val="nil"/>
              <w:right w:val="nil"/>
            </w:tcBorders>
            <w:shd w:val="clear" w:color="000000" w:fill="FFFFFF"/>
            <w:vAlign w:val="center"/>
            <w:hideMark/>
          </w:tcPr>
          <w:p w14:paraId="21F3517E"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One Standard Deviation Above the SNHPC Regional Rate</w:t>
            </w:r>
          </w:p>
        </w:tc>
        <w:tc>
          <w:tcPr>
            <w:tcW w:w="2620" w:type="dxa"/>
            <w:tcBorders>
              <w:top w:val="nil"/>
              <w:left w:val="nil"/>
              <w:bottom w:val="nil"/>
              <w:right w:val="nil"/>
            </w:tcBorders>
            <w:shd w:val="clear" w:color="000000" w:fill="FFFFFF"/>
            <w:vAlign w:val="center"/>
            <w:hideMark/>
          </w:tcPr>
          <w:p w14:paraId="0E8A2578"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2 Points (Title VI/EJ Class)</w:t>
            </w:r>
          </w:p>
        </w:tc>
      </w:tr>
      <w:tr w:rsidR="00491BF5" w:rsidRPr="00C64BA4" w14:paraId="6005E048" w14:textId="77777777" w:rsidTr="00491BF5">
        <w:trPr>
          <w:trHeight w:val="570"/>
          <w:jc w:val="center"/>
        </w:trPr>
        <w:tc>
          <w:tcPr>
            <w:tcW w:w="2500" w:type="dxa"/>
            <w:tcBorders>
              <w:top w:val="single" w:sz="4" w:space="0" w:color="auto"/>
              <w:left w:val="nil"/>
              <w:bottom w:val="single" w:sz="4" w:space="0" w:color="auto"/>
              <w:right w:val="nil"/>
            </w:tcBorders>
            <w:shd w:val="clear" w:color="000000" w:fill="F2F2F2"/>
            <w:vAlign w:val="center"/>
            <w:hideMark/>
          </w:tcPr>
          <w:p w14:paraId="06DFF9BD"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Individuals below the Poverty Threshold</w:t>
            </w:r>
          </w:p>
        </w:tc>
        <w:tc>
          <w:tcPr>
            <w:tcW w:w="2000" w:type="dxa"/>
            <w:vMerge/>
            <w:tcBorders>
              <w:top w:val="nil"/>
              <w:left w:val="nil"/>
              <w:bottom w:val="nil"/>
              <w:right w:val="nil"/>
            </w:tcBorders>
            <w:vAlign w:val="center"/>
            <w:hideMark/>
          </w:tcPr>
          <w:p w14:paraId="597C8626" w14:textId="77777777" w:rsidR="00491BF5" w:rsidRPr="00C64BA4" w:rsidRDefault="00491BF5" w:rsidP="00206C45">
            <w:pPr>
              <w:spacing w:after="0" w:line="300" w:lineRule="auto"/>
              <w:rPr>
                <w:rFonts w:eastAsia="Times New Roman" w:cs="Calibri"/>
              </w:rPr>
            </w:pPr>
          </w:p>
        </w:tc>
        <w:tc>
          <w:tcPr>
            <w:tcW w:w="2620" w:type="dxa"/>
            <w:tcBorders>
              <w:top w:val="single" w:sz="4" w:space="0" w:color="auto"/>
              <w:left w:val="nil"/>
              <w:bottom w:val="single" w:sz="4" w:space="0" w:color="auto"/>
              <w:right w:val="nil"/>
            </w:tcBorders>
            <w:shd w:val="clear" w:color="000000" w:fill="F2F2F2"/>
            <w:vAlign w:val="center"/>
            <w:hideMark/>
          </w:tcPr>
          <w:p w14:paraId="19334C61"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2 Points (Title VI/EJ Class)</w:t>
            </w:r>
          </w:p>
        </w:tc>
      </w:tr>
      <w:tr w:rsidR="00491BF5" w:rsidRPr="00C64BA4" w14:paraId="1720D55F" w14:textId="77777777" w:rsidTr="00491BF5">
        <w:trPr>
          <w:trHeight w:val="570"/>
          <w:jc w:val="center"/>
        </w:trPr>
        <w:tc>
          <w:tcPr>
            <w:tcW w:w="2500" w:type="dxa"/>
            <w:tcBorders>
              <w:top w:val="nil"/>
              <w:left w:val="nil"/>
              <w:bottom w:val="nil"/>
              <w:right w:val="nil"/>
            </w:tcBorders>
            <w:shd w:val="clear" w:color="000000" w:fill="FFFFFF"/>
            <w:vAlign w:val="center"/>
            <w:hideMark/>
          </w:tcPr>
          <w:p w14:paraId="5C7A0917"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Limited English Proficient Individuals</w:t>
            </w:r>
          </w:p>
        </w:tc>
        <w:tc>
          <w:tcPr>
            <w:tcW w:w="2000" w:type="dxa"/>
            <w:vMerge/>
            <w:tcBorders>
              <w:top w:val="nil"/>
              <w:left w:val="nil"/>
              <w:bottom w:val="nil"/>
              <w:right w:val="nil"/>
            </w:tcBorders>
            <w:vAlign w:val="center"/>
            <w:hideMark/>
          </w:tcPr>
          <w:p w14:paraId="50BB9684" w14:textId="77777777" w:rsidR="00491BF5" w:rsidRPr="00C64BA4" w:rsidRDefault="00491BF5" w:rsidP="00206C45">
            <w:pPr>
              <w:spacing w:after="0" w:line="300" w:lineRule="auto"/>
              <w:rPr>
                <w:rFonts w:eastAsia="Times New Roman" w:cs="Calibri"/>
              </w:rPr>
            </w:pPr>
          </w:p>
        </w:tc>
        <w:tc>
          <w:tcPr>
            <w:tcW w:w="2620" w:type="dxa"/>
            <w:tcBorders>
              <w:top w:val="nil"/>
              <w:left w:val="nil"/>
              <w:bottom w:val="nil"/>
              <w:right w:val="nil"/>
            </w:tcBorders>
            <w:shd w:val="clear" w:color="000000" w:fill="FFFFFF"/>
            <w:vAlign w:val="center"/>
            <w:hideMark/>
          </w:tcPr>
          <w:p w14:paraId="478A13A7"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2 Points (Title VI/EJ Class)</w:t>
            </w:r>
          </w:p>
        </w:tc>
      </w:tr>
      <w:tr w:rsidR="00491BF5" w:rsidRPr="00C64BA4" w14:paraId="5DD82118" w14:textId="77777777" w:rsidTr="00491BF5">
        <w:trPr>
          <w:trHeight w:val="300"/>
          <w:jc w:val="center"/>
        </w:trPr>
        <w:tc>
          <w:tcPr>
            <w:tcW w:w="2500" w:type="dxa"/>
            <w:tcBorders>
              <w:top w:val="single" w:sz="4" w:space="0" w:color="auto"/>
              <w:left w:val="nil"/>
              <w:bottom w:val="single" w:sz="4" w:space="0" w:color="auto"/>
              <w:right w:val="nil"/>
            </w:tcBorders>
            <w:shd w:val="clear" w:color="000000" w:fill="F2F2F2"/>
            <w:vAlign w:val="center"/>
            <w:hideMark/>
          </w:tcPr>
          <w:p w14:paraId="61A65FF9"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Individuals 65 or Older</w:t>
            </w:r>
          </w:p>
        </w:tc>
        <w:tc>
          <w:tcPr>
            <w:tcW w:w="2000" w:type="dxa"/>
            <w:vMerge/>
            <w:tcBorders>
              <w:top w:val="nil"/>
              <w:left w:val="nil"/>
              <w:bottom w:val="nil"/>
              <w:right w:val="nil"/>
            </w:tcBorders>
            <w:vAlign w:val="center"/>
            <w:hideMark/>
          </w:tcPr>
          <w:p w14:paraId="46BCB1B7" w14:textId="77777777" w:rsidR="00491BF5" w:rsidRPr="00C64BA4" w:rsidRDefault="00491BF5" w:rsidP="00206C45">
            <w:pPr>
              <w:spacing w:after="0" w:line="300" w:lineRule="auto"/>
              <w:rPr>
                <w:rFonts w:eastAsia="Times New Roman" w:cs="Calibri"/>
              </w:rPr>
            </w:pPr>
          </w:p>
        </w:tc>
        <w:tc>
          <w:tcPr>
            <w:tcW w:w="2620" w:type="dxa"/>
            <w:tcBorders>
              <w:top w:val="single" w:sz="4" w:space="0" w:color="auto"/>
              <w:left w:val="nil"/>
              <w:bottom w:val="single" w:sz="4" w:space="0" w:color="auto"/>
              <w:right w:val="nil"/>
            </w:tcBorders>
            <w:shd w:val="clear" w:color="000000" w:fill="F2F2F2"/>
            <w:vAlign w:val="center"/>
            <w:hideMark/>
          </w:tcPr>
          <w:p w14:paraId="4FFAA6A6"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1 Point (Vulnerable)</w:t>
            </w:r>
          </w:p>
        </w:tc>
      </w:tr>
      <w:tr w:rsidR="00491BF5" w:rsidRPr="00C64BA4" w14:paraId="5751FDC8" w14:textId="77777777" w:rsidTr="00491BF5">
        <w:trPr>
          <w:trHeight w:val="570"/>
          <w:jc w:val="center"/>
        </w:trPr>
        <w:tc>
          <w:tcPr>
            <w:tcW w:w="2500" w:type="dxa"/>
            <w:tcBorders>
              <w:top w:val="nil"/>
              <w:left w:val="nil"/>
              <w:bottom w:val="nil"/>
              <w:right w:val="nil"/>
            </w:tcBorders>
            <w:shd w:val="clear" w:color="000000" w:fill="FFFFFF"/>
            <w:vAlign w:val="center"/>
            <w:hideMark/>
          </w:tcPr>
          <w:p w14:paraId="477A7A0C"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Individuals with a Disability</w:t>
            </w:r>
          </w:p>
        </w:tc>
        <w:tc>
          <w:tcPr>
            <w:tcW w:w="2000" w:type="dxa"/>
            <w:vMerge/>
            <w:tcBorders>
              <w:top w:val="nil"/>
              <w:left w:val="nil"/>
              <w:bottom w:val="nil"/>
              <w:right w:val="nil"/>
            </w:tcBorders>
            <w:vAlign w:val="center"/>
            <w:hideMark/>
          </w:tcPr>
          <w:p w14:paraId="40A90084" w14:textId="77777777" w:rsidR="00491BF5" w:rsidRPr="00C64BA4" w:rsidRDefault="00491BF5" w:rsidP="00206C45">
            <w:pPr>
              <w:spacing w:after="0" w:line="300" w:lineRule="auto"/>
              <w:rPr>
                <w:rFonts w:eastAsia="Times New Roman" w:cs="Calibri"/>
              </w:rPr>
            </w:pPr>
          </w:p>
        </w:tc>
        <w:tc>
          <w:tcPr>
            <w:tcW w:w="2620" w:type="dxa"/>
            <w:tcBorders>
              <w:top w:val="nil"/>
              <w:left w:val="nil"/>
              <w:bottom w:val="nil"/>
              <w:right w:val="nil"/>
            </w:tcBorders>
            <w:shd w:val="clear" w:color="000000" w:fill="FFFFFF"/>
            <w:vAlign w:val="center"/>
            <w:hideMark/>
          </w:tcPr>
          <w:p w14:paraId="2E859FD8"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1 Point (Vulnerable)</w:t>
            </w:r>
          </w:p>
        </w:tc>
      </w:tr>
      <w:tr w:rsidR="00491BF5" w:rsidRPr="00C64BA4" w14:paraId="3A80C61D" w14:textId="77777777" w:rsidTr="00491BF5">
        <w:trPr>
          <w:trHeight w:val="300"/>
          <w:jc w:val="center"/>
        </w:trPr>
        <w:tc>
          <w:tcPr>
            <w:tcW w:w="2500" w:type="dxa"/>
            <w:tcBorders>
              <w:top w:val="single" w:sz="4" w:space="0" w:color="auto"/>
              <w:left w:val="nil"/>
              <w:bottom w:val="nil"/>
              <w:right w:val="nil"/>
            </w:tcBorders>
            <w:shd w:val="clear" w:color="000000" w:fill="F2F2F2"/>
            <w:vAlign w:val="center"/>
            <w:hideMark/>
          </w:tcPr>
          <w:p w14:paraId="7F81B31A"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No Vehicle Households</w:t>
            </w:r>
          </w:p>
        </w:tc>
        <w:tc>
          <w:tcPr>
            <w:tcW w:w="2000" w:type="dxa"/>
            <w:vMerge/>
            <w:tcBorders>
              <w:top w:val="nil"/>
              <w:left w:val="nil"/>
              <w:bottom w:val="nil"/>
              <w:right w:val="nil"/>
            </w:tcBorders>
            <w:vAlign w:val="center"/>
            <w:hideMark/>
          </w:tcPr>
          <w:p w14:paraId="2DC0D74B" w14:textId="77777777" w:rsidR="00491BF5" w:rsidRPr="00C64BA4" w:rsidRDefault="00491BF5" w:rsidP="00206C45">
            <w:pPr>
              <w:spacing w:after="0" w:line="300" w:lineRule="auto"/>
              <w:rPr>
                <w:rFonts w:eastAsia="Times New Roman" w:cs="Calibri"/>
              </w:rPr>
            </w:pPr>
          </w:p>
        </w:tc>
        <w:tc>
          <w:tcPr>
            <w:tcW w:w="2620" w:type="dxa"/>
            <w:tcBorders>
              <w:top w:val="single" w:sz="4" w:space="0" w:color="auto"/>
              <w:left w:val="nil"/>
              <w:bottom w:val="nil"/>
              <w:right w:val="nil"/>
            </w:tcBorders>
            <w:shd w:val="clear" w:color="000000" w:fill="F2F2F2"/>
            <w:vAlign w:val="center"/>
            <w:hideMark/>
          </w:tcPr>
          <w:p w14:paraId="5A1032FC" w14:textId="77777777" w:rsidR="00491BF5" w:rsidRPr="00C64BA4" w:rsidRDefault="00491BF5" w:rsidP="00206C45">
            <w:pPr>
              <w:spacing w:after="0" w:line="300" w:lineRule="auto"/>
              <w:jc w:val="center"/>
              <w:rPr>
                <w:rFonts w:eastAsia="Times New Roman" w:cs="Calibri"/>
              </w:rPr>
            </w:pPr>
            <w:r w:rsidRPr="00C64BA4">
              <w:rPr>
                <w:rFonts w:eastAsia="Times New Roman" w:cs="Calibri"/>
              </w:rPr>
              <w:t>1 Point (Vulnerable)</w:t>
            </w:r>
          </w:p>
        </w:tc>
      </w:tr>
      <w:tr w:rsidR="00491BF5" w:rsidRPr="00C64BA4" w14:paraId="37552877" w14:textId="77777777" w:rsidTr="00491BF5">
        <w:trPr>
          <w:trHeight w:val="300"/>
          <w:jc w:val="center"/>
        </w:trPr>
        <w:tc>
          <w:tcPr>
            <w:tcW w:w="7120" w:type="dxa"/>
            <w:gridSpan w:val="3"/>
            <w:tcBorders>
              <w:top w:val="nil"/>
              <w:left w:val="nil"/>
              <w:bottom w:val="nil"/>
              <w:right w:val="nil"/>
            </w:tcBorders>
            <w:shd w:val="clear" w:color="auto" w:fill="auto"/>
            <w:noWrap/>
            <w:vAlign w:val="bottom"/>
            <w:hideMark/>
          </w:tcPr>
          <w:p w14:paraId="793D14D5" w14:textId="77777777" w:rsidR="00491BF5" w:rsidRPr="00C64BA4" w:rsidRDefault="00491BF5"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US Census Bureau</w:t>
            </w:r>
          </w:p>
        </w:tc>
      </w:tr>
      <w:bookmarkEnd w:id="106"/>
    </w:tbl>
    <w:p w14:paraId="7A452DB6" w14:textId="0981F6DF" w:rsidR="00FB3623" w:rsidRPr="00C64BA4" w:rsidRDefault="00FB3623" w:rsidP="00206C45">
      <w:pPr>
        <w:spacing w:line="300" w:lineRule="auto"/>
        <w:rPr>
          <w:rFonts w:eastAsia="Times New Roman" w:cs="Times New Roman"/>
          <w:sz w:val="24"/>
          <w:szCs w:val="24"/>
          <w:lang w:val="en"/>
        </w:rPr>
      </w:pPr>
    </w:p>
    <w:p w14:paraId="424DB917" w14:textId="3444C052" w:rsidR="00FB3623" w:rsidRPr="00C64BA4" w:rsidRDefault="09A70516" w:rsidP="00206C45">
      <w:pPr>
        <w:spacing w:line="300" w:lineRule="auto"/>
        <w:jc w:val="both"/>
        <w:rPr>
          <w:rFonts w:eastAsia="Tw Cen MT" w:cs="Tw Cen MT"/>
          <w:lang w:val="en"/>
        </w:rPr>
      </w:pPr>
      <w:r w:rsidRPr="00C64BA4">
        <w:rPr>
          <w:rFonts w:eastAsia="Tw Cen MT" w:cs="Tw Cen MT"/>
          <w:lang w:val="en"/>
        </w:rPr>
        <w:t>A cumulative score of four or higher was determined to be the cutoff for inclusion in the Equity Area. 23 of the region’s 61 census tracts with any residents scored on one or more criteria. Ultimately 12 census tracts reached the threshold of four points.</w:t>
      </w:r>
    </w:p>
    <w:p w14:paraId="15304BD6" w14:textId="5A6E8976" w:rsidR="00FB3623" w:rsidRPr="00C64BA4" w:rsidRDefault="09A70516" w:rsidP="00206C45">
      <w:pPr>
        <w:spacing w:line="300" w:lineRule="auto"/>
        <w:jc w:val="both"/>
        <w:rPr>
          <w:rFonts w:eastAsia="Tw Cen MT" w:cs="Tw Cen MT"/>
          <w:lang w:val="en"/>
        </w:rPr>
      </w:pPr>
      <w:r w:rsidRPr="00C64BA4">
        <w:rPr>
          <w:rFonts w:eastAsia="Tw Cen MT" w:cs="Tw Cen MT"/>
          <w:lang w:val="en"/>
        </w:rPr>
        <w:t xml:space="preserve">The resulting Equity Area is centered around downtown Manchester and extends </w:t>
      </w:r>
      <w:r w:rsidR="004325D2" w:rsidRPr="00C64BA4">
        <w:rPr>
          <w:rFonts w:eastAsia="Tw Cen MT" w:cs="Tw Cen MT"/>
          <w:lang w:val="en"/>
        </w:rPr>
        <w:t>into</w:t>
      </w:r>
      <w:r w:rsidRPr="00C64BA4">
        <w:rPr>
          <w:rFonts w:eastAsia="Tw Cen MT" w:cs="Tw Cen MT"/>
          <w:lang w:val="en"/>
        </w:rPr>
        <w:t xml:space="preserve"> adjacent high density urban neighborhoods </w:t>
      </w:r>
      <w:r w:rsidR="006E5BE8">
        <w:rPr>
          <w:rFonts w:eastAsia="Tw Cen MT" w:cs="Tw Cen MT"/>
          <w:lang w:val="en"/>
        </w:rPr>
        <w:t xml:space="preserve">as shown in </w:t>
      </w:r>
      <w:r w:rsidR="006E5BE8">
        <w:rPr>
          <w:rFonts w:eastAsia="Tw Cen MT" w:cs="Tw Cen MT"/>
          <w:highlight w:val="yellow"/>
          <w:lang w:val="en"/>
        </w:rPr>
        <w:fldChar w:fldCharType="begin"/>
      </w:r>
      <w:r w:rsidR="006E5BE8">
        <w:rPr>
          <w:rFonts w:eastAsia="Tw Cen MT" w:cs="Tw Cen MT"/>
          <w:lang w:val="en"/>
        </w:rPr>
        <w:instrText xml:space="preserve"> REF _Ref123199118 \h </w:instrText>
      </w:r>
      <w:r w:rsidR="006E5BE8">
        <w:rPr>
          <w:rFonts w:eastAsia="Tw Cen MT" w:cs="Tw Cen MT"/>
          <w:highlight w:val="yellow"/>
          <w:lang w:val="en"/>
        </w:rPr>
      </w:r>
      <w:r w:rsidR="006E5BE8">
        <w:rPr>
          <w:rFonts w:eastAsia="Tw Cen MT" w:cs="Tw Cen MT"/>
          <w:highlight w:val="yellow"/>
          <w:lang w:val="en"/>
        </w:rPr>
        <w:fldChar w:fldCharType="separate"/>
      </w:r>
      <w:r w:rsidR="00206C45">
        <w:t xml:space="preserve">Figure </w:t>
      </w:r>
      <w:r w:rsidR="00206C45">
        <w:rPr>
          <w:noProof/>
        </w:rPr>
        <w:t>9</w:t>
      </w:r>
      <w:r w:rsidR="006E5BE8">
        <w:rPr>
          <w:rFonts w:eastAsia="Tw Cen MT" w:cs="Tw Cen MT"/>
          <w:highlight w:val="yellow"/>
          <w:lang w:val="en"/>
        </w:rPr>
        <w:fldChar w:fldCharType="end"/>
      </w:r>
      <w:r w:rsidR="006E5BE8">
        <w:rPr>
          <w:rFonts w:eastAsia="Tw Cen MT" w:cs="Tw Cen MT"/>
          <w:lang w:val="en"/>
        </w:rPr>
        <w:t xml:space="preserve">. </w:t>
      </w:r>
      <w:r w:rsidRPr="00C64BA4">
        <w:rPr>
          <w:rFonts w:eastAsia="Tw Cen MT" w:cs="Tw Cen MT"/>
          <w:lang w:val="en"/>
        </w:rPr>
        <w:t xml:space="preserve">Over 42,000 residents living within the Equity Area and communities of concern, </w:t>
      </w:r>
      <w:proofErr w:type="gramStart"/>
      <w:r w:rsidRPr="00C64BA4">
        <w:rPr>
          <w:rFonts w:eastAsia="Tw Cen MT" w:cs="Tw Cen MT"/>
          <w:lang w:val="en"/>
        </w:rPr>
        <w:t>with the exception of</w:t>
      </w:r>
      <w:proofErr w:type="gramEnd"/>
      <w:r w:rsidRPr="00C64BA4">
        <w:rPr>
          <w:rFonts w:eastAsia="Tw Cen MT" w:cs="Tw Cen MT"/>
          <w:lang w:val="en"/>
        </w:rPr>
        <w:t xml:space="preserve"> seniors, exhibit a much higher prevalence than the rest of the region. All communities of concern though are found at a much higher density. </w:t>
      </w:r>
    </w:p>
    <w:p w14:paraId="65B4F778" w14:textId="70DEF284" w:rsidR="00FB3623" w:rsidRPr="00C64BA4" w:rsidRDefault="00FB3623" w:rsidP="00206C45">
      <w:pPr>
        <w:spacing w:line="300" w:lineRule="auto"/>
        <w:rPr>
          <w:rFonts w:eastAsia="Tw Cen MT" w:cs="Tw Cen MT"/>
          <w:caps/>
          <w:sz w:val="24"/>
          <w:szCs w:val="24"/>
          <w:lang w:val="en"/>
        </w:rPr>
      </w:pPr>
    </w:p>
    <w:p w14:paraId="5FD319B9" w14:textId="4A3069B1" w:rsidR="006E5BE8" w:rsidRDefault="006E5BE8" w:rsidP="00206C45">
      <w:pPr>
        <w:pStyle w:val="Caption"/>
        <w:keepNext/>
        <w:spacing w:line="300" w:lineRule="auto"/>
      </w:pPr>
      <w:bookmarkStart w:id="107" w:name="_Toc128137913"/>
      <w:r>
        <w:t xml:space="preserve">Table </w:t>
      </w:r>
      <w:r w:rsidR="0062538A">
        <w:fldChar w:fldCharType="begin"/>
      </w:r>
      <w:r w:rsidR="0062538A">
        <w:instrText xml:space="preserve"> SEQ Table \* ARABIC </w:instrText>
      </w:r>
      <w:r w:rsidR="0062538A">
        <w:fldChar w:fldCharType="separate"/>
      </w:r>
      <w:r w:rsidR="008B512A">
        <w:rPr>
          <w:noProof/>
        </w:rPr>
        <w:t>22</w:t>
      </w:r>
      <w:r w:rsidR="0062538A">
        <w:rPr>
          <w:noProof/>
        </w:rPr>
        <w:fldChar w:fldCharType="end"/>
      </w:r>
      <w:r>
        <w:t>: Density of Communities of Concern</w:t>
      </w:r>
      <w:bookmarkEnd w:id="107"/>
    </w:p>
    <w:tbl>
      <w:tblPr>
        <w:tblW w:w="8983" w:type="dxa"/>
        <w:jc w:val="center"/>
        <w:tblLook w:val="04A0" w:firstRow="1" w:lastRow="0" w:firstColumn="1" w:lastColumn="0" w:noHBand="0" w:noVBand="1"/>
      </w:tblPr>
      <w:tblGrid>
        <w:gridCol w:w="1142"/>
        <w:gridCol w:w="1691"/>
        <w:gridCol w:w="981"/>
        <w:gridCol w:w="960"/>
        <w:gridCol w:w="887"/>
        <w:gridCol w:w="960"/>
        <w:gridCol w:w="1180"/>
        <w:gridCol w:w="960"/>
        <w:gridCol w:w="222"/>
      </w:tblGrid>
      <w:tr w:rsidR="00214069" w:rsidRPr="00C64BA4" w14:paraId="7A31BE7C" w14:textId="77777777" w:rsidTr="006E5BE8">
        <w:trPr>
          <w:gridAfter w:val="1"/>
          <w:wAfter w:w="222" w:type="dxa"/>
          <w:trHeight w:val="452"/>
          <w:jc w:val="center"/>
        </w:trPr>
        <w:tc>
          <w:tcPr>
            <w:tcW w:w="1142" w:type="dxa"/>
            <w:vMerge w:val="restart"/>
            <w:tcBorders>
              <w:top w:val="nil"/>
              <w:left w:val="nil"/>
              <w:bottom w:val="single" w:sz="4" w:space="0" w:color="000000"/>
              <w:right w:val="nil"/>
            </w:tcBorders>
            <w:shd w:val="clear" w:color="auto" w:fill="auto"/>
            <w:vAlign w:val="center"/>
            <w:hideMark/>
          </w:tcPr>
          <w:p w14:paraId="053AE03F" w14:textId="77777777" w:rsidR="00214069" w:rsidRPr="00C64BA4" w:rsidRDefault="00214069" w:rsidP="00206C45">
            <w:pPr>
              <w:spacing w:after="0" w:line="300" w:lineRule="auto"/>
              <w:rPr>
                <w:rFonts w:eastAsia="Times New Roman" w:cs="Calibri"/>
                <w:b/>
                <w:bCs/>
                <w:color w:val="595959"/>
              </w:rPr>
            </w:pPr>
            <w:bookmarkStart w:id="108" w:name="_Hlk122522352"/>
            <w:r w:rsidRPr="00C64BA4">
              <w:rPr>
                <w:rFonts w:eastAsia="Times New Roman" w:cs="Calibri"/>
                <w:b/>
                <w:bCs/>
                <w:color w:val="595959"/>
              </w:rPr>
              <w:t xml:space="preserve"> </w:t>
            </w:r>
          </w:p>
        </w:tc>
        <w:tc>
          <w:tcPr>
            <w:tcW w:w="1691" w:type="dxa"/>
            <w:vMerge w:val="restart"/>
            <w:tcBorders>
              <w:top w:val="nil"/>
              <w:left w:val="nil"/>
              <w:bottom w:val="single" w:sz="4" w:space="0" w:color="000000"/>
              <w:right w:val="nil"/>
            </w:tcBorders>
            <w:shd w:val="clear" w:color="auto" w:fill="auto"/>
            <w:vAlign w:val="center"/>
            <w:hideMark/>
          </w:tcPr>
          <w:p w14:paraId="3EB996CC" w14:textId="77777777" w:rsidR="00214069" w:rsidRPr="00C64BA4" w:rsidRDefault="00214069" w:rsidP="00206C45">
            <w:pPr>
              <w:spacing w:after="0" w:line="300" w:lineRule="auto"/>
              <w:rPr>
                <w:rFonts w:eastAsia="Times New Roman" w:cs="Calibri"/>
                <w:b/>
                <w:bCs/>
                <w:color w:val="595959"/>
              </w:rPr>
            </w:pPr>
            <w:r w:rsidRPr="00C64BA4">
              <w:rPr>
                <w:rFonts w:eastAsia="Times New Roman" w:cs="Calibri"/>
                <w:b/>
                <w:bCs/>
                <w:color w:val="595959"/>
              </w:rPr>
              <w:t xml:space="preserve"> </w:t>
            </w:r>
          </w:p>
        </w:tc>
        <w:tc>
          <w:tcPr>
            <w:tcW w:w="981" w:type="dxa"/>
            <w:vMerge w:val="restart"/>
            <w:tcBorders>
              <w:top w:val="nil"/>
              <w:left w:val="nil"/>
              <w:bottom w:val="single" w:sz="4" w:space="0" w:color="000000"/>
              <w:right w:val="nil"/>
            </w:tcBorders>
            <w:shd w:val="clear" w:color="auto" w:fill="auto"/>
            <w:vAlign w:val="center"/>
            <w:hideMark/>
          </w:tcPr>
          <w:p w14:paraId="70DAD5A4" w14:textId="77777777" w:rsidR="00214069" w:rsidRPr="00C64BA4" w:rsidRDefault="00214069" w:rsidP="00206C45">
            <w:pPr>
              <w:spacing w:after="0" w:line="300" w:lineRule="auto"/>
              <w:jc w:val="center"/>
              <w:rPr>
                <w:rFonts w:eastAsia="Times New Roman" w:cs="Calibri"/>
                <w:b/>
                <w:bCs/>
                <w:color w:val="595959"/>
              </w:rPr>
            </w:pPr>
            <w:r w:rsidRPr="00C64BA4">
              <w:rPr>
                <w:rFonts w:eastAsia="Times New Roman" w:cs="Calibri"/>
                <w:b/>
                <w:bCs/>
                <w:color w:val="595959"/>
              </w:rPr>
              <w:t xml:space="preserve">Minority </w:t>
            </w:r>
          </w:p>
        </w:tc>
        <w:tc>
          <w:tcPr>
            <w:tcW w:w="960" w:type="dxa"/>
            <w:vMerge w:val="restart"/>
            <w:tcBorders>
              <w:top w:val="nil"/>
              <w:left w:val="nil"/>
              <w:bottom w:val="single" w:sz="4" w:space="0" w:color="000000"/>
              <w:right w:val="nil"/>
            </w:tcBorders>
            <w:shd w:val="clear" w:color="auto" w:fill="auto"/>
            <w:vAlign w:val="center"/>
            <w:hideMark/>
          </w:tcPr>
          <w:p w14:paraId="1642E400" w14:textId="77777777" w:rsidR="00214069" w:rsidRPr="00C64BA4" w:rsidRDefault="00214069" w:rsidP="00206C45">
            <w:pPr>
              <w:spacing w:after="0" w:line="300" w:lineRule="auto"/>
              <w:jc w:val="center"/>
              <w:rPr>
                <w:rFonts w:eastAsia="Times New Roman" w:cs="Calibri"/>
                <w:b/>
                <w:bCs/>
                <w:color w:val="595959"/>
              </w:rPr>
            </w:pPr>
            <w:r w:rsidRPr="00C64BA4">
              <w:rPr>
                <w:rFonts w:eastAsia="Times New Roman" w:cs="Calibri"/>
                <w:b/>
                <w:bCs/>
                <w:color w:val="595959"/>
              </w:rPr>
              <w:t>Poverty</w:t>
            </w:r>
          </w:p>
        </w:tc>
        <w:tc>
          <w:tcPr>
            <w:tcW w:w="887" w:type="dxa"/>
            <w:vMerge w:val="restart"/>
            <w:tcBorders>
              <w:top w:val="nil"/>
              <w:left w:val="nil"/>
              <w:bottom w:val="single" w:sz="4" w:space="0" w:color="000000"/>
              <w:right w:val="nil"/>
            </w:tcBorders>
            <w:shd w:val="clear" w:color="auto" w:fill="auto"/>
            <w:vAlign w:val="center"/>
            <w:hideMark/>
          </w:tcPr>
          <w:p w14:paraId="1F318B60" w14:textId="77777777" w:rsidR="00214069" w:rsidRPr="00C64BA4" w:rsidRDefault="00214069" w:rsidP="00206C45">
            <w:pPr>
              <w:spacing w:after="0" w:line="300" w:lineRule="auto"/>
              <w:jc w:val="center"/>
              <w:rPr>
                <w:rFonts w:eastAsia="Times New Roman" w:cs="Calibri"/>
                <w:b/>
                <w:bCs/>
                <w:color w:val="595959"/>
              </w:rPr>
            </w:pPr>
            <w:r w:rsidRPr="00C64BA4">
              <w:rPr>
                <w:rFonts w:eastAsia="Times New Roman" w:cs="Calibri"/>
                <w:b/>
                <w:bCs/>
                <w:color w:val="595959"/>
              </w:rPr>
              <w:t>LEP</w:t>
            </w:r>
          </w:p>
        </w:tc>
        <w:tc>
          <w:tcPr>
            <w:tcW w:w="960" w:type="dxa"/>
            <w:vMerge w:val="restart"/>
            <w:tcBorders>
              <w:top w:val="nil"/>
              <w:left w:val="nil"/>
              <w:bottom w:val="single" w:sz="4" w:space="0" w:color="000000"/>
              <w:right w:val="nil"/>
            </w:tcBorders>
            <w:shd w:val="clear" w:color="auto" w:fill="auto"/>
            <w:vAlign w:val="center"/>
            <w:hideMark/>
          </w:tcPr>
          <w:p w14:paraId="4ABC9E44" w14:textId="77777777" w:rsidR="00214069" w:rsidRPr="00C64BA4" w:rsidRDefault="00214069" w:rsidP="00206C45">
            <w:pPr>
              <w:spacing w:after="0" w:line="300" w:lineRule="auto"/>
              <w:jc w:val="center"/>
              <w:rPr>
                <w:rFonts w:eastAsia="Times New Roman" w:cs="Calibri"/>
                <w:b/>
                <w:bCs/>
                <w:color w:val="595959"/>
              </w:rPr>
            </w:pPr>
            <w:r w:rsidRPr="00C64BA4">
              <w:rPr>
                <w:rFonts w:eastAsia="Times New Roman" w:cs="Calibri"/>
                <w:b/>
                <w:bCs/>
                <w:color w:val="595959"/>
              </w:rPr>
              <w:t>Senior</w:t>
            </w:r>
          </w:p>
        </w:tc>
        <w:tc>
          <w:tcPr>
            <w:tcW w:w="1180" w:type="dxa"/>
            <w:vMerge w:val="restart"/>
            <w:tcBorders>
              <w:top w:val="nil"/>
              <w:left w:val="nil"/>
              <w:bottom w:val="single" w:sz="4" w:space="0" w:color="000000"/>
              <w:right w:val="nil"/>
            </w:tcBorders>
            <w:shd w:val="clear" w:color="auto" w:fill="auto"/>
            <w:vAlign w:val="center"/>
            <w:hideMark/>
          </w:tcPr>
          <w:p w14:paraId="41107FFA" w14:textId="4C79268E" w:rsidR="00214069" w:rsidRPr="00C64BA4" w:rsidRDefault="00214069" w:rsidP="00206C45">
            <w:pPr>
              <w:spacing w:after="0" w:line="300" w:lineRule="auto"/>
              <w:jc w:val="center"/>
              <w:rPr>
                <w:rFonts w:eastAsia="Times New Roman" w:cs="Calibri"/>
                <w:b/>
                <w:bCs/>
                <w:color w:val="595959"/>
              </w:rPr>
            </w:pPr>
            <w:r w:rsidRPr="00C64BA4">
              <w:rPr>
                <w:rFonts w:eastAsia="Times New Roman" w:cs="Calibri"/>
                <w:b/>
                <w:bCs/>
                <w:color w:val="595959"/>
              </w:rPr>
              <w:t>Disability</w:t>
            </w:r>
          </w:p>
        </w:tc>
        <w:tc>
          <w:tcPr>
            <w:tcW w:w="960" w:type="dxa"/>
            <w:vMerge w:val="restart"/>
            <w:tcBorders>
              <w:top w:val="nil"/>
              <w:left w:val="nil"/>
              <w:bottom w:val="single" w:sz="4" w:space="0" w:color="000000"/>
              <w:right w:val="nil"/>
            </w:tcBorders>
            <w:shd w:val="clear" w:color="auto" w:fill="auto"/>
            <w:vAlign w:val="center"/>
            <w:hideMark/>
          </w:tcPr>
          <w:p w14:paraId="310A7B87" w14:textId="77777777" w:rsidR="00214069" w:rsidRPr="00C64BA4" w:rsidRDefault="00214069" w:rsidP="00206C45">
            <w:pPr>
              <w:spacing w:after="0" w:line="300" w:lineRule="auto"/>
              <w:jc w:val="center"/>
              <w:rPr>
                <w:rFonts w:eastAsia="Times New Roman" w:cs="Calibri"/>
                <w:b/>
                <w:bCs/>
                <w:color w:val="595959"/>
              </w:rPr>
            </w:pPr>
            <w:r w:rsidRPr="00C64BA4">
              <w:rPr>
                <w:rFonts w:eastAsia="Times New Roman" w:cs="Calibri"/>
                <w:b/>
                <w:bCs/>
                <w:color w:val="595959"/>
              </w:rPr>
              <w:t>No Vehicle</w:t>
            </w:r>
          </w:p>
        </w:tc>
      </w:tr>
      <w:tr w:rsidR="00214069" w:rsidRPr="00C64BA4" w14:paraId="3E74EBB0" w14:textId="77777777" w:rsidTr="006E5BE8">
        <w:trPr>
          <w:trHeight w:val="300"/>
          <w:jc w:val="center"/>
        </w:trPr>
        <w:tc>
          <w:tcPr>
            <w:tcW w:w="1142" w:type="dxa"/>
            <w:vMerge/>
            <w:tcBorders>
              <w:top w:val="nil"/>
              <w:left w:val="nil"/>
              <w:bottom w:val="single" w:sz="4" w:space="0" w:color="000000"/>
              <w:right w:val="nil"/>
            </w:tcBorders>
            <w:vAlign w:val="center"/>
            <w:hideMark/>
          </w:tcPr>
          <w:p w14:paraId="61659015" w14:textId="77777777" w:rsidR="00214069" w:rsidRPr="00C64BA4" w:rsidRDefault="00214069" w:rsidP="00206C45">
            <w:pPr>
              <w:spacing w:after="0" w:line="300" w:lineRule="auto"/>
              <w:rPr>
                <w:rFonts w:eastAsia="Times New Roman" w:cs="Calibri"/>
                <w:b/>
                <w:bCs/>
                <w:color w:val="595959"/>
              </w:rPr>
            </w:pPr>
          </w:p>
        </w:tc>
        <w:tc>
          <w:tcPr>
            <w:tcW w:w="1691" w:type="dxa"/>
            <w:vMerge/>
            <w:tcBorders>
              <w:top w:val="nil"/>
              <w:left w:val="nil"/>
              <w:bottom w:val="single" w:sz="4" w:space="0" w:color="000000"/>
              <w:right w:val="nil"/>
            </w:tcBorders>
            <w:vAlign w:val="center"/>
            <w:hideMark/>
          </w:tcPr>
          <w:p w14:paraId="10556B58" w14:textId="77777777" w:rsidR="00214069" w:rsidRPr="00C64BA4" w:rsidRDefault="00214069" w:rsidP="00206C45">
            <w:pPr>
              <w:spacing w:after="0" w:line="300" w:lineRule="auto"/>
              <w:rPr>
                <w:rFonts w:eastAsia="Times New Roman" w:cs="Calibri"/>
                <w:b/>
                <w:bCs/>
                <w:color w:val="595959"/>
              </w:rPr>
            </w:pPr>
          </w:p>
        </w:tc>
        <w:tc>
          <w:tcPr>
            <w:tcW w:w="981" w:type="dxa"/>
            <w:vMerge/>
            <w:tcBorders>
              <w:top w:val="nil"/>
              <w:left w:val="nil"/>
              <w:bottom w:val="single" w:sz="4" w:space="0" w:color="000000"/>
              <w:right w:val="nil"/>
            </w:tcBorders>
            <w:vAlign w:val="center"/>
            <w:hideMark/>
          </w:tcPr>
          <w:p w14:paraId="3803D028" w14:textId="77777777" w:rsidR="00214069" w:rsidRPr="00C64BA4" w:rsidRDefault="00214069" w:rsidP="00206C45">
            <w:pPr>
              <w:spacing w:after="0" w:line="300" w:lineRule="auto"/>
              <w:rPr>
                <w:rFonts w:eastAsia="Times New Roman" w:cs="Calibri"/>
                <w:b/>
                <w:bCs/>
                <w:color w:val="595959"/>
              </w:rPr>
            </w:pPr>
          </w:p>
        </w:tc>
        <w:tc>
          <w:tcPr>
            <w:tcW w:w="960" w:type="dxa"/>
            <w:vMerge/>
            <w:tcBorders>
              <w:top w:val="nil"/>
              <w:left w:val="nil"/>
              <w:bottom w:val="single" w:sz="4" w:space="0" w:color="000000"/>
              <w:right w:val="nil"/>
            </w:tcBorders>
            <w:vAlign w:val="center"/>
            <w:hideMark/>
          </w:tcPr>
          <w:p w14:paraId="0555696C" w14:textId="77777777" w:rsidR="00214069" w:rsidRPr="00C64BA4" w:rsidRDefault="00214069" w:rsidP="00206C45">
            <w:pPr>
              <w:spacing w:after="0" w:line="300" w:lineRule="auto"/>
              <w:rPr>
                <w:rFonts w:eastAsia="Times New Roman" w:cs="Calibri"/>
                <w:b/>
                <w:bCs/>
                <w:color w:val="595959"/>
              </w:rPr>
            </w:pPr>
          </w:p>
        </w:tc>
        <w:tc>
          <w:tcPr>
            <w:tcW w:w="887" w:type="dxa"/>
            <w:vMerge/>
            <w:tcBorders>
              <w:top w:val="nil"/>
              <w:left w:val="nil"/>
              <w:bottom w:val="single" w:sz="4" w:space="0" w:color="000000"/>
              <w:right w:val="nil"/>
            </w:tcBorders>
            <w:vAlign w:val="center"/>
            <w:hideMark/>
          </w:tcPr>
          <w:p w14:paraId="38BA1460" w14:textId="77777777" w:rsidR="00214069" w:rsidRPr="00C64BA4" w:rsidRDefault="00214069" w:rsidP="00206C45">
            <w:pPr>
              <w:spacing w:after="0" w:line="300" w:lineRule="auto"/>
              <w:rPr>
                <w:rFonts w:eastAsia="Times New Roman" w:cs="Calibri"/>
                <w:b/>
                <w:bCs/>
                <w:color w:val="595959"/>
              </w:rPr>
            </w:pPr>
          </w:p>
        </w:tc>
        <w:tc>
          <w:tcPr>
            <w:tcW w:w="960" w:type="dxa"/>
            <w:vMerge/>
            <w:tcBorders>
              <w:top w:val="nil"/>
              <w:left w:val="nil"/>
              <w:bottom w:val="single" w:sz="4" w:space="0" w:color="000000"/>
              <w:right w:val="nil"/>
            </w:tcBorders>
            <w:vAlign w:val="center"/>
            <w:hideMark/>
          </w:tcPr>
          <w:p w14:paraId="55AC6CEF" w14:textId="77777777" w:rsidR="00214069" w:rsidRPr="00C64BA4" w:rsidRDefault="00214069" w:rsidP="00206C45">
            <w:pPr>
              <w:spacing w:after="0" w:line="300" w:lineRule="auto"/>
              <w:rPr>
                <w:rFonts w:eastAsia="Times New Roman" w:cs="Calibri"/>
                <w:b/>
                <w:bCs/>
                <w:color w:val="595959"/>
              </w:rPr>
            </w:pPr>
          </w:p>
        </w:tc>
        <w:tc>
          <w:tcPr>
            <w:tcW w:w="1180" w:type="dxa"/>
            <w:vMerge/>
            <w:tcBorders>
              <w:top w:val="nil"/>
              <w:left w:val="nil"/>
              <w:bottom w:val="single" w:sz="4" w:space="0" w:color="000000"/>
              <w:right w:val="nil"/>
            </w:tcBorders>
            <w:vAlign w:val="center"/>
            <w:hideMark/>
          </w:tcPr>
          <w:p w14:paraId="52DBE04B" w14:textId="77777777" w:rsidR="00214069" w:rsidRPr="00C64BA4" w:rsidRDefault="00214069" w:rsidP="00206C45">
            <w:pPr>
              <w:spacing w:after="0" w:line="300" w:lineRule="auto"/>
              <w:rPr>
                <w:rFonts w:eastAsia="Times New Roman" w:cs="Calibri"/>
                <w:b/>
                <w:bCs/>
                <w:color w:val="595959"/>
              </w:rPr>
            </w:pPr>
          </w:p>
        </w:tc>
        <w:tc>
          <w:tcPr>
            <w:tcW w:w="960" w:type="dxa"/>
            <w:vMerge/>
            <w:tcBorders>
              <w:top w:val="nil"/>
              <w:left w:val="nil"/>
              <w:bottom w:val="single" w:sz="4" w:space="0" w:color="000000"/>
              <w:right w:val="nil"/>
            </w:tcBorders>
            <w:vAlign w:val="center"/>
            <w:hideMark/>
          </w:tcPr>
          <w:p w14:paraId="5838846C" w14:textId="77777777" w:rsidR="00214069" w:rsidRPr="00C64BA4" w:rsidRDefault="00214069" w:rsidP="00206C45">
            <w:pPr>
              <w:spacing w:after="0" w:line="300" w:lineRule="auto"/>
              <w:rPr>
                <w:rFonts w:eastAsia="Times New Roman" w:cs="Calibri"/>
                <w:b/>
                <w:bCs/>
                <w:color w:val="595959"/>
              </w:rPr>
            </w:pPr>
          </w:p>
        </w:tc>
        <w:tc>
          <w:tcPr>
            <w:tcW w:w="222" w:type="dxa"/>
            <w:tcBorders>
              <w:top w:val="nil"/>
              <w:left w:val="nil"/>
              <w:bottom w:val="nil"/>
              <w:right w:val="nil"/>
            </w:tcBorders>
            <w:shd w:val="clear" w:color="auto" w:fill="auto"/>
            <w:noWrap/>
            <w:vAlign w:val="bottom"/>
            <w:hideMark/>
          </w:tcPr>
          <w:p w14:paraId="0B3D01A6" w14:textId="77777777" w:rsidR="00214069" w:rsidRPr="00C64BA4" w:rsidRDefault="00214069" w:rsidP="00206C45">
            <w:pPr>
              <w:spacing w:after="0" w:line="300" w:lineRule="auto"/>
              <w:jc w:val="center"/>
              <w:rPr>
                <w:rFonts w:eastAsia="Times New Roman" w:cs="Calibri"/>
                <w:b/>
                <w:bCs/>
                <w:color w:val="595959"/>
              </w:rPr>
            </w:pPr>
          </w:p>
        </w:tc>
      </w:tr>
      <w:tr w:rsidR="00214069" w:rsidRPr="00C64BA4" w14:paraId="00444074" w14:textId="77777777" w:rsidTr="006E5BE8">
        <w:trPr>
          <w:trHeight w:val="300"/>
          <w:jc w:val="center"/>
        </w:trPr>
        <w:tc>
          <w:tcPr>
            <w:tcW w:w="1142" w:type="dxa"/>
            <w:vMerge w:val="restart"/>
            <w:tcBorders>
              <w:top w:val="nil"/>
              <w:left w:val="nil"/>
              <w:bottom w:val="single" w:sz="8" w:space="0" w:color="000000"/>
              <w:right w:val="nil"/>
            </w:tcBorders>
            <w:shd w:val="clear" w:color="auto" w:fill="auto"/>
            <w:vAlign w:val="center"/>
            <w:hideMark/>
          </w:tcPr>
          <w:p w14:paraId="26828320" w14:textId="77777777" w:rsidR="00214069" w:rsidRPr="00C64BA4" w:rsidRDefault="00214069" w:rsidP="00206C45">
            <w:pPr>
              <w:spacing w:after="0" w:line="300" w:lineRule="auto"/>
              <w:jc w:val="center"/>
              <w:rPr>
                <w:rFonts w:eastAsia="Times New Roman" w:cs="Calibri"/>
                <w:b/>
                <w:bCs/>
                <w:color w:val="595959"/>
              </w:rPr>
            </w:pPr>
            <w:r w:rsidRPr="00C64BA4">
              <w:rPr>
                <w:rFonts w:eastAsia="Times New Roman" w:cs="Calibri"/>
                <w:b/>
                <w:bCs/>
                <w:color w:val="595959"/>
              </w:rPr>
              <w:t>%</w:t>
            </w:r>
          </w:p>
        </w:tc>
        <w:tc>
          <w:tcPr>
            <w:tcW w:w="1691" w:type="dxa"/>
            <w:tcBorders>
              <w:top w:val="nil"/>
              <w:left w:val="nil"/>
              <w:bottom w:val="single" w:sz="4" w:space="0" w:color="auto"/>
              <w:right w:val="nil"/>
            </w:tcBorders>
            <w:shd w:val="clear" w:color="auto" w:fill="auto"/>
            <w:vAlign w:val="center"/>
            <w:hideMark/>
          </w:tcPr>
          <w:p w14:paraId="77ED2156"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Equity Area</w:t>
            </w:r>
          </w:p>
        </w:tc>
        <w:tc>
          <w:tcPr>
            <w:tcW w:w="981" w:type="dxa"/>
            <w:tcBorders>
              <w:top w:val="nil"/>
              <w:left w:val="nil"/>
              <w:bottom w:val="single" w:sz="4" w:space="0" w:color="auto"/>
              <w:right w:val="nil"/>
            </w:tcBorders>
            <w:shd w:val="clear" w:color="auto" w:fill="auto"/>
            <w:vAlign w:val="center"/>
            <w:hideMark/>
          </w:tcPr>
          <w:p w14:paraId="5F24E1B7"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38%</w:t>
            </w:r>
          </w:p>
        </w:tc>
        <w:tc>
          <w:tcPr>
            <w:tcW w:w="960" w:type="dxa"/>
            <w:tcBorders>
              <w:top w:val="nil"/>
              <w:left w:val="nil"/>
              <w:bottom w:val="single" w:sz="4" w:space="0" w:color="auto"/>
              <w:right w:val="nil"/>
            </w:tcBorders>
            <w:shd w:val="clear" w:color="auto" w:fill="auto"/>
            <w:vAlign w:val="center"/>
            <w:hideMark/>
          </w:tcPr>
          <w:p w14:paraId="24F424E4"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20%</w:t>
            </w:r>
          </w:p>
        </w:tc>
        <w:tc>
          <w:tcPr>
            <w:tcW w:w="887" w:type="dxa"/>
            <w:tcBorders>
              <w:top w:val="nil"/>
              <w:left w:val="nil"/>
              <w:bottom w:val="single" w:sz="4" w:space="0" w:color="auto"/>
              <w:right w:val="nil"/>
            </w:tcBorders>
            <w:shd w:val="clear" w:color="auto" w:fill="auto"/>
            <w:vAlign w:val="center"/>
            <w:hideMark/>
          </w:tcPr>
          <w:p w14:paraId="4537F886"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15%</w:t>
            </w:r>
          </w:p>
        </w:tc>
        <w:tc>
          <w:tcPr>
            <w:tcW w:w="960" w:type="dxa"/>
            <w:tcBorders>
              <w:top w:val="nil"/>
              <w:left w:val="nil"/>
              <w:bottom w:val="single" w:sz="4" w:space="0" w:color="auto"/>
              <w:right w:val="nil"/>
            </w:tcBorders>
            <w:shd w:val="clear" w:color="auto" w:fill="auto"/>
            <w:vAlign w:val="center"/>
            <w:hideMark/>
          </w:tcPr>
          <w:p w14:paraId="0F460147"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10%</w:t>
            </w:r>
          </w:p>
        </w:tc>
        <w:tc>
          <w:tcPr>
            <w:tcW w:w="1180" w:type="dxa"/>
            <w:tcBorders>
              <w:top w:val="nil"/>
              <w:left w:val="nil"/>
              <w:bottom w:val="single" w:sz="4" w:space="0" w:color="auto"/>
              <w:right w:val="nil"/>
            </w:tcBorders>
            <w:shd w:val="clear" w:color="auto" w:fill="auto"/>
            <w:vAlign w:val="center"/>
            <w:hideMark/>
          </w:tcPr>
          <w:p w14:paraId="0BABB70B"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17%</w:t>
            </w:r>
          </w:p>
        </w:tc>
        <w:tc>
          <w:tcPr>
            <w:tcW w:w="960" w:type="dxa"/>
            <w:tcBorders>
              <w:top w:val="nil"/>
              <w:left w:val="nil"/>
              <w:bottom w:val="single" w:sz="4" w:space="0" w:color="auto"/>
              <w:right w:val="nil"/>
            </w:tcBorders>
            <w:shd w:val="clear" w:color="auto" w:fill="auto"/>
            <w:vAlign w:val="center"/>
            <w:hideMark/>
          </w:tcPr>
          <w:p w14:paraId="5599E7F4"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13%</w:t>
            </w:r>
          </w:p>
        </w:tc>
        <w:tc>
          <w:tcPr>
            <w:tcW w:w="222" w:type="dxa"/>
            <w:vAlign w:val="center"/>
            <w:hideMark/>
          </w:tcPr>
          <w:p w14:paraId="0C645602" w14:textId="77777777" w:rsidR="00214069" w:rsidRPr="00C64BA4" w:rsidRDefault="00214069" w:rsidP="00206C45">
            <w:pPr>
              <w:spacing w:after="0" w:line="300" w:lineRule="auto"/>
              <w:rPr>
                <w:rFonts w:eastAsia="Times New Roman" w:cs="Times New Roman"/>
                <w:sz w:val="20"/>
                <w:szCs w:val="20"/>
              </w:rPr>
            </w:pPr>
          </w:p>
        </w:tc>
      </w:tr>
      <w:tr w:rsidR="00214069" w:rsidRPr="00C64BA4" w14:paraId="3E524996" w14:textId="77777777" w:rsidTr="006E5BE8">
        <w:trPr>
          <w:trHeight w:val="585"/>
          <w:jc w:val="center"/>
        </w:trPr>
        <w:tc>
          <w:tcPr>
            <w:tcW w:w="1142" w:type="dxa"/>
            <w:vMerge/>
            <w:tcBorders>
              <w:top w:val="nil"/>
              <w:left w:val="nil"/>
              <w:bottom w:val="single" w:sz="12" w:space="0" w:color="404040" w:themeColor="text1" w:themeTint="BF"/>
              <w:right w:val="nil"/>
            </w:tcBorders>
            <w:vAlign w:val="center"/>
            <w:hideMark/>
          </w:tcPr>
          <w:p w14:paraId="55695EAF" w14:textId="77777777" w:rsidR="00214069" w:rsidRPr="00C64BA4" w:rsidRDefault="00214069" w:rsidP="00206C45">
            <w:pPr>
              <w:spacing w:after="0" w:line="300" w:lineRule="auto"/>
              <w:rPr>
                <w:rFonts w:eastAsia="Times New Roman" w:cs="Calibri"/>
                <w:b/>
                <w:bCs/>
                <w:color w:val="595959"/>
              </w:rPr>
            </w:pPr>
          </w:p>
        </w:tc>
        <w:tc>
          <w:tcPr>
            <w:tcW w:w="1691" w:type="dxa"/>
            <w:tcBorders>
              <w:top w:val="nil"/>
              <w:left w:val="nil"/>
              <w:bottom w:val="single" w:sz="12" w:space="0" w:color="404040" w:themeColor="text1" w:themeTint="BF"/>
              <w:right w:val="nil"/>
            </w:tcBorders>
            <w:shd w:val="clear" w:color="000000" w:fill="F2F2F2"/>
            <w:vAlign w:val="center"/>
            <w:hideMark/>
          </w:tcPr>
          <w:p w14:paraId="4662306C"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Remainder of the SNHPC Region</w:t>
            </w:r>
          </w:p>
        </w:tc>
        <w:tc>
          <w:tcPr>
            <w:tcW w:w="981" w:type="dxa"/>
            <w:tcBorders>
              <w:top w:val="nil"/>
              <w:left w:val="nil"/>
              <w:bottom w:val="single" w:sz="12" w:space="0" w:color="404040" w:themeColor="text1" w:themeTint="BF"/>
              <w:right w:val="nil"/>
            </w:tcBorders>
            <w:shd w:val="clear" w:color="000000" w:fill="F2F2F2"/>
            <w:vAlign w:val="center"/>
            <w:hideMark/>
          </w:tcPr>
          <w:p w14:paraId="3FE88716"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11%</w:t>
            </w:r>
          </w:p>
        </w:tc>
        <w:tc>
          <w:tcPr>
            <w:tcW w:w="960" w:type="dxa"/>
            <w:tcBorders>
              <w:top w:val="nil"/>
              <w:left w:val="nil"/>
              <w:bottom w:val="single" w:sz="12" w:space="0" w:color="404040" w:themeColor="text1" w:themeTint="BF"/>
              <w:right w:val="nil"/>
            </w:tcBorders>
            <w:shd w:val="clear" w:color="000000" w:fill="F2F2F2"/>
            <w:vAlign w:val="center"/>
            <w:hideMark/>
          </w:tcPr>
          <w:p w14:paraId="56932764"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5%</w:t>
            </w:r>
          </w:p>
        </w:tc>
        <w:tc>
          <w:tcPr>
            <w:tcW w:w="887" w:type="dxa"/>
            <w:tcBorders>
              <w:top w:val="nil"/>
              <w:left w:val="nil"/>
              <w:bottom w:val="single" w:sz="12" w:space="0" w:color="404040" w:themeColor="text1" w:themeTint="BF"/>
              <w:right w:val="nil"/>
            </w:tcBorders>
            <w:shd w:val="clear" w:color="000000" w:fill="F2F2F2"/>
            <w:vAlign w:val="center"/>
            <w:hideMark/>
          </w:tcPr>
          <w:p w14:paraId="665AFD58"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3%</w:t>
            </w:r>
          </w:p>
        </w:tc>
        <w:tc>
          <w:tcPr>
            <w:tcW w:w="960" w:type="dxa"/>
            <w:tcBorders>
              <w:top w:val="nil"/>
              <w:left w:val="nil"/>
              <w:bottom w:val="single" w:sz="12" w:space="0" w:color="404040" w:themeColor="text1" w:themeTint="BF"/>
              <w:right w:val="nil"/>
            </w:tcBorders>
            <w:shd w:val="clear" w:color="000000" w:fill="F2F2F2"/>
            <w:vAlign w:val="center"/>
            <w:hideMark/>
          </w:tcPr>
          <w:p w14:paraId="4BB606E3"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15%</w:t>
            </w:r>
          </w:p>
        </w:tc>
        <w:tc>
          <w:tcPr>
            <w:tcW w:w="1180" w:type="dxa"/>
            <w:tcBorders>
              <w:top w:val="nil"/>
              <w:left w:val="nil"/>
              <w:bottom w:val="single" w:sz="12" w:space="0" w:color="404040" w:themeColor="text1" w:themeTint="BF"/>
              <w:right w:val="nil"/>
            </w:tcBorders>
            <w:shd w:val="clear" w:color="000000" w:fill="F2F2F2"/>
            <w:vAlign w:val="center"/>
            <w:hideMark/>
          </w:tcPr>
          <w:p w14:paraId="21331E37"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11%</w:t>
            </w:r>
          </w:p>
        </w:tc>
        <w:tc>
          <w:tcPr>
            <w:tcW w:w="960" w:type="dxa"/>
            <w:tcBorders>
              <w:top w:val="nil"/>
              <w:left w:val="nil"/>
              <w:bottom w:val="single" w:sz="12" w:space="0" w:color="404040" w:themeColor="text1" w:themeTint="BF"/>
              <w:right w:val="nil"/>
            </w:tcBorders>
            <w:shd w:val="clear" w:color="000000" w:fill="F2F2F2"/>
            <w:vAlign w:val="center"/>
            <w:hideMark/>
          </w:tcPr>
          <w:p w14:paraId="411ADF19"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3%</w:t>
            </w:r>
          </w:p>
        </w:tc>
        <w:tc>
          <w:tcPr>
            <w:tcW w:w="222" w:type="dxa"/>
            <w:vAlign w:val="center"/>
            <w:hideMark/>
          </w:tcPr>
          <w:p w14:paraId="3EEDA7FC" w14:textId="77777777" w:rsidR="00214069" w:rsidRPr="00C64BA4" w:rsidRDefault="00214069" w:rsidP="00206C45">
            <w:pPr>
              <w:spacing w:after="0" w:line="300" w:lineRule="auto"/>
              <w:rPr>
                <w:rFonts w:eastAsia="Times New Roman" w:cs="Times New Roman"/>
                <w:sz w:val="20"/>
                <w:szCs w:val="20"/>
              </w:rPr>
            </w:pPr>
          </w:p>
        </w:tc>
      </w:tr>
      <w:tr w:rsidR="00214069" w:rsidRPr="00C64BA4" w14:paraId="05263178" w14:textId="77777777" w:rsidTr="006E5BE8">
        <w:trPr>
          <w:trHeight w:val="300"/>
          <w:jc w:val="center"/>
        </w:trPr>
        <w:tc>
          <w:tcPr>
            <w:tcW w:w="1142" w:type="dxa"/>
            <w:vMerge w:val="restart"/>
            <w:tcBorders>
              <w:top w:val="single" w:sz="12" w:space="0" w:color="404040" w:themeColor="text1" w:themeTint="BF"/>
              <w:left w:val="nil"/>
              <w:bottom w:val="single" w:sz="8" w:space="0" w:color="000000"/>
              <w:right w:val="nil"/>
            </w:tcBorders>
            <w:shd w:val="clear" w:color="auto" w:fill="auto"/>
            <w:vAlign w:val="center"/>
            <w:hideMark/>
          </w:tcPr>
          <w:p w14:paraId="75DDCD91" w14:textId="77777777" w:rsidR="00214069" w:rsidRPr="00C64BA4" w:rsidRDefault="00214069" w:rsidP="00206C45">
            <w:pPr>
              <w:spacing w:after="0" w:line="300" w:lineRule="auto"/>
              <w:jc w:val="center"/>
              <w:rPr>
                <w:rFonts w:eastAsia="Times New Roman" w:cs="Calibri"/>
                <w:b/>
                <w:bCs/>
                <w:color w:val="595959"/>
              </w:rPr>
            </w:pPr>
            <w:r w:rsidRPr="00C64BA4">
              <w:rPr>
                <w:rFonts w:eastAsia="Times New Roman" w:cs="Calibri"/>
                <w:b/>
                <w:bCs/>
                <w:color w:val="595959"/>
              </w:rPr>
              <w:t>Density (per acre)</w:t>
            </w:r>
          </w:p>
        </w:tc>
        <w:tc>
          <w:tcPr>
            <w:tcW w:w="1691" w:type="dxa"/>
            <w:tcBorders>
              <w:top w:val="single" w:sz="12" w:space="0" w:color="404040" w:themeColor="text1" w:themeTint="BF"/>
              <w:left w:val="nil"/>
              <w:bottom w:val="single" w:sz="4" w:space="0" w:color="auto"/>
              <w:right w:val="nil"/>
            </w:tcBorders>
            <w:shd w:val="clear" w:color="auto" w:fill="auto"/>
            <w:vAlign w:val="center"/>
            <w:hideMark/>
          </w:tcPr>
          <w:p w14:paraId="592417DB"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Equity Area</w:t>
            </w:r>
          </w:p>
        </w:tc>
        <w:tc>
          <w:tcPr>
            <w:tcW w:w="981" w:type="dxa"/>
            <w:tcBorders>
              <w:top w:val="single" w:sz="12" w:space="0" w:color="404040" w:themeColor="text1" w:themeTint="BF"/>
              <w:left w:val="nil"/>
              <w:bottom w:val="single" w:sz="4" w:space="0" w:color="auto"/>
              <w:right w:val="nil"/>
            </w:tcBorders>
            <w:shd w:val="clear" w:color="auto" w:fill="auto"/>
            <w:vAlign w:val="center"/>
            <w:hideMark/>
          </w:tcPr>
          <w:p w14:paraId="58B400DA"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3.99</w:t>
            </w:r>
          </w:p>
        </w:tc>
        <w:tc>
          <w:tcPr>
            <w:tcW w:w="960" w:type="dxa"/>
            <w:tcBorders>
              <w:top w:val="single" w:sz="12" w:space="0" w:color="404040" w:themeColor="text1" w:themeTint="BF"/>
              <w:left w:val="nil"/>
              <w:bottom w:val="single" w:sz="4" w:space="0" w:color="auto"/>
              <w:right w:val="nil"/>
            </w:tcBorders>
            <w:shd w:val="clear" w:color="auto" w:fill="auto"/>
            <w:vAlign w:val="center"/>
            <w:hideMark/>
          </w:tcPr>
          <w:p w14:paraId="0C91924D"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2.11</w:t>
            </w:r>
          </w:p>
        </w:tc>
        <w:tc>
          <w:tcPr>
            <w:tcW w:w="887" w:type="dxa"/>
            <w:tcBorders>
              <w:top w:val="single" w:sz="12" w:space="0" w:color="404040" w:themeColor="text1" w:themeTint="BF"/>
              <w:left w:val="nil"/>
              <w:bottom w:val="single" w:sz="4" w:space="0" w:color="auto"/>
              <w:right w:val="nil"/>
            </w:tcBorders>
            <w:shd w:val="clear" w:color="auto" w:fill="auto"/>
            <w:vAlign w:val="center"/>
            <w:hideMark/>
          </w:tcPr>
          <w:p w14:paraId="47A6450D"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1.48</w:t>
            </w:r>
          </w:p>
        </w:tc>
        <w:tc>
          <w:tcPr>
            <w:tcW w:w="960" w:type="dxa"/>
            <w:tcBorders>
              <w:top w:val="single" w:sz="12" w:space="0" w:color="404040" w:themeColor="text1" w:themeTint="BF"/>
              <w:left w:val="nil"/>
              <w:bottom w:val="single" w:sz="4" w:space="0" w:color="auto"/>
              <w:right w:val="nil"/>
            </w:tcBorders>
            <w:shd w:val="clear" w:color="auto" w:fill="auto"/>
            <w:vAlign w:val="center"/>
            <w:hideMark/>
          </w:tcPr>
          <w:p w14:paraId="50B3DC96"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1.07</w:t>
            </w:r>
          </w:p>
        </w:tc>
        <w:tc>
          <w:tcPr>
            <w:tcW w:w="1180" w:type="dxa"/>
            <w:tcBorders>
              <w:top w:val="single" w:sz="12" w:space="0" w:color="404040" w:themeColor="text1" w:themeTint="BF"/>
              <w:left w:val="nil"/>
              <w:bottom w:val="single" w:sz="4" w:space="0" w:color="auto"/>
              <w:right w:val="nil"/>
            </w:tcBorders>
            <w:shd w:val="clear" w:color="auto" w:fill="auto"/>
            <w:vAlign w:val="center"/>
            <w:hideMark/>
          </w:tcPr>
          <w:p w14:paraId="1F2250AB"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1.77</w:t>
            </w:r>
          </w:p>
        </w:tc>
        <w:tc>
          <w:tcPr>
            <w:tcW w:w="960" w:type="dxa"/>
            <w:tcBorders>
              <w:top w:val="single" w:sz="12" w:space="0" w:color="404040" w:themeColor="text1" w:themeTint="BF"/>
              <w:left w:val="nil"/>
              <w:bottom w:val="single" w:sz="4" w:space="0" w:color="auto"/>
              <w:right w:val="nil"/>
            </w:tcBorders>
            <w:shd w:val="clear" w:color="auto" w:fill="auto"/>
            <w:vAlign w:val="center"/>
            <w:hideMark/>
          </w:tcPr>
          <w:p w14:paraId="027D725D"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0.57</w:t>
            </w:r>
          </w:p>
        </w:tc>
        <w:tc>
          <w:tcPr>
            <w:tcW w:w="222" w:type="dxa"/>
            <w:vAlign w:val="center"/>
            <w:hideMark/>
          </w:tcPr>
          <w:p w14:paraId="2198FCC7" w14:textId="77777777" w:rsidR="00214069" w:rsidRPr="00C64BA4" w:rsidRDefault="00214069" w:rsidP="00206C45">
            <w:pPr>
              <w:spacing w:after="0" w:line="300" w:lineRule="auto"/>
              <w:rPr>
                <w:rFonts w:eastAsia="Times New Roman" w:cs="Times New Roman"/>
                <w:sz w:val="20"/>
                <w:szCs w:val="20"/>
              </w:rPr>
            </w:pPr>
          </w:p>
        </w:tc>
      </w:tr>
      <w:tr w:rsidR="00214069" w:rsidRPr="00C64BA4" w14:paraId="4284DB30" w14:textId="77777777" w:rsidTr="006E5BE8">
        <w:trPr>
          <w:trHeight w:val="585"/>
          <w:jc w:val="center"/>
        </w:trPr>
        <w:tc>
          <w:tcPr>
            <w:tcW w:w="1142" w:type="dxa"/>
            <w:vMerge/>
            <w:tcBorders>
              <w:top w:val="nil"/>
              <w:left w:val="nil"/>
              <w:bottom w:val="single" w:sz="12" w:space="0" w:color="404040" w:themeColor="text1" w:themeTint="BF"/>
              <w:right w:val="nil"/>
            </w:tcBorders>
            <w:vAlign w:val="center"/>
            <w:hideMark/>
          </w:tcPr>
          <w:p w14:paraId="2544848A" w14:textId="77777777" w:rsidR="00214069" w:rsidRPr="00C64BA4" w:rsidRDefault="00214069" w:rsidP="00206C45">
            <w:pPr>
              <w:spacing w:after="0" w:line="300" w:lineRule="auto"/>
              <w:rPr>
                <w:rFonts w:eastAsia="Times New Roman" w:cs="Calibri"/>
                <w:b/>
                <w:bCs/>
                <w:color w:val="595959"/>
              </w:rPr>
            </w:pPr>
          </w:p>
        </w:tc>
        <w:tc>
          <w:tcPr>
            <w:tcW w:w="1691" w:type="dxa"/>
            <w:tcBorders>
              <w:top w:val="nil"/>
              <w:left w:val="nil"/>
              <w:bottom w:val="single" w:sz="12" w:space="0" w:color="404040" w:themeColor="text1" w:themeTint="BF"/>
              <w:right w:val="nil"/>
            </w:tcBorders>
            <w:shd w:val="clear" w:color="000000" w:fill="F2F2F2"/>
            <w:vAlign w:val="center"/>
            <w:hideMark/>
          </w:tcPr>
          <w:p w14:paraId="509D6199"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Remainder of the SNHPC Region</w:t>
            </w:r>
          </w:p>
        </w:tc>
        <w:tc>
          <w:tcPr>
            <w:tcW w:w="981" w:type="dxa"/>
            <w:tcBorders>
              <w:top w:val="nil"/>
              <w:left w:val="nil"/>
              <w:bottom w:val="single" w:sz="12" w:space="0" w:color="404040" w:themeColor="text1" w:themeTint="BF"/>
              <w:right w:val="nil"/>
            </w:tcBorders>
            <w:shd w:val="clear" w:color="000000" w:fill="F2F2F2"/>
            <w:vAlign w:val="center"/>
            <w:hideMark/>
          </w:tcPr>
          <w:p w14:paraId="40B5FEA7"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0.07</w:t>
            </w:r>
          </w:p>
        </w:tc>
        <w:tc>
          <w:tcPr>
            <w:tcW w:w="960" w:type="dxa"/>
            <w:tcBorders>
              <w:top w:val="nil"/>
              <w:left w:val="nil"/>
              <w:bottom w:val="single" w:sz="12" w:space="0" w:color="404040" w:themeColor="text1" w:themeTint="BF"/>
              <w:right w:val="nil"/>
            </w:tcBorders>
            <w:shd w:val="clear" w:color="000000" w:fill="F2F2F2"/>
            <w:vAlign w:val="center"/>
            <w:hideMark/>
          </w:tcPr>
          <w:p w14:paraId="20F71EDE"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0.04</w:t>
            </w:r>
          </w:p>
        </w:tc>
        <w:tc>
          <w:tcPr>
            <w:tcW w:w="887" w:type="dxa"/>
            <w:tcBorders>
              <w:top w:val="nil"/>
              <w:left w:val="nil"/>
              <w:bottom w:val="single" w:sz="12" w:space="0" w:color="404040" w:themeColor="text1" w:themeTint="BF"/>
              <w:right w:val="nil"/>
            </w:tcBorders>
            <w:shd w:val="clear" w:color="000000" w:fill="F2F2F2"/>
            <w:vAlign w:val="center"/>
            <w:hideMark/>
          </w:tcPr>
          <w:p w14:paraId="4367E817"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0.02</w:t>
            </w:r>
          </w:p>
        </w:tc>
        <w:tc>
          <w:tcPr>
            <w:tcW w:w="960" w:type="dxa"/>
            <w:tcBorders>
              <w:top w:val="nil"/>
              <w:left w:val="nil"/>
              <w:bottom w:val="single" w:sz="12" w:space="0" w:color="404040" w:themeColor="text1" w:themeTint="BF"/>
              <w:right w:val="nil"/>
            </w:tcBorders>
            <w:shd w:val="clear" w:color="000000" w:fill="F2F2F2"/>
            <w:vAlign w:val="center"/>
            <w:hideMark/>
          </w:tcPr>
          <w:p w14:paraId="043F921A"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0.1</w:t>
            </w:r>
          </w:p>
        </w:tc>
        <w:tc>
          <w:tcPr>
            <w:tcW w:w="1180" w:type="dxa"/>
            <w:tcBorders>
              <w:top w:val="nil"/>
              <w:left w:val="nil"/>
              <w:bottom w:val="single" w:sz="12" w:space="0" w:color="404040" w:themeColor="text1" w:themeTint="BF"/>
              <w:right w:val="nil"/>
            </w:tcBorders>
            <w:shd w:val="clear" w:color="000000" w:fill="F2F2F2"/>
            <w:vAlign w:val="center"/>
            <w:hideMark/>
          </w:tcPr>
          <w:p w14:paraId="15D49776"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0.07</w:t>
            </w:r>
          </w:p>
        </w:tc>
        <w:tc>
          <w:tcPr>
            <w:tcW w:w="960" w:type="dxa"/>
            <w:tcBorders>
              <w:top w:val="nil"/>
              <w:left w:val="nil"/>
              <w:bottom w:val="single" w:sz="12" w:space="0" w:color="404040" w:themeColor="text1" w:themeTint="BF"/>
              <w:right w:val="nil"/>
            </w:tcBorders>
            <w:shd w:val="clear" w:color="000000" w:fill="F2F2F2"/>
            <w:vAlign w:val="center"/>
            <w:hideMark/>
          </w:tcPr>
          <w:p w14:paraId="17C33D32"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0.01</w:t>
            </w:r>
          </w:p>
        </w:tc>
        <w:tc>
          <w:tcPr>
            <w:tcW w:w="222" w:type="dxa"/>
            <w:vAlign w:val="center"/>
            <w:hideMark/>
          </w:tcPr>
          <w:p w14:paraId="380F6AE6" w14:textId="77777777" w:rsidR="00214069" w:rsidRPr="00C64BA4" w:rsidRDefault="00214069" w:rsidP="00206C45">
            <w:pPr>
              <w:spacing w:after="0" w:line="300" w:lineRule="auto"/>
              <w:rPr>
                <w:rFonts w:eastAsia="Times New Roman" w:cs="Times New Roman"/>
                <w:sz w:val="20"/>
                <w:szCs w:val="20"/>
              </w:rPr>
            </w:pPr>
          </w:p>
        </w:tc>
      </w:tr>
      <w:tr w:rsidR="00214069" w:rsidRPr="00C64BA4" w14:paraId="28AAB3D3" w14:textId="77777777" w:rsidTr="006E5BE8">
        <w:trPr>
          <w:trHeight w:val="300"/>
          <w:jc w:val="center"/>
        </w:trPr>
        <w:tc>
          <w:tcPr>
            <w:tcW w:w="1142" w:type="dxa"/>
            <w:vMerge w:val="restart"/>
            <w:tcBorders>
              <w:top w:val="single" w:sz="12" w:space="0" w:color="404040" w:themeColor="text1" w:themeTint="BF"/>
              <w:left w:val="nil"/>
              <w:bottom w:val="nil"/>
              <w:right w:val="nil"/>
            </w:tcBorders>
            <w:shd w:val="clear" w:color="auto" w:fill="auto"/>
            <w:vAlign w:val="center"/>
            <w:hideMark/>
          </w:tcPr>
          <w:p w14:paraId="7DD98DE9" w14:textId="77777777" w:rsidR="00214069" w:rsidRPr="00C64BA4" w:rsidRDefault="00214069" w:rsidP="00206C45">
            <w:pPr>
              <w:spacing w:after="0" w:line="300" w:lineRule="auto"/>
              <w:jc w:val="center"/>
              <w:rPr>
                <w:rFonts w:eastAsia="Times New Roman" w:cs="Calibri"/>
                <w:b/>
                <w:bCs/>
                <w:color w:val="595959"/>
              </w:rPr>
            </w:pPr>
            <w:r w:rsidRPr="00C64BA4">
              <w:rPr>
                <w:rFonts w:eastAsia="Times New Roman" w:cs="Calibri"/>
                <w:b/>
                <w:bCs/>
                <w:color w:val="595959"/>
              </w:rPr>
              <w:t>Difference</w:t>
            </w:r>
          </w:p>
        </w:tc>
        <w:tc>
          <w:tcPr>
            <w:tcW w:w="1691" w:type="dxa"/>
            <w:tcBorders>
              <w:top w:val="single" w:sz="12" w:space="0" w:color="404040" w:themeColor="text1" w:themeTint="BF"/>
              <w:left w:val="nil"/>
              <w:bottom w:val="single" w:sz="4" w:space="0" w:color="auto"/>
              <w:right w:val="nil"/>
            </w:tcBorders>
            <w:shd w:val="clear" w:color="auto" w:fill="auto"/>
            <w:vAlign w:val="center"/>
            <w:hideMark/>
          </w:tcPr>
          <w:p w14:paraId="1E261CCE"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w:t>
            </w:r>
          </w:p>
        </w:tc>
        <w:tc>
          <w:tcPr>
            <w:tcW w:w="981" w:type="dxa"/>
            <w:tcBorders>
              <w:top w:val="single" w:sz="12" w:space="0" w:color="404040" w:themeColor="text1" w:themeTint="BF"/>
              <w:left w:val="nil"/>
              <w:bottom w:val="single" w:sz="4" w:space="0" w:color="auto"/>
              <w:right w:val="nil"/>
            </w:tcBorders>
            <w:shd w:val="clear" w:color="auto" w:fill="auto"/>
            <w:vAlign w:val="center"/>
            <w:hideMark/>
          </w:tcPr>
          <w:p w14:paraId="372BD9BC"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27%</w:t>
            </w:r>
          </w:p>
        </w:tc>
        <w:tc>
          <w:tcPr>
            <w:tcW w:w="960" w:type="dxa"/>
            <w:tcBorders>
              <w:top w:val="single" w:sz="12" w:space="0" w:color="404040" w:themeColor="text1" w:themeTint="BF"/>
              <w:left w:val="nil"/>
              <w:bottom w:val="single" w:sz="4" w:space="0" w:color="auto"/>
              <w:right w:val="nil"/>
            </w:tcBorders>
            <w:shd w:val="clear" w:color="auto" w:fill="auto"/>
            <w:vAlign w:val="center"/>
            <w:hideMark/>
          </w:tcPr>
          <w:p w14:paraId="284CE567"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15%</w:t>
            </w:r>
          </w:p>
        </w:tc>
        <w:tc>
          <w:tcPr>
            <w:tcW w:w="887" w:type="dxa"/>
            <w:tcBorders>
              <w:top w:val="single" w:sz="12" w:space="0" w:color="404040" w:themeColor="text1" w:themeTint="BF"/>
              <w:left w:val="nil"/>
              <w:bottom w:val="single" w:sz="4" w:space="0" w:color="auto"/>
              <w:right w:val="nil"/>
            </w:tcBorders>
            <w:shd w:val="clear" w:color="auto" w:fill="auto"/>
            <w:vAlign w:val="center"/>
            <w:hideMark/>
          </w:tcPr>
          <w:p w14:paraId="29096DAC"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12%</w:t>
            </w:r>
          </w:p>
        </w:tc>
        <w:tc>
          <w:tcPr>
            <w:tcW w:w="960" w:type="dxa"/>
            <w:tcBorders>
              <w:top w:val="single" w:sz="12" w:space="0" w:color="404040" w:themeColor="text1" w:themeTint="BF"/>
              <w:left w:val="nil"/>
              <w:bottom w:val="single" w:sz="4" w:space="0" w:color="auto"/>
              <w:right w:val="nil"/>
            </w:tcBorders>
            <w:shd w:val="clear" w:color="auto" w:fill="auto"/>
            <w:vAlign w:val="center"/>
            <w:hideMark/>
          </w:tcPr>
          <w:p w14:paraId="69C11D5F" w14:textId="77777777" w:rsidR="00214069" w:rsidRPr="00C64BA4" w:rsidRDefault="00214069" w:rsidP="00206C45">
            <w:pPr>
              <w:spacing w:after="0" w:line="300" w:lineRule="auto"/>
              <w:jc w:val="center"/>
              <w:rPr>
                <w:rFonts w:eastAsia="Times New Roman" w:cs="Calibri"/>
                <w:color w:val="760000"/>
              </w:rPr>
            </w:pPr>
            <w:r w:rsidRPr="00C64BA4">
              <w:rPr>
                <w:rFonts w:eastAsia="Times New Roman" w:cs="Calibri"/>
                <w:color w:val="760000"/>
              </w:rPr>
              <w:t>-5%</w:t>
            </w:r>
          </w:p>
        </w:tc>
        <w:tc>
          <w:tcPr>
            <w:tcW w:w="1180" w:type="dxa"/>
            <w:tcBorders>
              <w:top w:val="single" w:sz="12" w:space="0" w:color="404040" w:themeColor="text1" w:themeTint="BF"/>
              <w:left w:val="nil"/>
              <w:bottom w:val="single" w:sz="4" w:space="0" w:color="auto"/>
              <w:right w:val="nil"/>
            </w:tcBorders>
            <w:shd w:val="clear" w:color="auto" w:fill="auto"/>
            <w:vAlign w:val="center"/>
            <w:hideMark/>
          </w:tcPr>
          <w:p w14:paraId="3090C710"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6%</w:t>
            </w:r>
          </w:p>
        </w:tc>
        <w:tc>
          <w:tcPr>
            <w:tcW w:w="960" w:type="dxa"/>
            <w:tcBorders>
              <w:top w:val="single" w:sz="12" w:space="0" w:color="404040" w:themeColor="text1" w:themeTint="BF"/>
              <w:left w:val="nil"/>
              <w:bottom w:val="single" w:sz="4" w:space="0" w:color="auto"/>
              <w:right w:val="nil"/>
            </w:tcBorders>
            <w:shd w:val="clear" w:color="auto" w:fill="auto"/>
            <w:vAlign w:val="center"/>
            <w:hideMark/>
          </w:tcPr>
          <w:p w14:paraId="3D318CD3"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10%</w:t>
            </w:r>
          </w:p>
        </w:tc>
        <w:tc>
          <w:tcPr>
            <w:tcW w:w="222" w:type="dxa"/>
            <w:vAlign w:val="center"/>
            <w:hideMark/>
          </w:tcPr>
          <w:p w14:paraId="30F45697" w14:textId="77777777" w:rsidR="00214069" w:rsidRPr="00C64BA4" w:rsidRDefault="00214069" w:rsidP="00206C45">
            <w:pPr>
              <w:spacing w:after="0" w:line="300" w:lineRule="auto"/>
              <w:rPr>
                <w:rFonts w:eastAsia="Times New Roman" w:cs="Times New Roman"/>
                <w:sz w:val="20"/>
                <w:szCs w:val="20"/>
              </w:rPr>
            </w:pPr>
          </w:p>
        </w:tc>
      </w:tr>
      <w:tr w:rsidR="00214069" w:rsidRPr="00C64BA4" w14:paraId="12413FD1" w14:textId="77777777" w:rsidTr="006E5BE8">
        <w:trPr>
          <w:trHeight w:val="570"/>
          <w:jc w:val="center"/>
        </w:trPr>
        <w:tc>
          <w:tcPr>
            <w:tcW w:w="1142" w:type="dxa"/>
            <w:vMerge/>
            <w:tcBorders>
              <w:top w:val="nil"/>
              <w:left w:val="nil"/>
              <w:bottom w:val="nil"/>
              <w:right w:val="nil"/>
            </w:tcBorders>
            <w:vAlign w:val="center"/>
            <w:hideMark/>
          </w:tcPr>
          <w:p w14:paraId="37C17EBE" w14:textId="77777777" w:rsidR="00214069" w:rsidRPr="00C64BA4" w:rsidRDefault="00214069" w:rsidP="00206C45">
            <w:pPr>
              <w:spacing w:after="0" w:line="300" w:lineRule="auto"/>
              <w:rPr>
                <w:rFonts w:eastAsia="Times New Roman" w:cs="Calibri"/>
                <w:b/>
                <w:bCs/>
                <w:color w:val="595959"/>
              </w:rPr>
            </w:pPr>
          </w:p>
        </w:tc>
        <w:tc>
          <w:tcPr>
            <w:tcW w:w="1691" w:type="dxa"/>
            <w:tcBorders>
              <w:top w:val="nil"/>
              <w:left w:val="nil"/>
              <w:bottom w:val="nil"/>
              <w:right w:val="nil"/>
            </w:tcBorders>
            <w:shd w:val="clear" w:color="000000" w:fill="E5F5FF"/>
            <w:vAlign w:val="center"/>
            <w:hideMark/>
          </w:tcPr>
          <w:p w14:paraId="152817BE"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Density (per acre)</w:t>
            </w:r>
          </w:p>
        </w:tc>
        <w:tc>
          <w:tcPr>
            <w:tcW w:w="981" w:type="dxa"/>
            <w:tcBorders>
              <w:top w:val="nil"/>
              <w:left w:val="nil"/>
              <w:bottom w:val="nil"/>
              <w:right w:val="nil"/>
            </w:tcBorders>
            <w:shd w:val="clear" w:color="000000" w:fill="E5F5FF"/>
            <w:vAlign w:val="center"/>
            <w:hideMark/>
          </w:tcPr>
          <w:p w14:paraId="3E2389E6"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3.92</w:t>
            </w:r>
          </w:p>
        </w:tc>
        <w:tc>
          <w:tcPr>
            <w:tcW w:w="960" w:type="dxa"/>
            <w:tcBorders>
              <w:top w:val="nil"/>
              <w:left w:val="nil"/>
              <w:bottom w:val="nil"/>
              <w:right w:val="nil"/>
            </w:tcBorders>
            <w:shd w:val="clear" w:color="000000" w:fill="E5F5FF"/>
            <w:vAlign w:val="center"/>
            <w:hideMark/>
          </w:tcPr>
          <w:p w14:paraId="746E0708"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2.07</w:t>
            </w:r>
          </w:p>
        </w:tc>
        <w:tc>
          <w:tcPr>
            <w:tcW w:w="887" w:type="dxa"/>
            <w:tcBorders>
              <w:top w:val="nil"/>
              <w:left w:val="nil"/>
              <w:bottom w:val="nil"/>
              <w:right w:val="nil"/>
            </w:tcBorders>
            <w:shd w:val="clear" w:color="000000" w:fill="E5F5FF"/>
            <w:vAlign w:val="center"/>
            <w:hideMark/>
          </w:tcPr>
          <w:p w14:paraId="3C10ACE0"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1.46</w:t>
            </w:r>
          </w:p>
        </w:tc>
        <w:tc>
          <w:tcPr>
            <w:tcW w:w="960" w:type="dxa"/>
            <w:tcBorders>
              <w:top w:val="nil"/>
              <w:left w:val="nil"/>
              <w:bottom w:val="nil"/>
              <w:right w:val="nil"/>
            </w:tcBorders>
            <w:shd w:val="clear" w:color="000000" w:fill="E5F5FF"/>
            <w:vAlign w:val="center"/>
            <w:hideMark/>
          </w:tcPr>
          <w:p w14:paraId="66C4E7A9"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0.97</w:t>
            </w:r>
          </w:p>
        </w:tc>
        <w:tc>
          <w:tcPr>
            <w:tcW w:w="1180" w:type="dxa"/>
            <w:tcBorders>
              <w:top w:val="nil"/>
              <w:left w:val="nil"/>
              <w:bottom w:val="nil"/>
              <w:right w:val="nil"/>
            </w:tcBorders>
            <w:shd w:val="clear" w:color="000000" w:fill="E5F5FF"/>
            <w:vAlign w:val="center"/>
            <w:hideMark/>
          </w:tcPr>
          <w:p w14:paraId="2AF839E1"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1.7</w:t>
            </w:r>
          </w:p>
        </w:tc>
        <w:tc>
          <w:tcPr>
            <w:tcW w:w="960" w:type="dxa"/>
            <w:tcBorders>
              <w:top w:val="nil"/>
              <w:left w:val="nil"/>
              <w:bottom w:val="nil"/>
              <w:right w:val="nil"/>
            </w:tcBorders>
            <w:shd w:val="clear" w:color="000000" w:fill="E5F5FF"/>
            <w:vAlign w:val="center"/>
            <w:hideMark/>
          </w:tcPr>
          <w:p w14:paraId="0FD12D68" w14:textId="77777777" w:rsidR="00214069" w:rsidRPr="00C64BA4" w:rsidRDefault="00214069" w:rsidP="00206C45">
            <w:pPr>
              <w:spacing w:after="0" w:line="300" w:lineRule="auto"/>
              <w:jc w:val="center"/>
              <w:rPr>
                <w:rFonts w:eastAsia="Times New Roman" w:cs="Calibri"/>
                <w:color w:val="000000"/>
              </w:rPr>
            </w:pPr>
            <w:r w:rsidRPr="00C64BA4">
              <w:rPr>
                <w:rFonts w:eastAsia="Times New Roman" w:cs="Calibri"/>
                <w:color w:val="000000"/>
              </w:rPr>
              <w:t>0.56</w:t>
            </w:r>
          </w:p>
        </w:tc>
        <w:tc>
          <w:tcPr>
            <w:tcW w:w="222" w:type="dxa"/>
            <w:vAlign w:val="center"/>
            <w:hideMark/>
          </w:tcPr>
          <w:p w14:paraId="66C798E4" w14:textId="77777777" w:rsidR="00214069" w:rsidRPr="00C64BA4" w:rsidRDefault="00214069" w:rsidP="00206C45">
            <w:pPr>
              <w:spacing w:after="0" w:line="300" w:lineRule="auto"/>
              <w:rPr>
                <w:rFonts w:eastAsia="Times New Roman" w:cs="Times New Roman"/>
                <w:sz w:val="20"/>
                <w:szCs w:val="20"/>
              </w:rPr>
            </w:pPr>
          </w:p>
        </w:tc>
      </w:tr>
      <w:tr w:rsidR="00214069" w:rsidRPr="00C64BA4" w14:paraId="384F2B88" w14:textId="77777777" w:rsidTr="006E5BE8">
        <w:trPr>
          <w:trHeight w:val="300"/>
          <w:jc w:val="center"/>
        </w:trPr>
        <w:tc>
          <w:tcPr>
            <w:tcW w:w="8761" w:type="dxa"/>
            <w:gridSpan w:val="8"/>
            <w:tcBorders>
              <w:top w:val="nil"/>
              <w:left w:val="nil"/>
              <w:bottom w:val="nil"/>
              <w:right w:val="nil"/>
            </w:tcBorders>
            <w:shd w:val="clear" w:color="auto" w:fill="auto"/>
            <w:noWrap/>
            <w:vAlign w:val="bottom"/>
            <w:hideMark/>
          </w:tcPr>
          <w:p w14:paraId="6C39F85C" w14:textId="77777777" w:rsidR="00214069" w:rsidRPr="00C64BA4" w:rsidRDefault="00214069"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US Census Bureau</w:t>
            </w:r>
          </w:p>
        </w:tc>
        <w:tc>
          <w:tcPr>
            <w:tcW w:w="222" w:type="dxa"/>
            <w:vAlign w:val="center"/>
            <w:hideMark/>
          </w:tcPr>
          <w:p w14:paraId="06F9CD8C" w14:textId="77777777" w:rsidR="00214069" w:rsidRPr="00C64BA4" w:rsidRDefault="00214069" w:rsidP="00206C45">
            <w:pPr>
              <w:spacing w:after="0" w:line="300" w:lineRule="auto"/>
              <w:rPr>
                <w:rFonts w:eastAsia="Times New Roman" w:cs="Times New Roman"/>
                <w:sz w:val="20"/>
                <w:szCs w:val="20"/>
              </w:rPr>
            </w:pPr>
          </w:p>
        </w:tc>
      </w:tr>
    </w:tbl>
    <w:bookmarkEnd w:id="108"/>
    <w:p w14:paraId="6A368E00" w14:textId="72B60545" w:rsidR="00FB3623" w:rsidRPr="00C64BA4" w:rsidRDefault="09A70516" w:rsidP="00206C45">
      <w:pPr>
        <w:spacing w:line="300" w:lineRule="auto"/>
        <w:jc w:val="both"/>
        <w:rPr>
          <w:rFonts w:eastAsia="Tw Cen MT" w:cs="Tw Cen MT"/>
          <w:lang w:val="en"/>
        </w:rPr>
      </w:pPr>
      <w:r w:rsidRPr="00C64BA4">
        <w:rPr>
          <w:rFonts w:eastAsia="Tw Cen MT" w:cs="Tw Cen MT"/>
          <w:lang w:val="en"/>
        </w:rPr>
        <w:t xml:space="preserve"> </w:t>
      </w:r>
    </w:p>
    <w:p w14:paraId="7F3C5D4B" w14:textId="77777777" w:rsidR="006B51BD" w:rsidRPr="00C64BA4" w:rsidRDefault="006B51BD" w:rsidP="00206C45">
      <w:pPr>
        <w:spacing w:line="300" w:lineRule="auto"/>
        <w:jc w:val="center"/>
        <w:rPr>
          <w:rFonts w:eastAsia="Tw Cen MT" w:cs="Tw Cen MT"/>
          <w:caps/>
          <w:sz w:val="24"/>
          <w:szCs w:val="24"/>
          <w:lang w:val="en"/>
        </w:rPr>
      </w:pPr>
    </w:p>
    <w:p w14:paraId="0411508F" w14:textId="339D76EA" w:rsidR="006B51BD" w:rsidRPr="00C64BA4" w:rsidRDefault="006B51BD" w:rsidP="00206C45">
      <w:pPr>
        <w:spacing w:line="300" w:lineRule="auto"/>
        <w:rPr>
          <w:rFonts w:eastAsia="Tw Cen MT" w:cs="Tw Cen MT"/>
          <w:caps/>
          <w:sz w:val="24"/>
          <w:szCs w:val="24"/>
          <w:lang w:val="en"/>
        </w:rPr>
      </w:pPr>
      <w:r w:rsidRPr="00C64BA4">
        <w:rPr>
          <w:rFonts w:eastAsia="Tw Cen MT" w:cs="Tw Cen MT"/>
          <w:caps/>
          <w:sz w:val="24"/>
          <w:szCs w:val="24"/>
          <w:lang w:val="en"/>
        </w:rPr>
        <w:br w:type="page"/>
      </w:r>
    </w:p>
    <w:p w14:paraId="2F3904A1" w14:textId="77777777" w:rsidR="006E5BE8" w:rsidRDefault="38D4D558" w:rsidP="00206C45">
      <w:pPr>
        <w:keepNext/>
        <w:spacing w:line="300" w:lineRule="auto"/>
        <w:jc w:val="center"/>
      </w:pPr>
      <w:r w:rsidRPr="00C64BA4">
        <w:rPr>
          <w:noProof/>
        </w:rPr>
        <w:lastRenderedPageBreak/>
        <w:drawing>
          <wp:inline distT="0" distB="0" distL="0" distR="0" wp14:anchorId="0FA296E1" wp14:editId="27AB8982">
            <wp:extent cx="5821204" cy="6848475"/>
            <wp:effectExtent l="0" t="0" r="8255" b="0"/>
            <wp:docPr id="59596258" name="Picture 59596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5821204" cy="6848475"/>
                    </a:xfrm>
                    <a:prstGeom prst="rect">
                      <a:avLst/>
                    </a:prstGeom>
                  </pic:spPr>
                </pic:pic>
              </a:graphicData>
            </a:graphic>
          </wp:inline>
        </w:drawing>
      </w:r>
    </w:p>
    <w:p w14:paraId="5537721F" w14:textId="443D1C0B" w:rsidR="00FB3623" w:rsidRPr="00C64BA4" w:rsidRDefault="006E5BE8" w:rsidP="00206C45">
      <w:pPr>
        <w:pStyle w:val="Caption"/>
        <w:spacing w:line="300" w:lineRule="auto"/>
        <w:jc w:val="center"/>
      </w:pPr>
      <w:bookmarkStart w:id="109" w:name="_Ref123199118"/>
      <w:bookmarkStart w:id="110" w:name="_Toc128137868"/>
      <w:r>
        <w:t xml:space="preserve">Figure </w:t>
      </w:r>
      <w:r w:rsidR="0062538A">
        <w:fldChar w:fldCharType="begin"/>
      </w:r>
      <w:r w:rsidR="0062538A">
        <w:instrText xml:space="preserve"> SEQ Figure \* ARABIC </w:instrText>
      </w:r>
      <w:r w:rsidR="0062538A">
        <w:fldChar w:fldCharType="separate"/>
      </w:r>
      <w:r w:rsidR="00E75682">
        <w:rPr>
          <w:noProof/>
        </w:rPr>
        <w:t>9</w:t>
      </w:r>
      <w:r w:rsidR="0062538A">
        <w:rPr>
          <w:noProof/>
        </w:rPr>
        <w:fldChar w:fldCharType="end"/>
      </w:r>
      <w:bookmarkEnd w:id="109"/>
      <w:r>
        <w:t>: Equity Area</w:t>
      </w:r>
      <w:bookmarkEnd w:id="110"/>
    </w:p>
    <w:p w14:paraId="7E25688A" w14:textId="77777777" w:rsidR="00FD2163" w:rsidRPr="00C64BA4" w:rsidRDefault="00FD2163" w:rsidP="00206C45">
      <w:pPr>
        <w:spacing w:line="300" w:lineRule="auto"/>
        <w:rPr>
          <w:caps/>
          <w:color w:val="003CB4" w:themeColor="accent2" w:themeShade="80"/>
          <w:spacing w:val="15"/>
          <w:sz w:val="24"/>
          <w:szCs w:val="24"/>
          <w:lang w:val="en"/>
        </w:rPr>
      </w:pPr>
      <w:r w:rsidRPr="00C64BA4">
        <w:rPr>
          <w:lang w:val="en"/>
        </w:rPr>
        <w:br w:type="page"/>
      </w:r>
    </w:p>
    <w:p w14:paraId="3EB1916E" w14:textId="12706D7F" w:rsidR="00B40F3B" w:rsidRPr="002B7D1E" w:rsidRDefault="135E5A68" w:rsidP="00206C45">
      <w:pPr>
        <w:pStyle w:val="Heading2"/>
        <w:spacing w:line="300" w:lineRule="auto"/>
      </w:pPr>
      <w:bookmarkStart w:id="111" w:name="_Toc983878890"/>
      <w:bookmarkStart w:id="112" w:name="_Toc1101142603"/>
      <w:bookmarkStart w:id="113" w:name="_Toc128137962"/>
      <w:r w:rsidRPr="002B7D1E">
        <w:lastRenderedPageBreak/>
        <w:t>Housing Unit Trends and Characteristics</w:t>
      </w:r>
      <w:bookmarkEnd w:id="111"/>
      <w:bookmarkEnd w:id="112"/>
      <w:bookmarkEnd w:id="113"/>
    </w:p>
    <w:p w14:paraId="25743706" w14:textId="574366C9" w:rsidR="7D79BFBF" w:rsidRPr="00C64BA4" w:rsidRDefault="1B74FB4C" w:rsidP="00206C45">
      <w:pPr>
        <w:pStyle w:val="Heading3"/>
        <w:spacing w:line="300" w:lineRule="auto"/>
        <w:rPr>
          <w:lang w:val="en"/>
        </w:rPr>
      </w:pPr>
      <w:bookmarkStart w:id="114" w:name="_Toc783586907"/>
      <w:bookmarkStart w:id="115" w:name="_Toc1864383807"/>
      <w:bookmarkStart w:id="116" w:name="_Toc128137963"/>
      <w:r w:rsidRPr="00C64BA4">
        <w:rPr>
          <w:lang w:val="en"/>
        </w:rPr>
        <w:t xml:space="preserve">Housing </w:t>
      </w:r>
      <w:r w:rsidR="530D66D0" w:rsidRPr="00C64BA4">
        <w:rPr>
          <w:lang w:val="en"/>
        </w:rPr>
        <w:t>Inventory</w:t>
      </w:r>
      <w:bookmarkEnd w:id="114"/>
      <w:bookmarkEnd w:id="115"/>
      <w:bookmarkEnd w:id="116"/>
    </w:p>
    <w:p w14:paraId="493ACE33" w14:textId="1ED41AB9" w:rsidR="00FE4DED" w:rsidRPr="00251F36" w:rsidRDefault="00FE4DED" w:rsidP="00206C45">
      <w:pPr>
        <w:spacing w:line="300" w:lineRule="auto"/>
        <w:rPr>
          <w:lang w:val="en"/>
        </w:rPr>
      </w:pPr>
      <w:r w:rsidRPr="00251F36">
        <w:rPr>
          <w:lang w:val="en"/>
        </w:rPr>
        <w:t>The 14-community SNHPC Region, as of 20</w:t>
      </w:r>
      <w:r>
        <w:rPr>
          <w:lang w:val="en"/>
        </w:rPr>
        <w:t>20</w:t>
      </w:r>
      <w:r w:rsidRPr="00251F36">
        <w:rPr>
          <w:lang w:val="en"/>
        </w:rPr>
        <w:t xml:space="preserve">, hosts </w:t>
      </w:r>
      <w:r>
        <w:rPr>
          <w:lang w:val="en"/>
        </w:rPr>
        <w:t>115,580</w:t>
      </w:r>
      <w:r w:rsidRPr="00251F36">
        <w:rPr>
          <w:lang w:val="en"/>
        </w:rPr>
        <w:t xml:space="preserve"> housing units. These are comprised of single-family, </w:t>
      </w:r>
      <w:proofErr w:type="gramStart"/>
      <w:r w:rsidRPr="00251F36">
        <w:rPr>
          <w:lang w:val="en"/>
        </w:rPr>
        <w:t>two-family</w:t>
      </w:r>
      <w:proofErr w:type="gramEnd"/>
      <w:r w:rsidRPr="00251F36">
        <w:rPr>
          <w:lang w:val="en"/>
        </w:rPr>
        <w:t xml:space="preserve"> or duplex, or multi-family homes, as well as condominiums and manufactured homes. This is just about </w:t>
      </w:r>
      <w:r>
        <w:rPr>
          <w:lang w:val="en"/>
        </w:rPr>
        <w:t>18</w:t>
      </w:r>
      <w:r w:rsidRPr="00251F36">
        <w:rPr>
          <w:lang w:val="en"/>
        </w:rPr>
        <w:t xml:space="preserve"> percent of the homes in the State of New Hampshire. The region's communities vary in size from </w:t>
      </w:r>
      <w:proofErr w:type="spellStart"/>
      <w:r>
        <w:rPr>
          <w:lang w:val="en"/>
        </w:rPr>
        <w:t>Francestown</w:t>
      </w:r>
      <w:proofErr w:type="spellEnd"/>
      <w:r w:rsidRPr="00251F36">
        <w:rPr>
          <w:lang w:val="en"/>
        </w:rPr>
        <w:t xml:space="preserve">, the smallest, with an estimated </w:t>
      </w:r>
      <w:r>
        <w:rPr>
          <w:lang w:val="en"/>
        </w:rPr>
        <w:t>740</w:t>
      </w:r>
      <w:r w:rsidRPr="00251F36">
        <w:rPr>
          <w:lang w:val="en"/>
        </w:rPr>
        <w:t xml:space="preserve"> units to Manchester, the largest, with </w:t>
      </w:r>
      <w:r>
        <w:rPr>
          <w:lang w:val="en"/>
        </w:rPr>
        <w:t>51,440</w:t>
      </w:r>
      <w:r w:rsidRPr="00251F36">
        <w:rPr>
          <w:lang w:val="en"/>
        </w:rPr>
        <w:t xml:space="preserve"> units</w:t>
      </w:r>
      <w:r>
        <w:rPr>
          <w:lang w:val="en"/>
        </w:rPr>
        <w:t>.</w:t>
      </w:r>
    </w:p>
    <w:p w14:paraId="27E3F77A" w14:textId="512E8EE0" w:rsidR="002B7D1E" w:rsidRDefault="002B7D1E" w:rsidP="00206C45">
      <w:pPr>
        <w:pStyle w:val="Caption"/>
        <w:keepNext/>
        <w:spacing w:line="300" w:lineRule="auto"/>
      </w:pPr>
      <w:bookmarkStart w:id="117" w:name="_Toc128137914"/>
      <w:r>
        <w:t xml:space="preserve">Table </w:t>
      </w:r>
      <w:r w:rsidR="0062538A">
        <w:fldChar w:fldCharType="begin"/>
      </w:r>
      <w:r w:rsidR="0062538A">
        <w:instrText xml:space="preserve"> SEQ Table \* ARABIC </w:instrText>
      </w:r>
      <w:r w:rsidR="0062538A">
        <w:fldChar w:fldCharType="separate"/>
      </w:r>
      <w:r w:rsidR="008B512A">
        <w:rPr>
          <w:noProof/>
        </w:rPr>
        <w:t>23</w:t>
      </w:r>
      <w:r w:rsidR="0062538A">
        <w:rPr>
          <w:noProof/>
        </w:rPr>
        <w:fldChar w:fldCharType="end"/>
      </w:r>
      <w:r>
        <w:t xml:space="preserve">: </w:t>
      </w:r>
      <w:r w:rsidR="008D1C9C">
        <w:t>T</w:t>
      </w:r>
      <w:r w:rsidR="00FC0635">
        <w:t>otal</w:t>
      </w:r>
      <w:r w:rsidR="008D1C9C">
        <w:t xml:space="preserve"> Housing units</w:t>
      </w:r>
      <w:bookmarkEnd w:id="117"/>
    </w:p>
    <w:tbl>
      <w:tblPr>
        <w:tblW w:w="5416" w:type="dxa"/>
        <w:tblLook w:val="04A0" w:firstRow="1" w:lastRow="0" w:firstColumn="1" w:lastColumn="0" w:noHBand="0" w:noVBand="1"/>
      </w:tblPr>
      <w:tblGrid>
        <w:gridCol w:w="1323"/>
        <w:gridCol w:w="993"/>
        <w:gridCol w:w="1020"/>
        <w:gridCol w:w="1120"/>
        <w:gridCol w:w="960"/>
      </w:tblGrid>
      <w:tr w:rsidR="008D1C9C" w:rsidRPr="00DF0A2E" w14:paraId="509C8ED4" w14:textId="77777777" w:rsidTr="00D65D0C">
        <w:trPr>
          <w:trHeight w:val="285"/>
        </w:trPr>
        <w:tc>
          <w:tcPr>
            <w:tcW w:w="1323" w:type="dxa"/>
            <w:tcBorders>
              <w:top w:val="nil"/>
              <w:left w:val="nil"/>
              <w:bottom w:val="nil"/>
              <w:right w:val="nil"/>
            </w:tcBorders>
            <w:shd w:val="clear" w:color="auto" w:fill="auto"/>
            <w:noWrap/>
            <w:vAlign w:val="bottom"/>
            <w:hideMark/>
          </w:tcPr>
          <w:p w14:paraId="54FD90D7" w14:textId="375D72C5" w:rsidR="008D1C9C" w:rsidRPr="00DF0A2E" w:rsidRDefault="008D1C9C" w:rsidP="00206C45">
            <w:pPr>
              <w:spacing w:after="0" w:line="300" w:lineRule="auto"/>
              <w:rPr>
                <w:rFonts w:ascii="Tw Cen MT" w:eastAsia="Times New Roman" w:hAnsi="Tw Cen MT" w:cs="Calibri"/>
                <w:color w:val="000000"/>
              </w:rPr>
            </w:pPr>
          </w:p>
        </w:tc>
        <w:tc>
          <w:tcPr>
            <w:tcW w:w="993" w:type="dxa"/>
            <w:tcBorders>
              <w:top w:val="nil"/>
              <w:left w:val="nil"/>
              <w:bottom w:val="nil"/>
              <w:right w:val="nil"/>
            </w:tcBorders>
            <w:shd w:val="clear" w:color="auto" w:fill="auto"/>
            <w:noWrap/>
            <w:vAlign w:val="bottom"/>
            <w:hideMark/>
          </w:tcPr>
          <w:p w14:paraId="1EAA5FA0" w14:textId="77777777" w:rsidR="008D1C9C" w:rsidRPr="00DF0A2E" w:rsidRDefault="008D1C9C" w:rsidP="00206C45">
            <w:pPr>
              <w:spacing w:after="0" w:line="300" w:lineRule="auto"/>
              <w:rPr>
                <w:rFonts w:ascii="Tw Cen MT" w:eastAsia="Times New Roman" w:hAnsi="Tw Cen MT" w:cs="Calibri"/>
                <w:color w:val="000000"/>
              </w:rPr>
            </w:pPr>
          </w:p>
        </w:tc>
        <w:tc>
          <w:tcPr>
            <w:tcW w:w="1020" w:type="dxa"/>
            <w:tcBorders>
              <w:top w:val="nil"/>
              <w:left w:val="nil"/>
              <w:bottom w:val="nil"/>
              <w:right w:val="nil"/>
            </w:tcBorders>
            <w:shd w:val="clear" w:color="auto" w:fill="auto"/>
            <w:noWrap/>
            <w:vAlign w:val="bottom"/>
            <w:hideMark/>
          </w:tcPr>
          <w:p w14:paraId="09233699" w14:textId="77777777" w:rsidR="008D1C9C" w:rsidRPr="00DF0A2E" w:rsidRDefault="008D1C9C" w:rsidP="00206C45">
            <w:pPr>
              <w:spacing w:after="0" w:line="300" w:lineRule="auto"/>
              <w:rPr>
                <w:rFonts w:ascii="Times New Roman" w:eastAsia="Times New Roman" w:hAnsi="Times New Roman" w:cs="Times New Roman"/>
                <w:sz w:val="20"/>
                <w:szCs w:val="20"/>
              </w:rPr>
            </w:pPr>
          </w:p>
        </w:tc>
        <w:tc>
          <w:tcPr>
            <w:tcW w:w="1120" w:type="dxa"/>
            <w:tcBorders>
              <w:top w:val="nil"/>
              <w:left w:val="nil"/>
              <w:bottom w:val="nil"/>
              <w:right w:val="nil"/>
            </w:tcBorders>
            <w:shd w:val="clear" w:color="auto" w:fill="auto"/>
            <w:noWrap/>
            <w:vAlign w:val="bottom"/>
            <w:hideMark/>
          </w:tcPr>
          <w:p w14:paraId="26F24B46" w14:textId="77777777" w:rsidR="008D1C9C" w:rsidRPr="00DF0A2E" w:rsidRDefault="008D1C9C" w:rsidP="00206C45">
            <w:pPr>
              <w:spacing w:after="0" w:line="30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383E7F0B" w14:textId="77777777" w:rsidR="008D1C9C" w:rsidRPr="00DF0A2E" w:rsidRDefault="008D1C9C" w:rsidP="00206C45">
            <w:pPr>
              <w:spacing w:after="0" w:line="300" w:lineRule="auto"/>
              <w:rPr>
                <w:rFonts w:ascii="Times New Roman" w:eastAsia="Times New Roman" w:hAnsi="Times New Roman" w:cs="Times New Roman"/>
                <w:sz w:val="20"/>
                <w:szCs w:val="20"/>
              </w:rPr>
            </w:pPr>
          </w:p>
        </w:tc>
      </w:tr>
      <w:tr w:rsidR="008D1C9C" w:rsidRPr="00DF0A2E" w14:paraId="61B8B9F6" w14:textId="77777777" w:rsidTr="00D65D0C">
        <w:trPr>
          <w:trHeight w:val="285"/>
        </w:trPr>
        <w:tc>
          <w:tcPr>
            <w:tcW w:w="1323" w:type="dxa"/>
            <w:tcBorders>
              <w:top w:val="nil"/>
              <w:left w:val="nil"/>
              <w:bottom w:val="nil"/>
              <w:right w:val="nil"/>
            </w:tcBorders>
            <w:shd w:val="clear" w:color="auto" w:fill="auto"/>
            <w:noWrap/>
            <w:vAlign w:val="bottom"/>
            <w:hideMark/>
          </w:tcPr>
          <w:p w14:paraId="21203FF2" w14:textId="77777777" w:rsidR="008D1C9C" w:rsidRPr="00DF0A2E" w:rsidRDefault="008D1C9C" w:rsidP="00206C45">
            <w:pPr>
              <w:spacing w:after="0" w:line="300" w:lineRule="auto"/>
              <w:rPr>
                <w:rFonts w:ascii="Times New Roman" w:eastAsia="Times New Roman" w:hAnsi="Times New Roman" w:cs="Times New Roman"/>
                <w:sz w:val="20"/>
                <w:szCs w:val="20"/>
              </w:rPr>
            </w:pPr>
          </w:p>
        </w:tc>
        <w:tc>
          <w:tcPr>
            <w:tcW w:w="3133" w:type="dxa"/>
            <w:gridSpan w:val="3"/>
            <w:tcBorders>
              <w:top w:val="nil"/>
              <w:left w:val="nil"/>
              <w:bottom w:val="nil"/>
              <w:right w:val="nil"/>
            </w:tcBorders>
            <w:shd w:val="clear" w:color="auto" w:fill="auto"/>
            <w:noWrap/>
            <w:vAlign w:val="bottom"/>
            <w:hideMark/>
          </w:tcPr>
          <w:p w14:paraId="6D41F416" w14:textId="77777777" w:rsidR="008D1C9C" w:rsidRPr="00DF0A2E" w:rsidRDefault="008D1C9C" w:rsidP="00206C45">
            <w:pPr>
              <w:spacing w:after="0" w:line="300" w:lineRule="auto"/>
              <w:jc w:val="center"/>
              <w:rPr>
                <w:rFonts w:ascii="Tw Cen MT" w:eastAsia="Times New Roman" w:hAnsi="Tw Cen MT" w:cs="Calibri"/>
                <w:b/>
                <w:bCs/>
                <w:color w:val="595959"/>
              </w:rPr>
            </w:pPr>
            <w:r w:rsidRPr="00DF0A2E">
              <w:rPr>
                <w:rFonts w:ascii="Tw Cen MT" w:eastAsia="Times New Roman" w:hAnsi="Tw Cen MT" w:cs="Calibri"/>
                <w:b/>
                <w:bCs/>
                <w:color w:val="595959"/>
              </w:rPr>
              <w:t>Total Housing Units</w:t>
            </w:r>
          </w:p>
        </w:tc>
        <w:tc>
          <w:tcPr>
            <w:tcW w:w="960" w:type="dxa"/>
            <w:tcBorders>
              <w:top w:val="nil"/>
              <w:left w:val="nil"/>
              <w:bottom w:val="nil"/>
              <w:right w:val="nil"/>
            </w:tcBorders>
            <w:shd w:val="clear" w:color="auto" w:fill="auto"/>
            <w:noWrap/>
            <w:vAlign w:val="bottom"/>
            <w:hideMark/>
          </w:tcPr>
          <w:p w14:paraId="163DF3A5" w14:textId="77777777" w:rsidR="008D1C9C" w:rsidRPr="00DF0A2E" w:rsidRDefault="008D1C9C" w:rsidP="00206C45">
            <w:pPr>
              <w:spacing w:after="0" w:line="300" w:lineRule="auto"/>
              <w:jc w:val="center"/>
              <w:rPr>
                <w:rFonts w:ascii="Tw Cen MT" w:eastAsia="Times New Roman" w:hAnsi="Tw Cen MT" w:cs="Calibri"/>
                <w:b/>
                <w:bCs/>
                <w:color w:val="595959"/>
              </w:rPr>
            </w:pPr>
          </w:p>
        </w:tc>
      </w:tr>
      <w:tr w:rsidR="008D1C9C" w:rsidRPr="00DF0A2E" w14:paraId="3322F587" w14:textId="77777777" w:rsidTr="00D65D0C">
        <w:trPr>
          <w:trHeight w:val="285"/>
        </w:trPr>
        <w:tc>
          <w:tcPr>
            <w:tcW w:w="1323" w:type="dxa"/>
            <w:tcBorders>
              <w:top w:val="nil"/>
              <w:left w:val="nil"/>
              <w:bottom w:val="single" w:sz="4" w:space="0" w:color="auto"/>
              <w:right w:val="nil"/>
            </w:tcBorders>
            <w:shd w:val="clear" w:color="auto" w:fill="auto"/>
            <w:noWrap/>
            <w:vAlign w:val="bottom"/>
            <w:hideMark/>
          </w:tcPr>
          <w:p w14:paraId="06C2F4FA" w14:textId="77777777" w:rsidR="008D1C9C" w:rsidRPr="00DF0A2E" w:rsidRDefault="008D1C9C" w:rsidP="00206C45">
            <w:pPr>
              <w:spacing w:after="0" w:line="300" w:lineRule="auto"/>
              <w:rPr>
                <w:rFonts w:ascii="Tw Cen MT" w:eastAsia="Times New Roman" w:hAnsi="Tw Cen MT" w:cs="Calibri"/>
                <w:color w:val="000000"/>
              </w:rPr>
            </w:pPr>
            <w:r w:rsidRPr="00DF0A2E">
              <w:rPr>
                <w:rFonts w:ascii="Tw Cen MT" w:eastAsia="Times New Roman" w:hAnsi="Tw Cen MT" w:cs="Calibri"/>
                <w:color w:val="000000"/>
              </w:rPr>
              <w:t> </w:t>
            </w:r>
          </w:p>
        </w:tc>
        <w:tc>
          <w:tcPr>
            <w:tcW w:w="993" w:type="dxa"/>
            <w:tcBorders>
              <w:top w:val="nil"/>
              <w:left w:val="nil"/>
              <w:bottom w:val="single" w:sz="4" w:space="0" w:color="auto"/>
              <w:right w:val="nil"/>
            </w:tcBorders>
            <w:shd w:val="clear" w:color="auto" w:fill="auto"/>
            <w:noWrap/>
            <w:vAlign w:val="bottom"/>
            <w:hideMark/>
          </w:tcPr>
          <w:p w14:paraId="003CCFCD" w14:textId="77777777" w:rsidR="008D1C9C" w:rsidRPr="00DF0A2E" w:rsidRDefault="008D1C9C" w:rsidP="00206C45">
            <w:pPr>
              <w:spacing w:after="0" w:line="300" w:lineRule="auto"/>
              <w:jc w:val="center"/>
              <w:rPr>
                <w:rFonts w:ascii="Tw Cen MT" w:eastAsia="Times New Roman" w:hAnsi="Tw Cen MT" w:cs="Calibri"/>
                <w:b/>
                <w:bCs/>
                <w:color w:val="595959"/>
              </w:rPr>
            </w:pPr>
            <w:r w:rsidRPr="00DF0A2E">
              <w:rPr>
                <w:rFonts w:ascii="Tw Cen MT" w:eastAsia="Times New Roman" w:hAnsi="Tw Cen MT" w:cs="Calibri"/>
                <w:b/>
                <w:bCs/>
                <w:color w:val="595959"/>
              </w:rPr>
              <w:t>2010</w:t>
            </w:r>
          </w:p>
        </w:tc>
        <w:tc>
          <w:tcPr>
            <w:tcW w:w="1020" w:type="dxa"/>
            <w:tcBorders>
              <w:top w:val="nil"/>
              <w:left w:val="nil"/>
              <w:bottom w:val="single" w:sz="4" w:space="0" w:color="auto"/>
              <w:right w:val="nil"/>
            </w:tcBorders>
            <w:shd w:val="clear" w:color="auto" w:fill="auto"/>
            <w:noWrap/>
            <w:vAlign w:val="bottom"/>
            <w:hideMark/>
          </w:tcPr>
          <w:p w14:paraId="37FC88B2" w14:textId="77777777" w:rsidR="008D1C9C" w:rsidRPr="00DF0A2E" w:rsidRDefault="008D1C9C" w:rsidP="00206C45">
            <w:pPr>
              <w:spacing w:after="0" w:line="300" w:lineRule="auto"/>
              <w:jc w:val="center"/>
              <w:rPr>
                <w:rFonts w:ascii="Tw Cen MT" w:eastAsia="Times New Roman" w:hAnsi="Tw Cen MT" w:cs="Calibri"/>
                <w:b/>
                <w:bCs/>
                <w:color w:val="595959"/>
              </w:rPr>
            </w:pPr>
            <w:r w:rsidRPr="00DF0A2E">
              <w:rPr>
                <w:rFonts w:ascii="Tw Cen MT" w:eastAsia="Times New Roman" w:hAnsi="Tw Cen MT" w:cs="Calibri"/>
                <w:b/>
                <w:bCs/>
                <w:color w:val="595959"/>
              </w:rPr>
              <w:t>2020</w:t>
            </w:r>
          </w:p>
        </w:tc>
        <w:tc>
          <w:tcPr>
            <w:tcW w:w="2080" w:type="dxa"/>
            <w:gridSpan w:val="2"/>
            <w:tcBorders>
              <w:top w:val="nil"/>
              <w:left w:val="single" w:sz="4" w:space="0" w:color="auto"/>
              <w:bottom w:val="single" w:sz="4" w:space="0" w:color="auto"/>
              <w:right w:val="nil"/>
            </w:tcBorders>
            <w:shd w:val="clear" w:color="auto" w:fill="auto"/>
            <w:noWrap/>
            <w:vAlign w:val="bottom"/>
            <w:hideMark/>
          </w:tcPr>
          <w:p w14:paraId="6E14E85C" w14:textId="77777777" w:rsidR="008D1C9C" w:rsidRPr="00DF0A2E" w:rsidRDefault="008D1C9C" w:rsidP="00206C45">
            <w:pPr>
              <w:spacing w:after="0" w:line="300" w:lineRule="auto"/>
              <w:jc w:val="center"/>
              <w:rPr>
                <w:rFonts w:ascii="Tw Cen MT" w:eastAsia="Times New Roman" w:hAnsi="Tw Cen MT" w:cs="Calibri"/>
                <w:b/>
                <w:bCs/>
                <w:color w:val="595959"/>
              </w:rPr>
            </w:pPr>
            <w:r w:rsidRPr="00DF0A2E">
              <w:rPr>
                <w:rFonts w:ascii="Tw Cen MT" w:eastAsia="Times New Roman" w:hAnsi="Tw Cen MT" w:cs="Calibri"/>
                <w:b/>
                <w:bCs/>
                <w:color w:val="595959"/>
              </w:rPr>
              <w:t>Change 2010-20</w:t>
            </w:r>
          </w:p>
        </w:tc>
      </w:tr>
      <w:tr w:rsidR="008D1C9C" w:rsidRPr="00DF0A2E" w14:paraId="054C46F4" w14:textId="77777777" w:rsidTr="00D65D0C">
        <w:trPr>
          <w:trHeight w:val="285"/>
        </w:trPr>
        <w:tc>
          <w:tcPr>
            <w:tcW w:w="1323" w:type="dxa"/>
            <w:tcBorders>
              <w:top w:val="nil"/>
              <w:left w:val="nil"/>
              <w:bottom w:val="single" w:sz="4" w:space="0" w:color="auto"/>
              <w:right w:val="nil"/>
            </w:tcBorders>
            <w:shd w:val="clear" w:color="auto" w:fill="auto"/>
            <w:noWrap/>
            <w:vAlign w:val="center"/>
            <w:hideMark/>
          </w:tcPr>
          <w:p w14:paraId="5F32094B"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Auburn</w:t>
            </w:r>
          </w:p>
        </w:tc>
        <w:tc>
          <w:tcPr>
            <w:tcW w:w="993" w:type="dxa"/>
            <w:tcBorders>
              <w:top w:val="nil"/>
              <w:left w:val="nil"/>
              <w:bottom w:val="nil"/>
              <w:right w:val="nil"/>
            </w:tcBorders>
            <w:shd w:val="clear" w:color="auto" w:fill="auto"/>
            <w:noWrap/>
            <w:vAlign w:val="center"/>
            <w:hideMark/>
          </w:tcPr>
          <w:p w14:paraId="1D9B6681"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1,810</w:t>
            </w:r>
          </w:p>
        </w:tc>
        <w:tc>
          <w:tcPr>
            <w:tcW w:w="1020" w:type="dxa"/>
            <w:tcBorders>
              <w:top w:val="nil"/>
              <w:left w:val="nil"/>
              <w:bottom w:val="nil"/>
              <w:right w:val="nil"/>
            </w:tcBorders>
            <w:shd w:val="clear" w:color="auto" w:fill="auto"/>
            <w:noWrap/>
            <w:vAlign w:val="center"/>
            <w:hideMark/>
          </w:tcPr>
          <w:p w14:paraId="6DB817AF"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2,140</w:t>
            </w:r>
          </w:p>
        </w:tc>
        <w:tc>
          <w:tcPr>
            <w:tcW w:w="1120" w:type="dxa"/>
            <w:tcBorders>
              <w:top w:val="nil"/>
              <w:left w:val="single" w:sz="4" w:space="0" w:color="auto"/>
              <w:bottom w:val="nil"/>
              <w:right w:val="nil"/>
            </w:tcBorders>
            <w:shd w:val="clear" w:color="auto" w:fill="auto"/>
            <w:noWrap/>
            <w:vAlign w:val="center"/>
            <w:hideMark/>
          </w:tcPr>
          <w:p w14:paraId="4A7196F3"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320</w:t>
            </w:r>
          </w:p>
        </w:tc>
        <w:tc>
          <w:tcPr>
            <w:tcW w:w="960" w:type="dxa"/>
            <w:tcBorders>
              <w:top w:val="nil"/>
              <w:left w:val="nil"/>
              <w:bottom w:val="nil"/>
              <w:right w:val="nil"/>
            </w:tcBorders>
            <w:shd w:val="clear" w:color="auto" w:fill="auto"/>
            <w:noWrap/>
            <w:vAlign w:val="center"/>
            <w:hideMark/>
          </w:tcPr>
          <w:p w14:paraId="02B8C438"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18%</w:t>
            </w:r>
          </w:p>
        </w:tc>
      </w:tr>
      <w:tr w:rsidR="008D1C9C" w:rsidRPr="00DF0A2E" w14:paraId="2714A6C8" w14:textId="77777777" w:rsidTr="00D65D0C">
        <w:trPr>
          <w:trHeight w:val="285"/>
        </w:trPr>
        <w:tc>
          <w:tcPr>
            <w:tcW w:w="1323" w:type="dxa"/>
            <w:tcBorders>
              <w:top w:val="nil"/>
              <w:left w:val="nil"/>
              <w:bottom w:val="single" w:sz="4" w:space="0" w:color="auto"/>
              <w:right w:val="nil"/>
            </w:tcBorders>
            <w:shd w:val="clear" w:color="000000" w:fill="E7E6E6"/>
            <w:noWrap/>
            <w:vAlign w:val="center"/>
            <w:hideMark/>
          </w:tcPr>
          <w:p w14:paraId="5A4AB15E"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Bedford</w:t>
            </w:r>
          </w:p>
        </w:tc>
        <w:tc>
          <w:tcPr>
            <w:tcW w:w="993" w:type="dxa"/>
            <w:tcBorders>
              <w:top w:val="single" w:sz="4" w:space="0" w:color="auto"/>
              <w:left w:val="nil"/>
              <w:bottom w:val="single" w:sz="4" w:space="0" w:color="auto"/>
              <w:right w:val="nil"/>
            </w:tcBorders>
            <w:shd w:val="clear" w:color="000000" w:fill="E7E6E6"/>
            <w:noWrap/>
            <w:vAlign w:val="center"/>
            <w:hideMark/>
          </w:tcPr>
          <w:p w14:paraId="7E8352DB"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7,630</w:t>
            </w:r>
          </w:p>
        </w:tc>
        <w:tc>
          <w:tcPr>
            <w:tcW w:w="1020" w:type="dxa"/>
            <w:tcBorders>
              <w:top w:val="single" w:sz="4" w:space="0" w:color="auto"/>
              <w:left w:val="nil"/>
              <w:bottom w:val="single" w:sz="4" w:space="0" w:color="auto"/>
              <w:right w:val="nil"/>
            </w:tcBorders>
            <w:shd w:val="clear" w:color="000000" w:fill="E7E6E6"/>
            <w:noWrap/>
            <w:vAlign w:val="center"/>
            <w:hideMark/>
          </w:tcPr>
          <w:p w14:paraId="0F0E85CF"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8,280</w:t>
            </w:r>
          </w:p>
        </w:tc>
        <w:tc>
          <w:tcPr>
            <w:tcW w:w="1120" w:type="dxa"/>
            <w:tcBorders>
              <w:top w:val="single" w:sz="4" w:space="0" w:color="auto"/>
              <w:left w:val="single" w:sz="4" w:space="0" w:color="auto"/>
              <w:bottom w:val="single" w:sz="4" w:space="0" w:color="auto"/>
              <w:right w:val="nil"/>
            </w:tcBorders>
            <w:shd w:val="clear" w:color="000000" w:fill="E7E6E6"/>
            <w:noWrap/>
            <w:vAlign w:val="center"/>
            <w:hideMark/>
          </w:tcPr>
          <w:p w14:paraId="3B301F8E"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650</w:t>
            </w:r>
          </w:p>
        </w:tc>
        <w:tc>
          <w:tcPr>
            <w:tcW w:w="960" w:type="dxa"/>
            <w:tcBorders>
              <w:top w:val="single" w:sz="4" w:space="0" w:color="auto"/>
              <w:left w:val="nil"/>
              <w:bottom w:val="single" w:sz="4" w:space="0" w:color="auto"/>
              <w:right w:val="nil"/>
            </w:tcBorders>
            <w:shd w:val="clear" w:color="000000" w:fill="E7E6E6"/>
            <w:noWrap/>
            <w:vAlign w:val="center"/>
            <w:hideMark/>
          </w:tcPr>
          <w:p w14:paraId="40375DC2"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8%</w:t>
            </w:r>
          </w:p>
        </w:tc>
      </w:tr>
      <w:tr w:rsidR="008D1C9C" w:rsidRPr="00DF0A2E" w14:paraId="4985EF31" w14:textId="77777777" w:rsidTr="00D65D0C">
        <w:trPr>
          <w:trHeight w:val="285"/>
        </w:trPr>
        <w:tc>
          <w:tcPr>
            <w:tcW w:w="1323" w:type="dxa"/>
            <w:tcBorders>
              <w:top w:val="nil"/>
              <w:left w:val="nil"/>
              <w:bottom w:val="single" w:sz="4" w:space="0" w:color="auto"/>
              <w:right w:val="nil"/>
            </w:tcBorders>
            <w:shd w:val="clear" w:color="auto" w:fill="auto"/>
            <w:noWrap/>
            <w:vAlign w:val="center"/>
            <w:hideMark/>
          </w:tcPr>
          <w:p w14:paraId="5E4F0F2F"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Candia</w:t>
            </w:r>
          </w:p>
        </w:tc>
        <w:tc>
          <w:tcPr>
            <w:tcW w:w="993" w:type="dxa"/>
            <w:tcBorders>
              <w:top w:val="nil"/>
              <w:left w:val="nil"/>
              <w:bottom w:val="single" w:sz="4" w:space="0" w:color="auto"/>
              <w:right w:val="nil"/>
            </w:tcBorders>
            <w:shd w:val="clear" w:color="auto" w:fill="auto"/>
            <w:noWrap/>
            <w:vAlign w:val="center"/>
            <w:hideMark/>
          </w:tcPr>
          <w:p w14:paraId="1A0677AF"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1,490</w:t>
            </w:r>
          </w:p>
        </w:tc>
        <w:tc>
          <w:tcPr>
            <w:tcW w:w="1020" w:type="dxa"/>
            <w:tcBorders>
              <w:top w:val="nil"/>
              <w:left w:val="nil"/>
              <w:bottom w:val="single" w:sz="4" w:space="0" w:color="auto"/>
              <w:right w:val="nil"/>
            </w:tcBorders>
            <w:shd w:val="clear" w:color="auto" w:fill="auto"/>
            <w:noWrap/>
            <w:vAlign w:val="center"/>
            <w:hideMark/>
          </w:tcPr>
          <w:p w14:paraId="052A46D9"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1,570</w:t>
            </w:r>
          </w:p>
        </w:tc>
        <w:tc>
          <w:tcPr>
            <w:tcW w:w="1120" w:type="dxa"/>
            <w:tcBorders>
              <w:top w:val="nil"/>
              <w:left w:val="single" w:sz="4" w:space="0" w:color="auto"/>
              <w:bottom w:val="nil"/>
              <w:right w:val="nil"/>
            </w:tcBorders>
            <w:shd w:val="clear" w:color="auto" w:fill="auto"/>
            <w:noWrap/>
            <w:vAlign w:val="center"/>
            <w:hideMark/>
          </w:tcPr>
          <w:p w14:paraId="41ECB73E"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80</w:t>
            </w:r>
          </w:p>
        </w:tc>
        <w:tc>
          <w:tcPr>
            <w:tcW w:w="960" w:type="dxa"/>
            <w:tcBorders>
              <w:top w:val="nil"/>
              <w:left w:val="nil"/>
              <w:bottom w:val="nil"/>
              <w:right w:val="nil"/>
            </w:tcBorders>
            <w:shd w:val="clear" w:color="auto" w:fill="auto"/>
            <w:noWrap/>
            <w:vAlign w:val="center"/>
            <w:hideMark/>
          </w:tcPr>
          <w:p w14:paraId="313E9925"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5%</w:t>
            </w:r>
          </w:p>
        </w:tc>
      </w:tr>
      <w:tr w:rsidR="008D1C9C" w:rsidRPr="00DF0A2E" w14:paraId="74ABE26A" w14:textId="77777777" w:rsidTr="00D65D0C">
        <w:trPr>
          <w:trHeight w:val="285"/>
        </w:trPr>
        <w:tc>
          <w:tcPr>
            <w:tcW w:w="1323" w:type="dxa"/>
            <w:tcBorders>
              <w:top w:val="nil"/>
              <w:left w:val="nil"/>
              <w:bottom w:val="single" w:sz="4" w:space="0" w:color="auto"/>
              <w:right w:val="nil"/>
            </w:tcBorders>
            <w:shd w:val="clear" w:color="000000" w:fill="E7E6E6"/>
            <w:noWrap/>
            <w:vAlign w:val="center"/>
            <w:hideMark/>
          </w:tcPr>
          <w:p w14:paraId="323600F8"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Chester</w:t>
            </w:r>
          </w:p>
        </w:tc>
        <w:tc>
          <w:tcPr>
            <w:tcW w:w="993" w:type="dxa"/>
            <w:tcBorders>
              <w:top w:val="nil"/>
              <w:left w:val="nil"/>
              <w:bottom w:val="single" w:sz="4" w:space="0" w:color="auto"/>
              <w:right w:val="nil"/>
            </w:tcBorders>
            <w:shd w:val="clear" w:color="000000" w:fill="E7E6E6"/>
            <w:noWrap/>
            <w:vAlign w:val="center"/>
            <w:hideMark/>
          </w:tcPr>
          <w:p w14:paraId="5CCFFF96"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1,600</w:t>
            </w:r>
          </w:p>
        </w:tc>
        <w:tc>
          <w:tcPr>
            <w:tcW w:w="1020" w:type="dxa"/>
            <w:tcBorders>
              <w:top w:val="nil"/>
              <w:left w:val="nil"/>
              <w:bottom w:val="single" w:sz="4" w:space="0" w:color="auto"/>
              <w:right w:val="nil"/>
            </w:tcBorders>
            <w:shd w:val="clear" w:color="000000" w:fill="E7E6E6"/>
            <w:noWrap/>
            <w:vAlign w:val="center"/>
            <w:hideMark/>
          </w:tcPr>
          <w:p w14:paraId="328D0100"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1,850</w:t>
            </w:r>
          </w:p>
        </w:tc>
        <w:tc>
          <w:tcPr>
            <w:tcW w:w="1120" w:type="dxa"/>
            <w:tcBorders>
              <w:top w:val="single" w:sz="4" w:space="0" w:color="auto"/>
              <w:left w:val="single" w:sz="4" w:space="0" w:color="auto"/>
              <w:bottom w:val="single" w:sz="4" w:space="0" w:color="auto"/>
              <w:right w:val="nil"/>
            </w:tcBorders>
            <w:shd w:val="clear" w:color="000000" w:fill="E7E6E6"/>
            <w:noWrap/>
            <w:vAlign w:val="center"/>
            <w:hideMark/>
          </w:tcPr>
          <w:p w14:paraId="666C18DE"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250</w:t>
            </w:r>
          </w:p>
        </w:tc>
        <w:tc>
          <w:tcPr>
            <w:tcW w:w="960" w:type="dxa"/>
            <w:tcBorders>
              <w:top w:val="single" w:sz="4" w:space="0" w:color="auto"/>
              <w:left w:val="nil"/>
              <w:bottom w:val="single" w:sz="4" w:space="0" w:color="auto"/>
              <w:right w:val="nil"/>
            </w:tcBorders>
            <w:shd w:val="clear" w:color="000000" w:fill="E7E6E6"/>
            <w:noWrap/>
            <w:vAlign w:val="center"/>
            <w:hideMark/>
          </w:tcPr>
          <w:p w14:paraId="5C02DB82"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16%</w:t>
            </w:r>
          </w:p>
        </w:tc>
      </w:tr>
      <w:tr w:rsidR="008D1C9C" w:rsidRPr="00DF0A2E" w14:paraId="170BE3C8" w14:textId="77777777" w:rsidTr="00D65D0C">
        <w:trPr>
          <w:trHeight w:val="285"/>
        </w:trPr>
        <w:tc>
          <w:tcPr>
            <w:tcW w:w="1323" w:type="dxa"/>
            <w:tcBorders>
              <w:top w:val="nil"/>
              <w:left w:val="nil"/>
              <w:bottom w:val="single" w:sz="4" w:space="0" w:color="auto"/>
              <w:right w:val="nil"/>
            </w:tcBorders>
            <w:shd w:val="clear" w:color="auto" w:fill="auto"/>
            <w:noWrap/>
            <w:vAlign w:val="center"/>
            <w:hideMark/>
          </w:tcPr>
          <w:p w14:paraId="0119F4B2"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Deerfield</w:t>
            </w:r>
          </w:p>
        </w:tc>
        <w:tc>
          <w:tcPr>
            <w:tcW w:w="993" w:type="dxa"/>
            <w:tcBorders>
              <w:top w:val="nil"/>
              <w:left w:val="nil"/>
              <w:bottom w:val="single" w:sz="4" w:space="0" w:color="auto"/>
              <w:right w:val="nil"/>
            </w:tcBorders>
            <w:shd w:val="clear" w:color="auto" w:fill="auto"/>
            <w:noWrap/>
            <w:vAlign w:val="center"/>
            <w:hideMark/>
          </w:tcPr>
          <w:p w14:paraId="5BCD11A0"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1,740</w:t>
            </w:r>
          </w:p>
        </w:tc>
        <w:tc>
          <w:tcPr>
            <w:tcW w:w="1020" w:type="dxa"/>
            <w:tcBorders>
              <w:top w:val="nil"/>
              <w:left w:val="nil"/>
              <w:bottom w:val="single" w:sz="4" w:space="0" w:color="auto"/>
              <w:right w:val="nil"/>
            </w:tcBorders>
            <w:shd w:val="clear" w:color="auto" w:fill="auto"/>
            <w:noWrap/>
            <w:vAlign w:val="center"/>
            <w:hideMark/>
          </w:tcPr>
          <w:p w14:paraId="652A1378"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1,920</w:t>
            </w:r>
          </w:p>
        </w:tc>
        <w:tc>
          <w:tcPr>
            <w:tcW w:w="1120" w:type="dxa"/>
            <w:tcBorders>
              <w:top w:val="nil"/>
              <w:left w:val="single" w:sz="4" w:space="0" w:color="auto"/>
              <w:bottom w:val="nil"/>
              <w:right w:val="nil"/>
            </w:tcBorders>
            <w:shd w:val="clear" w:color="auto" w:fill="auto"/>
            <w:noWrap/>
            <w:vAlign w:val="center"/>
            <w:hideMark/>
          </w:tcPr>
          <w:p w14:paraId="1A39E0ED"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180</w:t>
            </w:r>
          </w:p>
        </w:tc>
        <w:tc>
          <w:tcPr>
            <w:tcW w:w="960" w:type="dxa"/>
            <w:tcBorders>
              <w:top w:val="nil"/>
              <w:left w:val="nil"/>
              <w:bottom w:val="nil"/>
              <w:right w:val="nil"/>
            </w:tcBorders>
            <w:shd w:val="clear" w:color="auto" w:fill="auto"/>
            <w:noWrap/>
            <w:vAlign w:val="center"/>
            <w:hideMark/>
          </w:tcPr>
          <w:p w14:paraId="3976A104"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10%</w:t>
            </w:r>
          </w:p>
        </w:tc>
      </w:tr>
      <w:tr w:rsidR="008D1C9C" w:rsidRPr="00DF0A2E" w14:paraId="6FA815C6" w14:textId="77777777" w:rsidTr="00D65D0C">
        <w:trPr>
          <w:trHeight w:val="285"/>
        </w:trPr>
        <w:tc>
          <w:tcPr>
            <w:tcW w:w="1323" w:type="dxa"/>
            <w:tcBorders>
              <w:top w:val="nil"/>
              <w:left w:val="nil"/>
              <w:bottom w:val="single" w:sz="4" w:space="0" w:color="auto"/>
              <w:right w:val="nil"/>
            </w:tcBorders>
            <w:shd w:val="clear" w:color="000000" w:fill="E7E6E6"/>
            <w:noWrap/>
            <w:vAlign w:val="center"/>
            <w:hideMark/>
          </w:tcPr>
          <w:p w14:paraId="3E2E3484"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Derry</w:t>
            </w:r>
          </w:p>
        </w:tc>
        <w:tc>
          <w:tcPr>
            <w:tcW w:w="993" w:type="dxa"/>
            <w:tcBorders>
              <w:top w:val="nil"/>
              <w:left w:val="nil"/>
              <w:bottom w:val="single" w:sz="4" w:space="0" w:color="auto"/>
              <w:right w:val="nil"/>
            </w:tcBorders>
            <w:shd w:val="clear" w:color="000000" w:fill="E7E6E6"/>
            <w:noWrap/>
            <w:vAlign w:val="center"/>
            <w:hideMark/>
          </w:tcPr>
          <w:p w14:paraId="0DA18306"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13,280</w:t>
            </w:r>
          </w:p>
        </w:tc>
        <w:tc>
          <w:tcPr>
            <w:tcW w:w="1020" w:type="dxa"/>
            <w:tcBorders>
              <w:top w:val="nil"/>
              <w:left w:val="nil"/>
              <w:bottom w:val="single" w:sz="4" w:space="0" w:color="auto"/>
              <w:right w:val="nil"/>
            </w:tcBorders>
            <w:shd w:val="clear" w:color="000000" w:fill="E7E6E6"/>
            <w:noWrap/>
            <w:vAlign w:val="center"/>
            <w:hideMark/>
          </w:tcPr>
          <w:p w14:paraId="082C3335"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14,010</w:t>
            </w:r>
          </w:p>
        </w:tc>
        <w:tc>
          <w:tcPr>
            <w:tcW w:w="1120" w:type="dxa"/>
            <w:tcBorders>
              <w:top w:val="single" w:sz="4" w:space="0" w:color="auto"/>
              <w:left w:val="single" w:sz="4" w:space="0" w:color="auto"/>
              <w:bottom w:val="single" w:sz="4" w:space="0" w:color="auto"/>
              <w:right w:val="nil"/>
            </w:tcBorders>
            <w:shd w:val="clear" w:color="000000" w:fill="E7E6E6"/>
            <w:noWrap/>
            <w:vAlign w:val="center"/>
            <w:hideMark/>
          </w:tcPr>
          <w:p w14:paraId="22B52A4F"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730</w:t>
            </w:r>
          </w:p>
        </w:tc>
        <w:tc>
          <w:tcPr>
            <w:tcW w:w="960" w:type="dxa"/>
            <w:tcBorders>
              <w:top w:val="single" w:sz="4" w:space="0" w:color="auto"/>
              <w:left w:val="nil"/>
              <w:bottom w:val="single" w:sz="4" w:space="0" w:color="auto"/>
              <w:right w:val="nil"/>
            </w:tcBorders>
            <w:shd w:val="clear" w:color="000000" w:fill="E7E6E6"/>
            <w:noWrap/>
            <w:vAlign w:val="center"/>
            <w:hideMark/>
          </w:tcPr>
          <w:p w14:paraId="1B24D911"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6%</w:t>
            </w:r>
          </w:p>
        </w:tc>
      </w:tr>
      <w:tr w:rsidR="008D1C9C" w:rsidRPr="00DF0A2E" w14:paraId="2F9FD63E" w14:textId="77777777" w:rsidTr="00D65D0C">
        <w:trPr>
          <w:trHeight w:val="285"/>
        </w:trPr>
        <w:tc>
          <w:tcPr>
            <w:tcW w:w="1323" w:type="dxa"/>
            <w:tcBorders>
              <w:top w:val="nil"/>
              <w:left w:val="nil"/>
              <w:bottom w:val="single" w:sz="4" w:space="0" w:color="auto"/>
              <w:right w:val="nil"/>
            </w:tcBorders>
            <w:shd w:val="clear" w:color="auto" w:fill="auto"/>
            <w:noWrap/>
            <w:vAlign w:val="center"/>
            <w:hideMark/>
          </w:tcPr>
          <w:p w14:paraId="1E583A67" w14:textId="77777777" w:rsidR="008D1C9C" w:rsidRPr="00DF0A2E" w:rsidRDefault="008D1C9C" w:rsidP="00206C45">
            <w:pPr>
              <w:spacing w:after="0" w:line="300" w:lineRule="auto"/>
              <w:jc w:val="center"/>
              <w:rPr>
                <w:rFonts w:ascii="Tw Cen MT" w:eastAsia="Times New Roman" w:hAnsi="Tw Cen MT" w:cs="Calibri"/>
                <w:color w:val="000000"/>
              </w:rPr>
            </w:pPr>
            <w:proofErr w:type="spellStart"/>
            <w:r w:rsidRPr="00DF0A2E">
              <w:rPr>
                <w:rFonts w:ascii="Tw Cen MT" w:eastAsia="Times New Roman" w:hAnsi="Tw Cen MT" w:cs="Calibri"/>
                <w:color w:val="000000"/>
              </w:rPr>
              <w:t>Francestown</w:t>
            </w:r>
            <w:proofErr w:type="spellEnd"/>
          </w:p>
        </w:tc>
        <w:tc>
          <w:tcPr>
            <w:tcW w:w="993" w:type="dxa"/>
            <w:tcBorders>
              <w:top w:val="nil"/>
              <w:left w:val="nil"/>
              <w:bottom w:val="single" w:sz="4" w:space="0" w:color="auto"/>
              <w:right w:val="nil"/>
            </w:tcBorders>
            <w:shd w:val="clear" w:color="auto" w:fill="auto"/>
            <w:noWrap/>
            <w:vAlign w:val="center"/>
            <w:hideMark/>
          </w:tcPr>
          <w:p w14:paraId="39C5436E"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760</w:t>
            </w:r>
          </w:p>
        </w:tc>
        <w:tc>
          <w:tcPr>
            <w:tcW w:w="1020" w:type="dxa"/>
            <w:tcBorders>
              <w:top w:val="nil"/>
              <w:left w:val="nil"/>
              <w:bottom w:val="single" w:sz="4" w:space="0" w:color="auto"/>
              <w:right w:val="nil"/>
            </w:tcBorders>
            <w:shd w:val="clear" w:color="auto" w:fill="auto"/>
            <w:noWrap/>
            <w:vAlign w:val="center"/>
            <w:hideMark/>
          </w:tcPr>
          <w:p w14:paraId="5FB8ADC6"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740</w:t>
            </w:r>
          </w:p>
        </w:tc>
        <w:tc>
          <w:tcPr>
            <w:tcW w:w="1120" w:type="dxa"/>
            <w:tcBorders>
              <w:top w:val="nil"/>
              <w:left w:val="single" w:sz="4" w:space="0" w:color="auto"/>
              <w:bottom w:val="nil"/>
              <w:right w:val="nil"/>
            </w:tcBorders>
            <w:shd w:val="clear" w:color="auto" w:fill="auto"/>
            <w:noWrap/>
            <w:vAlign w:val="center"/>
            <w:hideMark/>
          </w:tcPr>
          <w:p w14:paraId="4AEF6477" w14:textId="77777777" w:rsidR="008D1C9C" w:rsidRPr="00DF0A2E" w:rsidRDefault="008D1C9C" w:rsidP="00206C45">
            <w:pPr>
              <w:spacing w:after="0" w:line="300" w:lineRule="auto"/>
              <w:jc w:val="center"/>
              <w:rPr>
                <w:rFonts w:ascii="Tw Cen MT" w:eastAsia="Times New Roman" w:hAnsi="Tw Cen MT" w:cs="Calibri"/>
                <w:color w:val="C00000"/>
              </w:rPr>
            </w:pPr>
            <w:r w:rsidRPr="00DF0A2E">
              <w:rPr>
                <w:rFonts w:ascii="Tw Cen MT" w:eastAsia="Times New Roman" w:hAnsi="Tw Cen MT" w:cs="Calibri"/>
                <w:color w:val="C00000"/>
              </w:rPr>
              <w:t>-20</w:t>
            </w:r>
          </w:p>
        </w:tc>
        <w:tc>
          <w:tcPr>
            <w:tcW w:w="960" w:type="dxa"/>
            <w:tcBorders>
              <w:top w:val="nil"/>
              <w:left w:val="nil"/>
              <w:bottom w:val="nil"/>
              <w:right w:val="nil"/>
            </w:tcBorders>
            <w:shd w:val="clear" w:color="auto" w:fill="auto"/>
            <w:noWrap/>
            <w:vAlign w:val="center"/>
            <w:hideMark/>
          </w:tcPr>
          <w:p w14:paraId="5CEDF368" w14:textId="77777777" w:rsidR="008D1C9C" w:rsidRPr="00DF0A2E" w:rsidRDefault="008D1C9C" w:rsidP="00206C45">
            <w:pPr>
              <w:spacing w:after="0" w:line="300" w:lineRule="auto"/>
              <w:jc w:val="center"/>
              <w:rPr>
                <w:rFonts w:ascii="Tw Cen MT" w:eastAsia="Times New Roman" w:hAnsi="Tw Cen MT" w:cs="Calibri"/>
                <w:color w:val="C00000"/>
              </w:rPr>
            </w:pPr>
            <w:r w:rsidRPr="00DF0A2E">
              <w:rPr>
                <w:rFonts w:ascii="Tw Cen MT" w:eastAsia="Times New Roman" w:hAnsi="Tw Cen MT" w:cs="Calibri"/>
                <w:color w:val="C00000"/>
              </w:rPr>
              <w:t>-2%</w:t>
            </w:r>
          </w:p>
        </w:tc>
      </w:tr>
      <w:tr w:rsidR="008D1C9C" w:rsidRPr="00DF0A2E" w14:paraId="0F9FAED4" w14:textId="77777777" w:rsidTr="00D65D0C">
        <w:trPr>
          <w:trHeight w:val="285"/>
        </w:trPr>
        <w:tc>
          <w:tcPr>
            <w:tcW w:w="1323" w:type="dxa"/>
            <w:tcBorders>
              <w:top w:val="nil"/>
              <w:left w:val="nil"/>
              <w:bottom w:val="single" w:sz="4" w:space="0" w:color="auto"/>
              <w:right w:val="nil"/>
            </w:tcBorders>
            <w:shd w:val="clear" w:color="000000" w:fill="E7E6E6"/>
            <w:noWrap/>
            <w:vAlign w:val="center"/>
            <w:hideMark/>
          </w:tcPr>
          <w:p w14:paraId="21EACCDC"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Goffstown</w:t>
            </w:r>
          </w:p>
        </w:tc>
        <w:tc>
          <w:tcPr>
            <w:tcW w:w="993" w:type="dxa"/>
            <w:tcBorders>
              <w:top w:val="nil"/>
              <w:left w:val="nil"/>
              <w:bottom w:val="single" w:sz="4" w:space="0" w:color="auto"/>
              <w:right w:val="nil"/>
            </w:tcBorders>
            <w:shd w:val="clear" w:color="000000" w:fill="E7E6E6"/>
            <w:noWrap/>
            <w:vAlign w:val="center"/>
            <w:hideMark/>
          </w:tcPr>
          <w:p w14:paraId="47C1E093"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6,340</w:t>
            </w:r>
          </w:p>
        </w:tc>
        <w:tc>
          <w:tcPr>
            <w:tcW w:w="1020" w:type="dxa"/>
            <w:tcBorders>
              <w:top w:val="nil"/>
              <w:left w:val="nil"/>
              <w:bottom w:val="single" w:sz="4" w:space="0" w:color="auto"/>
              <w:right w:val="nil"/>
            </w:tcBorders>
            <w:shd w:val="clear" w:color="000000" w:fill="E7E6E6"/>
            <w:noWrap/>
            <w:vAlign w:val="center"/>
            <w:hideMark/>
          </w:tcPr>
          <w:p w14:paraId="73D13A45"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6,620</w:t>
            </w:r>
          </w:p>
        </w:tc>
        <w:tc>
          <w:tcPr>
            <w:tcW w:w="1120" w:type="dxa"/>
            <w:tcBorders>
              <w:top w:val="single" w:sz="4" w:space="0" w:color="auto"/>
              <w:left w:val="single" w:sz="4" w:space="0" w:color="auto"/>
              <w:bottom w:val="single" w:sz="4" w:space="0" w:color="auto"/>
              <w:right w:val="nil"/>
            </w:tcBorders>
            <w:shd w:val="clear" w:color="000000" w:fill="E7E6E6"/>
            <w:noWrap/>
            <w:vAlign w:val="center"/>
            <w:hideMark/>
          </w:tcPr>
          <w:p w14:paraId="3CB56539"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280</w:t>
            </w:r>
          </w:p>
        </w:tc>
        <w:tc>
          <w:tcPr>
            <w:tcW w:w="960" w:type="dxa"/>
            <w:tcBorders>
              <w:top w:val="single" w:sz="4" w:space="0" w:color="auto"/>
              <w:left w:val="nil"/>
              <w:bottom w:val="single" w:sz="4" w:space="0" w:color="auto"/>
              <w:right w:val="nil"/>
            </w:tcBorders>
            <w:shd w:val="clear" w:color="000000" w:fill="E7E6E6"/>
            <w:noWrap/>
            <w:vAlign w:val="center"/>
            <w:hideMark/>
          </w:tcPr>
          <w:p w14:paraId="15F914CD"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4%</w:t>
            </w:r>
          </w:p>
        </w:tc>
      </w:tr>
      <w:tr w:rsidR="008D1C9C" w:rsidRPr="00DF0A2E" w14:paraId="4F010524" w14:textId="77777777" w:rsidTr="00D65D0C">
        <w:trPr>
          <w:trHeight w:val="285"/>
        </w:trPr>
        <w:tc>
          <w:tcPr>
            <w:tcW w:w="1323" w:type="dxa"/>
            <w:tcBorders>
              <w:top w:val="nil"/>
              <w:left w:val="nil"/>
              <w:bottom w:val="single" w:sz="4" w:space="0" w:color="auto"/>
              <w:right w:val="nil"/>
            </w:tcBorders>
            <w:shd w:val="clear" w:color="auto" w:fill="auto"/>
            <w:noWrap/>
            <w:vAlign w:val="center"/>
            <w:hideMark/>
          </w:tcPr>
          <w:p w14:paraId="7C02B0E3"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Hooksett</w:t>
            </w:r>
          </w:p>
        </w:tc>
        <w:tc>
          <w:tcPr>
            <w:tcW w:w="993" w:type="dxa"/>
            <w:tcBorders>
              <w:top w:val="nil"/>
              <w:left w:val="nil"/>
              <w:bottom w:val="single" w:sz="4" w:space="0" w:color="auto"/>
              <w:right w:val="nil"/>
            </w:tcBorders>
            <w:shd w:val="clear" w:color="auto" w:fill="auto"/>
            <w:noWrap/>
            <w:vAlign w:val="center"/>
            <w:hideMark/>
          </w:tcPr>
          <w:p w14:paraId="0E48E54F"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5,180</w:t>
            </w:r>
          </w:p>
        </w:tc>
        <w:tc>
          <w:tcPr>
            <w:tcW w:w="1020" w:type="dxa"/>
            <w:tcBorders>
              <w:top w:val="nil"/>
              <w:left w:val="nil"/>
              <w:bottom w:val="single" w:sz="4" w:space="0" w:color="auto"/>
              <w:right w:val="nil"/>
            </w:tcBorders>
            <w:shd w:val="clear" w:color="auto" w:fill="auto"/>
            <w:noWrap/>
            <w:vAlign w:val="center"/>
            <w:hideMark/>
          </w:tcPr>
          <w:p w14:paraId="1D91D075"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5,790</w:t>
            </w:r>
          </w:p>
        </w:tc>
        <w:tc>
          <w:tcPr>
            <w:tcW w:w="1120" w:type="dxa"/>
            <w:tcBorders>
              <w:top w:val="nil"/>
              <w:left w:val="single" w:sz="4" w:space="0" w:color="auto"/>
              <w:bottom w:val="nil"/>
              <w:right w:val="nil"/>
            </w:tcBorders>
            <w:shd w:val="clear" w:color="auto" w:fill="auto"/>
            <w:noWrap/>
            <w:vAlign w:val="center"/>
            <w:hideMark/>
          </w:tcPr>
          <w:p w14:paraId="7DF6DA4A"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600</w:t>
            </w:r>
          </w:p>
        </w:tc>
        <w:tc>
          <w:tcPr>
            <w:tcW w:w="960" w:type="dxa"/>
            <w:tcBorders>
              <w:top w:val="nil"/>
              <w:left w:val="nil"/>
              <w:bottom w:val="nil"/>
              <w:right w:val="nil"/>
            </w:tcBorders>
            <w:shd w:val="clear" w:color="auto" w:fill="auto"/>
            <w:noWrap/>
            <w:vAlign w:val="center"/>
            <w:hideMark/>
          </w:tcPr>
          <w:p w14:paraId="02213529"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12%</w:t>
            </w:r>
          </w:p>
        </w:tc>
      </w:tr>
      <w:tr w:rsidR="008D1C9C" w:rsidRPr="00DF0A2E" w14:paraId="537EEF81" w14:textId="77777777" w:rsidTr="00D65D0C">
        <w:trPr>
          <w:trHeight w:val="285"/>
        </w:trPr>
        <w:tc>
          <w:tcPr>
            <w:tcW w:w="1323" w:type="dxa"/>
            <w:tcBorders>
              <w:top w:val="nil"/>
              <w:left w:val="nil"/>
              <w:bottom w:val="single" w:sz="4" w:space="0" w:color="auto"/>
              <w:right w:val="nil"/>
            </w:tcBorders>
            <w:shd w:val="clear" w:color="000000" w:fill="E7E6E6"/>
            <w:noWrap/>
            <w:vAlign w:val="center"/>
            <w:hideMark/>
          </w:tcPr>
          <w:p w14:paraId="752F061A"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Londonderry</w:t>
            </w:r>
          </w:p>
        </w:tc>
        <w:tc>
          <w:tcPr>
            <w:tcW w:w="993" w:type="dxa"/>
            <w:tcBorders>
              <w:top w:val="nil"/>
              <w:left w:val="nil"/>
              <w:bottom w:val="single" w:sz="4" w:space="0" w:color="auto"/>
              <w:right w:val="nil"/>
            </w:tcBorders>
            <w:shd w:val="clear" w:color="000000" w:fill="E7E6E6"/>
            <w:noWrap/>
            <w:vAlign w:val="center"/>
            <w:hideMark/>
          </w:tcPr>
          <w:p w14:paraId="280A03FD"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8,770</w:t>
            </w:r>
          </w:p>
        </w:tc>
        <w:tc>
          <w:tcPr>
            <w:tcW w:w="1020" w:type="dxa"/>
            <w:tcBorders>
              <w:top w:val="nil"/>
              <w:left w:val="nil"/>
              <w:bottom w:val="single" w:sz="4" w:space="0" w:color="auto"/>
              <w:right w:val="nil"/>
            </w:tcBorders>
            <w:shd w:val="clear" w:color="000000" w:fill="E7E6E6"/>
            <w:noWrap/>
            <w:vAlign w:val="center"/>
            <w:hideMark/>
          </w:tcPr>
          <w:p w14:paraId="2347D428"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9,850</w:t>
            </w:r>
          </w:p>
        </w:tc>
        <w:tc>
          <w:tcPr>
            <w:tcW w:w="1120" w:type="dxa"/>
            <w:tcBorders>
              <w:top w:val="single" w:sz="4" w:space="0" w:color="auto"/>
              <w:left w:val="single" w:sz="4" w:space="0" w:color="auto"/>
              <w:bottom w:val="single" w:sz="4" w:space="0" w:color="auto"/>
              <w:right w:val="nil"/>
            </w:tcBorders>
            <w:shd w:val="clear" w:color="000000" w:fill="E7E6E6"/>
            <w:noWrap/>
            <w:vAlign w:val="center"/>
            <w:hideMark/>
          </w:tcPr>
          <w:p w14:paraId="15A2D4CE"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1,080</w:t>
            </w:r>
          </w:p>
        </w:tc>
        <w:tc>
          <w:tcPr>
            <w:tcW w:w="960" w:type="dxa"/>
            <w:tcBorders>
              <w:top w:val="single" w:sz="4" w:space="0" w:color="auto"/>
              <w:left w:val="nil"/>
              <w:bottom w:val="single" w:sz="4" w:space="0" w:color="auto"/>
              <w:right w:val="nil"/>
            </w:tcBorders>
            <w:shd w:val="clear" w:color="000000" w:fill="E7E6E6"/>
            <w:noWrap/>
            <w:vAlign w:val="center"/>
            <w:hideMark/>
          </w:tcPr>
          <w:p w14:paraId="22CAA73F"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12%</w:t>
            </w:r>
          </w:p>
        </w:tc>
      </w:tr>
      <w:tr w:rsidR="008D1C9C" w:rsidRPr="00DF0A2E" w14:paraId="74C7DA96" w14:textId="77777777" w:rsidTr="00D65D0C">
        <w:trPr>
          <w:trHeight w:val="285"/>
        </w:trPr>
        <w:tc>
          <w:tcPr>
            <w:tcW w:w="1323" w:type="dxa"/>
            <w:tcBorders>
              <w:top w:val="nil"/>
              <w:left w:val="nil"/>
              <w:bottom w:val="single" w:sz="4" w:space="0" w:color="auto"/>
              <w:right w:val="nil"/>
            </w:tcBorders>
            <w:shd w:val="clear" w:color="auto" w:fill="auto"/>
            <w:noWrap/>
            <w:vAlign w:val="center"/>
            <w:hideMark/>
          </w:tcPr>
          <w:p w14:paraId="47B71CFA"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Manchester</w:t>
            </w:r>
          </w:p>
        </w:tc>
        <w:tc>
          <w:tcPr>
            <w:tcW w:w="993" w:type="dxa"/>
            <w:tcBorders>
              <w:top w:val="nil"/>
              <w:left w:val="nil"/>
              <w:bottom w:val="single" w:sz="4" w:space="0" w:color="auto"/>
              <w:right w:val="nil"/>
            </w:tcBorders>
            <w:shd w:val="clear" w:color="auto" w:fill="auto"/>
            <w:noWrap/>
            <w:vAlign w:val="center"/>
            <w:hideMark/>
          </w:tcPr>
          <w:p w14:paraId="56DF78FD"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49,290</w:t>
            </w:r>
          </w:p>
        </w:tc>
        <w:tc>
          <w:tcPr>
            <w:tcW w:w="1020" w:type="dxa"/>
            <w:tcBorders>
              <w:top w:val="nil"/>
              <w:left w:val="nil"/>
              <w:bottom w:val="single" w:sz="4" w:space="0" w:color="auto"/>
              <w:right w:val="nil"/>
            </w:tcBorders>
            <w:shd w:val="clear" w:color="auto" w:fill="auto"/>
            <w:noWrap/>
            <w:vAlign w:val="center"/>
            <w:hideMark/>
          </w:tcPr>
          <w:p w14:paraId="56315767"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51,440</w:t>
            </w:r>
          </w:p>
        </w:tc>
        <w:tc>
          <w:tcPr>
            <w:tcW w:w="1120" w:type="dxa"/>
            <w:tcBorders>
              <w:top w:val="nil"/>
              <w:left w:val="single" w:sz="4" w:space="0" w:color="auto"/>
              <w:bottom w:val="nil"/>
              <w:right w:val="nil"/>
            </w:tcBorders>
            <w:shd w:val="clear" w:color="auto" w:fill="auto"/>
            <w:noWrap/>
            <w:vAlign w:val="center"/>
            <w:hideMark/>
          </w:tcPr>
          <w:p w14:paraId="3DF2EDEC"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2,150</w:t>
            </w:r>
          </w:p>
        </w:tc>
        <w:tc>
          <w:tcPr>
            <w:tcW w:w="960" w:type="dxa"/>
            <w:tcBorders>
              <w:top w:val="nil"/>
              <w:left w:val="nil"/>
              <w:bottom w:val="nil"/>
              <w:right w:val="nil"/>
            </w:tcBorders>
            <w:shd w:val="clear" w:color="auto" w:fill="auto"/>
            <w:noWrap/>
            <w:vAlign w:val="center"/>
            <w:hideMark/>
          </w:tcPr>
          <w:p w14:paraId="2B9E58F8"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4%</w:t>
            </w:r>
          </w:p>
        </w:tc>
      </w:tr>
      <w:tr w:rsidR="008D1C9C" w:rsidRPr="00DF0A2E" w14:paraId="7AC98517" w14:textId="77777777" w:rsidTr="00D65D0C">
        <w:trPr>
          <w:trHeight w:val="285"/>
        </w:trPr>
        <w:tc>
          <w:tcPr>
            <w:tcW w:w="1323" w:type="dxa"/>
            <w:tcBorders>
              <w:top w:val="nil"/>
              <w:left w:val="nil"/>
              <w:bottom w:val="single" w:sz="4" w:space="0" w:color="auto"/>
              <w:right w:val="nil"/>
            </w:tcBorders>
            <w:shd w:val="clear" w:color="000000" w:fill="E7E6E6"/>
            <w:noWrap/>
            <w:vAlign w:val="center"/>
            <w:hideMark/>
          </w:tcPr>
          <w:p w14:paraId="3219AB0C"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New Boston</w:t>
            </w:r>
          </w:p>
        </w:tc>
        <w:tc>
          <w:tcPr>
            <w:tcW w:w="993" w:type="dxa"/>
            <w:tcBorders>
              <w:top w:val="nil"/>
              <w:left w:val="nil"/>
              <w:bottom w:val="single" w:sz="4" w:space="0" w:color="auto"/>
              <w:right w:val="nil"/>
            </w:tcBorders>
            <w:shd w:val="clear" w:color="000000" w:fill="E7E6E6"/>
            <w:noWrap/>
            <w:vAlign w:val="center"/>
            <w:hideMark/>
          </w:tcPr>
          <w:p w14:paraId="1DC3BD42"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1,970</w:t>
            </w:r>
          </w:p>
        </w:tc>
        <w:tc>
          <w:tcPr>
            <w:tcW w:w="1020" w:type="dxa"/>
            <w:tcBorders>
              <w:top w:val="nil"/>
              <w:left w:val="nil"/>
              <w:bottom w:val="single" w:sz="4" w:space="0" w:color="auto"/>
              <w:right w:val="nil"/>
            </w:tcBorders>
            <w:shd w:val="clear" w:color="000000" w:fill="E7E6E6"/>
            <w:noWrap/>
            <w:vAlign w:val="center"/>
            <w:hideMark/>
          </w:tcPr>
          <w:p w14:paraId="794054E8"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2,170</w:t>
            </w:r>
          </w:p>
        </w:tc>
        <w:tc>
          <w:tcPr>
            <w:tcW w:w="1120" w:type="dxa"/>
            <w:tcBorders>
              <w:top w:val="single" w:sz="4" w:space="0" w:color="auto"/>
              <w:left w:val="single" w:sz="4" w:space="0" w:color="auto"/>
              <w:bottom w:val="single" w:sz="4" w:space="0" w:color="auto"/>
              <w:right w:val="nil"/>
            </w:tcBorders>
            <w:shd w:val="clear" w:color="000000" w:fill="E7E6E6"/>
            <w:noWrap/>
            <w:vAlign w:val="center"/>
            <w:hideMark/>
          </w:tcPr>
          <w:p w14:paraId="34063082"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210</w:t>
            </w:r>
          </w:p>
        </w:tc>
        <w:tc>
          <w:tcPr>
            <w:tcW w:w="960" w:type="dxa"/>
            <w:tcBorders>
              <w:top w:val="single" w:sz="4" w:space="0" w:color="auto"/>
              <w:left w:val="nil"/>
              <w:bottom w:val="single" w:sz="4" w:space="0" w:color="auto"/>
              <w:right w:val="nil"/>
            </w:tcBorders>
            <w:shd w:val="clear" w:color="000000" w:fill="E7E6E6"/>
            <w:noWrap/>
            <w:vAlign w:val="center"/>
            <w:hideMark/>
          </w:tcPr>
          <w:p w14:paraId="6C7FB82D"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11%</w:t>
            </w:r>
          </w:p>
        </w:tc>
      </w:tr>
      <w:tr w:rsidR="008D1C9C" w:rsidRPr="00DF0A2E" w14:paraId="18A0C536" w14:textId="77777777" w:rsidTr="00D65D0C">
        <w:trPr>
          <w:trHeight w:val="285"/>
        </w:trPr>
        <w:tc>
          <w:tcPr>
            <w:tcW w:w="1323" w:type="dxa"/>
            <w:tcBorders>
              <w:top w:val="nil"/>
              <w:left w:val="nil"/>
              <w:bottom w:val="single" w:sz="4" w:space="0" w:color="auto"/>
              <w:right w:val="nil"/>
            </w:tcBorders>
            <w:shd w:val="clear" w:color="auto" w:fill="auto"/>
            <w:noWrap/>
            <w:vAlign w:val="center"/>
            <w:hideMark/>
          </w:tcPr>
          <w:p w14:paraId="2003AF2E" w14:textId="77777777" w:rsidR="008D1C9C" w:rsidRPr="00DF0A2E" w:rsidRDefault="008D1C9C" w:rsidP="00206C45">
            <w:pPr>
              <w:spacing w:after="0" w:line="300" w:lineRule="auto"/>
              <w:jc w:val="center"/>
              <w:rPr>
                <w:rFonts w:ascii="Tw Cen MT" w:eastAsia="Times New Roman" w:hAnsi="Tw Cen MT" w:cs="Calibri"/>
                <w:color w:val="000000"/>
              </w:rPr>
            </w:pPr>
            <w:proofErr w:type="spellStart"/>
            <w:r w:rsidRPr="00DF0A2E">
              <w:rPr>
                <w:rFonts w:ascii="Tw Cen MT" w:eastAsia="Times New Roman" w:hAnsi="Tw Cen MT" w:cs="Calibri"/>
                <w:color w:val="000000"/>
              </w:rPr>
              <w:t>Weare</w:t>
            </w:r>
            <w:proofErr w:type="spellEnd"/>
          </w:p>
        </w:tc>
        <w:tc>
          <w:tcPr>
            <w:tcW w:w="993" w:type="dxa"/>
            <w:tcBorders>
              <w:top w:val="nil"/>
              <w:left w:val="nil"/>
              <w:bottom w:val="single" w:sz="4" w:space="0" w:color="auto"/>
              <w:right w:val="nil"/>
            </w:tcBorders>
            <w:shd w:val="clear" w:color="auto" w:fill="auto"/>
            <w:noWrap/>
            <w:vAlign w:val="center"/>
            <w:hideMark/>
          </w:tcPr>
          <w:p w14:paraId="486439DF"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3,470</w:t>
            </w:r>
          </w:p>
        </w:tc>
        <w:tc>
          <w:tcPr>
            <w:tcW w:w="1020" w:type="dxa"/>
            <w:tcBorders>
              <w:top w:val="nil"/>
              <w:left w:val="nil"/>
              <w:bottom w:val="single" w:sz="4" w:space="0" w:color="auto"/>
              <w:right w:val="nil"/>
            </w:tcBorders>
            <w:shd w:val="clear" w:color="auto" w:fill="auto"/>
            <w:noWrap/>
            <w:vAlign w:val="center"/>
            <w:hideMark/>
          </w:tcPr>
          <w:p w14:paraId="480D08C3"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3,630</w:t>
            </w:r>
          </w:p>
        </w:tc>
        <w:tc>
          <w:tcPr>
            <w:tcW w:w="1120" w:type="dxa"/>
            <w:tcBorders>
              <w:top w:val="nil"/>
              <w:left w:val="single" w:sz="4" w:space="0" w:color="auto"/>
              <w:bottom w:val="nil"/>
              <w:right w:val="nil"/>
            </w:tcBorders>
            <w:shd w:val="clear" w:color="auto" w:fill="auto"/>
            <w:noWrap/>
            <w:vAlign w:val="center"/>
            <w:hideMark/>
          </w:tcPr>
          <w:p w14:paraId="3715F822"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170</w:t>
            </w:r>
          </w:p>
        </w:tc>
        <w:tc>
          <w:tcPr>
            <w:tcW w:w="960" w:type="dxa"/>
            <w:tcBorders>
              <w:top w:val="nil"/>
              <w:left w:val="nil"/>
              <w:bottom w:val="nil"/>
              <w:right w:val="nil"/>
            </w:tcBorders>
            <w:shd w:val="clear" w:color="auto" w:fill="auto"/>
            <w:noWrap/>
            <w:vAlign w:val="center"/>
            <w:hideMark/>
          </w:tcPr>
          <w:p w14:paraId="60DCFB47"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5%</w:t>
            </w:r>
          </w:p>
        </w:tc>
      </w:tr>
      <w:tr w:rsidR="008D1C9C" w:rsidRPr="00DF0A2E" w14:paraId="1A8A96AD" w14:textId="77777777" w:rsidTr="00D65D0C">
        <w:trPr>
          <w:trHeight w:val="300"/>
        </w:trPr>
        <w:tc>
          <w:tcPr>
            <w:tcW w:w="1323" w:type="dxa"/>
            <w:tcBorders>
              <w:top w:val="nil"/>
              <w:left w:val="nil"/>
              <w:bottom w:val="single" w:sz="12" w:space="0" w:color="404040"/>
              <w:right w:val="nil"/>
            </w:tcBorders>
            <w:shd w:val="clear" w:color="000000" w:fill="E7E6E6"/>
            <w:noWrap/>
            <w:vAlign w:val="center"/>
            <w:hideMark/>
          </w:tcPr>
          <w:p w14:paraId="6ABA6A1A"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Windham</w:t>
            </w:r>
          </w:p>
        </w:tc>
        <w:tc>
          <w:tcPr>
            <w:tcW w:w="993" w:type="dxa"/>
            <w:tcBorders>
              <w:top w:val="nil"/>
              <w:left w:val="nil"/>
              <w:bottom w:val="single" w:sz="12" w:space="0" w:color="404040"/>
              <w:right w:val="nil"/>
            </w:tcBorders>
            <w:shd w:val="clear" w:color="000000" w:fill="E7E6E6"/>
            <w:noWrap/>
            <w:vAlign w:val="center"/>
            <w:hideMark/>
          </w:tcPr>
          <w:p w14:paraId="0C855E36"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5,160</w:t>
            </w:r>
          </w:p>
        </w:tc>
        <w:tc>
          <w:tcPr>
            <w:tcW w:w="1020" w:type="dxa"/>
            <w:tcBorders>
              <w:top w:val="nil"/>
              <w:left w:val="nil"/>
              <w:bottom w:val="single" w:sz="12" w:space="0" w:color="404040"/>
              <w:right w:val="nil"/>
            </w:tcBorders>
            <w:shd w:val="clear" w:color="000000" w:fill="E7E6E6"/>
            <w:noWrap/>
            <w:vAlign w:val="center"/>
            <w:hideMark/>
          </w:tcPr>
          <w:p w14:paraId="737BED45"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5,580</w:t>
            </w:r>
          </w:p>
        </w:tc>
        <w:tc>
          <w:tcPr>
            <w:tcW w:w="1120" w:type="dxa"/>
            <w:tcBorders>
              <w:top w:val="single" w:sz="4" w:space="0" w:color="auto"/>
              <w:left w:val="single" w:sz="4" w:space="0" w:color="auto"/>
              <w:bottom w:val="single" w:sz="12" w:space="0" w:color="404040"/>
              <w:right w:val="nil"/>
            </w:tcBorders>
            <w:shd w:val="clear" w:color="000000" w:fill="E7E6E6"/>
            <w:noWrap/>
            <w:vAlign w:val="center"/>
            <w:hideMark/>
          </w:tcPr>
          <w:p w14:paraId="744A5DFC"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410</w:t>
            </w:r>
          </w:p>
        </w:tc>
        <w:tc>
          <w:tcPr>
            <w:tcW w:w="960" w:type="dxa"/>
            <w:tcBorders>
              <w:top w:val="single" w:sz="4" w:space="0" w:color="auto"/>
              <w:left w:val="nil"/>
              <w:bottom w:val="single" w:sz="12" w:space="0" w:color="404040"/>
              <w:right w:val="nil"/>
            </w:tcBorders>
            <w:shd w:val="clear" w:color="000000" w:fill="E7E6E6"/>
            <w:noWrap/>
            <w:vAlign w:val="center"/>
            <w:hideMark/>
          </w:tcPr>
          <w:p w14:paraId="6404785E"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8%</w:t>
            </w:r>
          </w:p>
        </w:tc>
      </w:tr>
      <w:tr w:rsidR="008D1C9C" w:rsidRPr="00DF0A2E" w14:paraId="502BFE3A" w14:textId="77777777" w:rsidTr="00D65D0C">
        <w:trPr>
          <w:trHeight w:val="300"/>
        </w:trPr>
        <w:tc>
          <w:tcPr>
            <w:tcW w:w="1323" w:type="dxa"/>
            <w:tcBorders>
              <w:top w:val="single" w:sz="12" w:space="0" w:color="404040"/>
              <w:left w:val="nil"/>
              <w:bottom w:val="single" w:sz="12" w:space="0" w:color="404040"/>
              <w:right w:val="nil"/>
            </w:tcBorders>
            <w:shd w:val="clear" w:color="auto" w:fill="auto"/>
            <w:noWrap/>
            <w:vAlign w:val="center"/>
            <w:hideMark/>
          </w:tcPr>
          <w:p w14:paraId="51C32D3C"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SNHPC</w:t>
            </w:r>
          </w:p>
        </w:tc>
        <w:tc>
          <w:tcPr>
            <w:tcW w:w="993" w:type="dxa"/>
            <w:tcBorders>
              <w:top w:val="single" w:sz="12" w:space="0" w:color="404040"/>
              <w:left w:val="nil"/>
              <w:bottom w:val="single" w:sz="12" w:space="0" w:color="404040"/>
              <w:right w:val="nil"/>
            </w:tcBorders>
            <w:shd w:val="clear" w:color="auto" w:fill="auto"/>
            <w:noWrap/>
            <w:vAlign w:val="center"/>
            <w:hideMark/>
          </w:tcPr>
          <w:p w14:paraId="47AB2E17"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108,490</w:t>
            </w:r>
          </w:p>
        </w:tc>
        <w:tc>
          <w:tcPr>
            <w:tcW w:w="1020" w:type="dxa"/>
            <w:tcBorders>
              <w:top w:val="single" w:sz="12" w:space="0" w:color="404040"/>
              <w:left w:val="nil"/>
              <w:bottom w:val="single" w:sz="12" w:space="0" w:color="404040"/>
              <w:right w:val="nil"/>
            </w:tcBorders>
            <w:shd w:val="clear" w:color="auto" w:fill="auto"/>
            <w:noWrap/>
            <w:vAlign w:val="center"/>
            <w:hideMark/>
          </w:tcPr>
          <w:p w14:paraId="0D13F34A"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115,580</w:t>
            </w:r>
          </w:p>
        </w:tc>
        <w:tc>
          <w:tcPr>
            <w:tcW w:w="1120" w:type="dxa"/>
            <w:tcBorders>
              <w:top w:val="single" w:sz="12" w:space="0" w:color="404040"/>
              <w:left w:val="single" w:sz="4" w:space="0" w:color="auto"/>
              <w:bottom w:val="single" w:sz="12" w:space="0" w:color="404040"/>
              <w:right w:val="nil"/>
            </w:tcBorders>
            <w:shd w:val="clear" w:color="auto" w:fill="auto"/>
            <w:noWrap/>
            <w:vAlign w:val="center"/>
            <w:hideMark/>
          </w:tcPr>
          <w:p w14:paraId="51690392"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7,090</w:t>
            </w:r>
          </w:p>
        </w:tc>
        <w:tc>
          <w:tcPr>
            <w:tcW w:w="960" w:type="dxa"/>
            <w:tcBorders>
              <w:top w:val="single" w:sz="12" w:space="0" w:color="404040"/>
              <w:left w:val="nil"/>
              <w:bottom w:val="single" w:sz="12" w:space="0" w:color="404040"/>
              <w:right w:val="nil"/>
            </w:tcBorders>
            <w:shd w:val="clear" w:color="auto" w:fill="auto"/>
            <w:noWrap/>
            <w:vAlign w:val="center"/>
            <w:hideMark/>
          </w:tcPr>
          <w:p w14:paraId="44BADFE4"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7%</w:t>
            </w:r>
          </w:p>
        </w:tc>
      </w:tr>
      <w:tr w:rsidR="008D1C9C" w:rsidRPr="00DF0A2E" w14:paraId="71FB247B" w14:textId="77777777" w:rsidTr="00D65D0C">
        <w:trPr>
          <w:trHeight w:val="285"/>
        </w:trPr>
        <w:tc>
          <w:tcPr>
            <w:tcW w:w="1323" w:type="dxa"/>
            <w:tcBorders>
              <w:top w:val="single" w:sz="12" w:space="0" w:color="404040"/>
              <w:left w:val="nil"/>
              <w:bottom w:val="nil"/>
              <w:right w:val="nil"/>
            </w:tcBorders>
            <w:shd w:val="clear" w:color="000000" w:fill="E7E6E6"/>
            <w:noWrap/>
            <w:vAlign w:val="center"/>
            <w:hideMark/>
          </w:tcPr>
          <w:p w14:paraId="42C4CD17"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NH</w:t>
            </w:r>
          </w:p>
        </w:tc>
        <w:tc>
          <w:tcPr>
            <w:tcW w:w="993" w:type="dxa"/>
            <w:tcBorders>
              <w:top w:val="single" w:sz="12" w:space="0" w:color="404040"/>
              <w:left w:val="nil"/>
              <w:bottom w:val="nil"/>
              <w:right w:val="nil"/>
            </w:tcBorders>
            <w:shd w:val="clear" w:color="000000" w:fill="E7E6E6"/>
            <w:noWrap/>
            <w:vAlign w:val="center"/>
            <w:hideMark/>
          </w:tcPr>
          <w:p w14:paraId="12FCB2EA"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614,750</w:t>
            </w:r>
          </w:p>
        </w:tc>
        <w:tc>
          <w:tcPr>
            <w:tcW w:w="1020" w:type="dxa"/>
            <w:tcBorders>
              <w:top w:val="single" w:sz="12" w:space="0" w:color="404040"/>
              <w:left w:val="nil"/>
              <w:bottom w:val="nil"/>
              <w:right w:val="nil"/>
            </w:tcBorders>
            <w:shd w:val="clear" w:color="000000" w:fill="E7E6E6"/>
            <w:noWrap/>
            <w:vAlign w:val="center"/>
            <w:hideMark/>
          </w:tcPr>
          <w:p w14:paraId="03688065"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638,800</w:t>
            </w:r>
          </w:p>
        </w:tc>
        <w:tc>
          <w:tcPr>
            <w:tcW w:w="1120" w:type="dxa"/>
            <w:tcBorders>
              <w:top w:val="single" w:sz="12" w:space="0" w:color="404040"/>
              <w:left w:val="single" w:sz="4" w:space="0" w:color="auto"/>
              <w:bottom w:val="nil"/>
              <w:right w:val="nil"/>
            </w:tcBorders>
            <w:shd w:val="clear" w:color="000000" w:fill="E7E6E6"/>
            <w:noWrap/>
            <w:vAlign w:val="center"/>
            <w:hideMark/>
          </w:tcPr>
          <w:p w14:paraId="5B125DCF"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24,040</w:t>
            </w:r>
          </w:p>
        </w:tc>
        <w:tc>
          <w:tcPr>
            <w:tcW w:w="960" w:type="dxa"/>
            <w:tcBorders>
              <w:top w:val="single" w:sz="12" w:space="0" w:color="404040"/>
              <w:left w:val="nil"/>
              <w:bottom w:val="nil"/>
              <w:right w:val="nil"/>
            </w:tcBorders>
            <w:shd w:val="clear" w:color="000000" w:fill="E7E6E6"/>
            <w:noWrap/>
            <w:vAlign w:val="center"/>
            <w:hideMark/>
          </w:tcPr>
          <w:p w14:paraId="6AA5B419" w14:textId="77777777" w:rsidR="008D1C9C" w:rsidRPr="00DF0A2E" w:rsidRDefault="008D1C9C" w:rsidP="00206C45">
            <w:pPr>
              <w:spacing w:after="0" w:line="300" w:lineRule="auto"/>
              <w:jc w:val="center"/>
              <w:rPr>
                <w:rFonts w:ascii="Tw Cen MT" w:eastAsia="Times New Roman" w:hAnsi="Tw Cen MT" w:cs="Calibri"/>
                <w:color w:val="000000"/>
              </w:rPr>
            </w:pPr>
            <w:r w:rsidRPr="00DF0A2E">
              <w:rPr>
                <w:rFonts w:ascii="Tw Cen MT" w:eastAsia="Times New Roman" w:hAnsi="Tw Cen MT" w:cs="Calibri"/>
                <w:color w:val="000000"/>
              </w:rPr>
              <w:t>4%</w:t>
            </w:r>
          </w:p>
        </w:tc>
      </w:tr>
      <w:tr w:rsidR="008D1C9C" w:rsidRPr="00DF0A2E" w14:paraId="61EDC497" w14:textId="77777777" w:rsidTr="00D65D0C">
        <w:trPr>
          <w:trHeight w:val="80"/>
        </w:trPr>
        <w:tc>
          <w:tcPr>
            <w:tcW w:w="5416" w:type="dxa"/>
            <w:gridSpan w:val="5"/>
            <w:tcBorders>
              <w:top w:val="nil"/>
              <w:left w:val="nil"/>
              <w:bottom w:val="nil"/>
              <w:right w:val="nil"/>
            </w:tcBorders>
            <w:shd w:val="clear" w:color="auto" w:fill="auto"/>
            <w:vAlign w:val="bottom"/>
            <w:hideMark/>
          </w:tcPr>
          <w:p w14:paraId="4AB3771F" w14:textId="77777777" w:rsidR="008D1C9C" w:rsidRPr="00DF0A2E" w:rsidRDefault="008D1C9C" w:rsidP="00206C45">
            <w:pPr>
              <w:spacing w:after="0" w:line="300" w:lineRule="auto"/>
              <w:jc w:val="right"/>
              <w:rPr>
                <w:rFonts w:ascii="Tw Cen MT" w:eastAsia="Times New Roman" w:hAnsi="Tw Cen MT" w:cs="Calibri"/>
                <w:color w:val="000000"/>
                <w:sz w:val="20"/>
                <w:szCs w:val="20"/>
              </w:rPr>
            </w:pPr>
            <w:r w:rsidRPr="00DF0A2E">
              <w:rPr>
                <w:rFonts w:ascii="Tw Cen MT" w:eastAsia="Times New Roman" w:hAnsi="Tw Cen MT" w:cs="Calibri"/>
                <w:color w:val="000000"/>
                <w:sz w:val="20"/>
                <w:szCs w:val="20"/>
              </w:rPr>
              <w:t>Decennial Census</w:t>
            </w:r>
          </w:p>
        </w:tc>
      </w:tr>
      <w:tr w:rsidR="008D1C9C" w:rsidRPr="00DF0A2E" w14:paraId="65C8C5FB" w14:textId="77777777" w:rsidTr="00D65D0C">
        <w:trPr>
          <w:trHeight w:val="80"/>
        </w:trPr>
        <w:tc>
          <w:tcPr>
            <w:tcW w:w="5416" w:type="dxa"/>
            <w:gridSpan w:val="5"/>
            <w:tcBorders>
              <w:top w:val="nil"/>
              <w:left w:val="nil"/>
              <w:bottom w:val="nil"/>
              <w:right w:val="nil"/>
            </w:tcBorders>
            <w:shd w:val="clear" w:color="auto" w:fill="auto"/>
            <w:noWrap/>
            <w:vAlign w:val="center"/>
            <w:hideMark/>
          </w:tcPr>
          <w:p w14:paraId="799BB702" w14:textId="77777777" w:rsidR="008D1C9C" w:rsidRPr="00DF0A2E" w:rsidRDefault="008D1C9C" w:rsidP="00206C45">
            <w:pPr>
              <w:spacing w:after="0" w:line="300" w:lineRule="auto"/>
              <w:jc w:val="right"/>
              <w:rPr>
                <w:rFonts w:ascii="Tw Cen MT" w:eastAsia="Times New Roman" w:hAnsi="Tw Cen MT" w:cs="Calibri"/>
                <w:color w:val="000000"/>
                <w:sz w:val="20"/>
                <w:szCs w:val="20"/>
              </w:rPr>
            </w:pPr>
            <w:r w:rsidRPr="00DF0A2E">
              <w:rPr>
                <w:rFonts w:ascii="Tw Cen MT" w:eastAsia="Times New Roman" w:hAnsi="Tw Cen MT" w:cs="Calibri"/>
                <w:color w:val="000000"/>
                <w:sz w:val="20"/>
                <w:szCs w:val="20"/>
              </w:rPr>
              <w:t>Source: US Census Bureau</w:t>
            </w:r>
          </w:p>
        </w:tc>
      </w:tr>
    </w:tbl>
    <w:p w14:paraId="4997E501" w14:textId="77777777" w:rsidR="00B837E5" w:rsidRPr="00C64BA4" w:rsidRDefault="00B837E5" w:rsidP="00206C45">
      <w:pPr>
        <w:pStyle w:val="Body"/>
        <w:spacing w:line="300" w:lineRule="auto"/>
        <w:rPr>
          <w:lang w:val="en"/>
        </w:rPr>
      </w:pPr>
    </w:p>
    <w:p w14:paraId="1C92DA33" w14:textId="27963C66" w:rsidR="008B4DF2" w:rsidRPr="00C64BA4" w:rsidRDefault="192F52F6" w:rsidP="00206C45">
      <w:pPr>
        <w:pStyle w:val="Heading4"/>
        <w:spacing w:line="300" w:lineRule="auto"/>
        <w:rPr>
          <w:lang w:val="en"/>
        </w:rPr>
      </w:pPr>
      <w:r w:rsidRPr="00C64BA4">
        <w:rPr>
          <w:lang w:val="en"/>
        </w:rPr>
        <w:t>Number of Units Permitted</w:t>
      </w:r>
    </w:p>
    <w:p w14:paraId="0A87830D" w14:textId="7184A11C" w:rsidR="2A12A8AF" w:rsidRPr="00C64BA4" w:rsidRDefault="192F52F6" w:rsidP="00206C45">
      <w:pPr>
        <w:spacing w:line="300" w:lineRule="auto"/>
        <w:rPr>
          <w:lang w:val="en"/>
        </w:rPr>
      </w:pPr>
      <w:r w:rsidRPr="00C64BA4">
        <w:rPr>
          <w:lang w:val="en"/>
        </w:rPr>
        <w:t>A common indicator of housing supply is building permit activity.  All towns issue building permits for housing construction, although not every town issues a Certificate of Occupancy; therefore, while the number of permits issued may not equal the housing units being built, they are nevertheless an important data point.</w:t>
      </w:r>
    </w:p>
    <w:p w14:paraId="3577CB41" w14:textId="37E010C6" w:rsidR="60CF9E06" w:rsidRPr="00C64BA4" w:rsidRDefault="192F52F6" w:rsidP="00206C45">
      <w:pPr>
        <w:spacing w:line="300" w:lineRule="auto"/>
        <w:rPr>
          <w:lang w:val="en"/>
        </w:rPr>
      </w:pPr>
      <w:r w:rsidRPr="00C64BA4">
        <w:rPr>
          <w:lang w:val="en"/>
        </w:rPr>
        <w:t xml:space="preserve">Within the Southern New Hampshire region building permit activity declined sharply from 2000 to 2020.  Based on U.S. Census data, there were 1,524 permits issued for all housing types in 2000, and in 2020 this number had fallen to 692.  Within these two decades, the greatest decline was from 2000 to 2010, when the number of permits dropped to 388; by 2015 the number was up to 1,029, only to drop again in 2020.  </w:t>
      </w:r>
    </w:p>
    <w:p w14:paraId="0C874912" w14:textId="63600450" w:rsidR="008B4DF2" w:rsidRPr="00C64BA4" w:rsidRDefault="192F52F6" w:rsidP="00206C45">
      <w:pPr>
        <w:pStyle w:val="Heading4"/>
        <w:spacing w:line="300" w:lineRule="auto"/>
      </w:pPr>
      <w:r w:rsidRPr="00C64BA4">
        <w:lastRenderedPageBreak/>
        <w:t>Accessory Dwelling Units</w:t>
      </w:r>
    </w:p>
    <w:p w14:paraId="6EBF2549" w14:textId="1F9A9289" w:rsidR="71749265" w:rsidRPr="00C64BA4" w:rsidRDefault="192F52F6" w:rsidP="00206C45">
      <w:pPr>
        <w:spacing w:line="300" w:lineRule="auto"/>
        <w:rPr>
          <w:lang w:val="en"/>
        </w:rPr>
      </w:pPr>
      <w:r w:rsidRPr="00C64BA4">
        <w:rPr>
          <w:lang w:val="en"/>
        </w:rPr>
        <w:t>Accessory Dwelling Units (ADUs) are a secondary home or apartment that shares a lot with a primary residence.  In New Hampshire, allowing these units has been a statutory requirement since 2017; these units may either be attached to the primary residence or detached, and while communities may choose to allow both, they must allow the attached units.</w:t>
      </w:r>
    </w:p>
    <w:p w14:paraId="68D9DC6D" w14:textId="2E45D4FA" w:rsidR="5E2DBB27" w:rsidRPr="00C64BA4" w:rsidRDefault="192F52F6" w:rsidP="00206C45">
      <w:pPr>
        <w:spacing w:line="300" w:lineRule="auto"/>
        <w:rPr>
          <w:lang w:val="en"/>
        </w:rPr>
      </w:pPr>
      <w:r w:rsidRPr="00C64BA4">
        <w:rPr>
          <w:lang w:val="en"/>
        </w:rPr>
        <w:t>In the Southern New Hampshire region, four of the 14 communities allow detached ADUs - Deerfield, Londonderry, Manchester, and New Boston.  Manchester requires a Conditional Use Permit for these units, while the other three communities permit them by right.</w:t>
      </w:r>
    </w:p>
    <w:p w14:paraId="41550F1F" w14:textId="3B6F2699" w:rsidR="318224D6" w:rsidRPr="00C64BA4" w:rsidRDefault="192F52F6" w:rsidP="00206C45">
      <w:pPr>
        <w:spacing w:line="300" w:lineRule="auto"/>
        <w:rPr>
          <w:lang w:val="en"/>
        </w:rPr>
      </w:pPr>
      <w:r w:rsidRPr="00C64BA4">
        <w:rPr>
          <w:lang w:val="en"/>
        </w:rPr>
        <w:t xml:space="preserve">Of the remaining 10 communities, four permit these units by right – </w:t>
      </w:r>
      <w:proofErr w:type="spellStart"/>
      <w:r w:rsidRPr="00C64BA4">
        <w:rPr>
          <w:lang w:val="en"/>
        </w:rPr>
        <w:t>Francestown</w:t>
      </w:r>
      <w:proofErr w:type="spellEnd"/>
      <w:r w:rsidRPr="00C64BA4">
        <w:rPr>
          <w:lang w:val="en"/>
        </w:rPr>
        <w:t xml:space="preserve">, Bedford, Derry, and Windham, while the others require a special exception (Candia, Auburn, Chester, Goffstown, and </w:t>
      </w:r>
      <w:proofErr w:type="spellStart"/>
      <w:r w:rsidRPr="00C64BA4">
        <w:rPr>
          <w:lang w:val="en"/>
        </w:rPr>
        <w:t>Weare</w:t>
      </w:r>
      <w:proofErr w:type="spellEnd"/>
      <w:r w:rsidRPr="00C64BA4">
        <w:rPr>
          <w:lang w:val="en"/>
        </w:rPr>
        <w:t>) or Conditional Use Permit (Hooksett).  All 14 towns require that the ADU or the primary residence be owner-occupied.</w:t>
      </w:r>
    </w:p>
    <w:p w14:paraId="1D2D58A0" w14:textId="22CD1D23" w:rsidR="000B35CE" w:rsidRPr="00C64BA4" w:rsidRDefault="000B35CE" w:rsidP="00206C45">
      <w:pPr>
        <w:pStyle w:val="Heading4"/>
        <w:spacing w:line="300" w:lineRule="auto"/>
        <w:rPr>
          <w:lang w:val="en"/>
        </w:rPr>
      </w:pPr>
      <w:r w:rsidRPr="00C64BA4">
        <w:rPr>
          <w:lang w:val="en"/>
        </w:rPr>
        <w:t>Vacancy Rates (by Tenure)</w:t>
      </w:r>
    </w:p>
    <w:p w14:paraId="11201A4D" w14:textId="4F3D1F73" w:rsidR="6C78BE8F" w:rsidRPr="00C64BA4" w:rsidRDefault="192F52F6" w:rsidP="00206C45">
      <w:pPr>
        <w:pStyle w:val="Body"/>
        <w:spacing w:line="300" w:lineRule="auto"/>
        <w:rPr>
          <w:lang w:val="en"/>
        </w:rPr>
      </w:pPr>
      <w:r w:rsidRPr="00C64BA4">
        <w:rPr>
          <w:lang w:val="en"/>
        </w:rPr>
        <w:t>Vacancy rates are calculated by dividing the number of vacant units by the total number of units.  Vacancy rates are one indicator of housing supply</w:t>
      </w:r>
      <w:r w:rsidR="00B1186E">
        <w:rPr>
          <w:lang w:val="en"/>
        </w:rPr>
        <w:t>.</w:t>
      </w:r>
      <w:r w:rsidRPr="00C64BA4">
        <w:rPr>
          <w:lang w:val="en"/>
        </w:rPr>
        <w:t xml:space="preserve"> </w:t>
      </w:r>
      <w:r w:rsidR="00B1186E">
        <w:rPr>
          <w:lang w:val="en"/>
        </w:rPr>
        <w:t>F</w:t>
      </w:r>
      <w:r w:rsidRPr="00C64BA4">
        <w:rPr>
          <w:lang w:val="en"/>
        </w:rPr>
        <w:t xml:space="preserve">or example, a low vacancy rate is one indicator that there is a not enough supply to meet the demand.  Nationwide and in New Hampshire vacancy rates are at historic lows, both for owner-occupied and renter-occupied units.  A standard industry rate for a balanced housing market is 5% vacancy; this ensures that there is enough inventory for some movement of both renters and homeowners.  Any number below 5% is considered to indicate a tight housing market with very little supply. </w:t>
      </w:r>
    </w:p>
    <w:p w14:paraId="05DD5510" w14:textId="69A7BA3A" w:rsidR="600E065A" w:rsidRPr="00C64BA4" w:rsidRDefault="192F52F6" w:rsidP="00206C45">
      <w:pPr>
        <w:pStyle w:val="Body"/>
        <w:spacing w:line="300" w:lineRule="auto"/>
        <w:rPr>
          <w:lang w:val="en"/>
        </w:rPr>
      </w:pPr>
      <w:r w:rsidRPr="00C64BA4">
        <w:rPr>
          <w:lang w:val="en"/>
        </w:rPr>
        <w:t>The U.S. Census tracks vacancies by various categories, including units that are for rent or for sale, or for seasonal or other use.  In 2020 the Southern NH region had a total of 4,820 vacant housing unit, which represented 4% of the total housing stock.  The percentage varied from 2% (Auburn and Chester) to 13% (</w:t>
      </w:r>
      <w:proofErr w:type="spellStart"/>
      <w:r w:rsidRPr="00C64BA4">
        <w:rPr>
          <w:lang w:val="en"/>
        </w:rPr>
        <w:t>Francestown</w:t>
      </w:r>
      <w:proofErr w:type="spellEnd"/>
      <w:r w:rsidRPr="00C64BA4">
        <w:rPr>
          <w:lang w:val="en"/>
        </w:rPr>
        <w:t>).  The 4% regional vacancy rate compares to a 13% statewide vacancy rate.  Noteworthy is that the rate for both the region and the state declined from 2010, when the region had a rate of 6% and the state 16%, data that are consistent with other findings regarding the growing lack of housing supply.</w:t>
      </w:r>
    </w:p>
    <w:p w14:paraId="36336DC0" w14:textId="4A1BC2E6" w:rsidR="000B35CE" w:rsidRPr="00C64BA4" w:rsidRDefault="192F52F6" w:rsidP="00206C45">
      <w:pPr>
        <w:pStyle w:val="Heading4"/>
        <w:spacing w:line="300" w:lineRule="auto"/>
        <w:rPr>
          <w:lang w:val="en"/>
        </w:rPr>
      </w:pPr>
      <w:r w:rsidRPr="00C64BA4">
        <w:rPr>
          <w:lang w:val="en"/>
        </w:rPr>
        <w:t>Density of Housing</w:t>
      </w:r>
    </w:p>
    <w:p w14:paraId="7CB99A69" w14:textId="48085422" w:rsidR="0BC95BB2" w:rsidRPr="00C64BA4" w:rsidRDefault="192F52F6" w:rsidP="00206C45">
      <w:pPr>
        <w:spacing w:line="300" w:lineRule="auto"/>
        <w:rPr>
          <w:lang w:val="en"/>
        </w:rPr>
      </w:pPr>
      <w:r w:rsidRPr="00C64BA4">
        <w:rPr>
          <w:lang w:val="en"/>
        </w:rPr>
        <w:t xml:space="preserve">Housing density refers to the number of housing units per acre.  The 2020 U.S. Census calculated that the Southern New Hampshire region had an overall density of 0.36 dwelling units per acre.  Within the region, the numbers varied quite a bit, from a low of 0.04 in </w:t>
      </w:r>
      <w:proofErr w:type="spellStart"/>
      <w:r w:rsidRPr="00C64BA4">
        <w:rPr>
          <w:lang w:val="en"/>
        </w:rPr>
        <w:t>Francestown</w:t>
      </w:r>
      <w:proofErr w:type="spellEnd"/>
      <w:r w:rsidRPr="00C64BA4">
        <w:rPr>
          <w:lang w:val="en"/>
        </w:rPr>
        <w:t xml:space="preserve"> to a high of 2.43 in Manchester.  Not surprisingly, the municipalities with water and sewer infrastructure (Manchester, Derry, Londonderry) had higher densities than the rural towns with no municipal infrastructure.  </w:t>
      </w:r>
    </w:p>
    <w:p w14:paraId="0D2FEF2B" w14:textId="029089FA" w:rsidR="3AD5FA63" w:rsidRPr="00C64BA4" w:rsidRDefault="3AD5FA63" w:rsidP="00206C45">
      <w:pPr>
        <w:spacing w:line="300" w:lineRule="auto"/>
        <w:rPr>
          <w:lang w:val="en"/>
        </w:rPr>
      </w:pPr>
      <w:r w:rsidRPr="00C64BA4">
        <w:rPr>
          <w:lang w:val="en"/>
        </w:rPr>
        <w:t xml:space="preserve">Density – or rather, the </w:t>
      </w:r>
      <w:r w:rsidR="533E2C2C" w:rsidRPr="00C64BA4">
        <w:rPr>
          <w:lang w:val="en"/>
        </w:rPr>
        <w:t>capacity for density</w:t>
      </w:r>
      <w:r w:rsidRPr="00C64BA4">
        <w:rPr>
          <w:lang w:val="en"/>
        </w:rPr>
        <w:t xml:space="preserve"> is a factor in the supply of housing</w:t>
      </w:r>
      <w:r w:rsidR="4FFD04B8" w:rsidRPr="00C64BA4">
        <w:rPr>
          <w:lang w:val="en"/>
        </w:rPr>
        <w:t xml:space="preserve">.  Communities with water and sewer infrastructure </w:t>
      </w:r>
      <w:proofErr w:type="gramStart"/>
      <w:r w:rsidR="4FFD04B8" w:rsidRPr="00C64BA4">
        <w:rPr>
          <w:lang w:val="en"/>
        </w:rPr>
        <w:t>are able to</w:t>
      </w:r>
      <w:proofErr w:type="gramEnd"/>
      <w:r w:rsidR="4FFD04B8" w:rsidRPr="00C64BA4">
        <w:rPr>
          <w:lang w:val="en"/>
        </w:rPr>
        <w:t xml:space="preserve"> support a higher density, and therefore a greater number of housing units.  Rural communities with limited or no </w:t>
      </w:r>
      <w:r w:rsidR="1F17D672" w:rsidRPr="00C64BA4">
        <w:rPr>
          <w:lang w:val="en"/>
        </w:rPr>
        <w:t xml:space="preserve">water and/or sewer infrastructure tend to have larger minimum lot sizes that are intended to support on-site wells and septic systems.  </w:t>
      </w:r>
    </w:p>
    <w:p w14:paraId="2E668EBC" w14:textId="768F13CE" w:rsidR="000B35CE" w:rsidRPr="00C64BA4" w:rsidRDefault="04F40CC2" w:rsidP="00274AAD">
      <w:pPr>
        <w:pStyle w:val="Heading3"/>
        <w:keepNext/>
        <w:keepLines/>
        <w:spacing w:line="300" w:lineRule="auto"/>
        <w:rPr>
          <w:lang w:val="en"/>
        </w:rPr>
      </w:pPr>
      <w:bookmarkStart w:id="118" w:name="_Toc1300661731"/>
      <w:bookmarkStart w:id="119" w:name="_Toc1876085248"/>
      <w:bookmarkStart w:id="120" w:name="_Toc128137964"/>
      <w:r w:rsidRPr="00C64BA4">
        <w:rPr>
          <w:lang w:val="en"/>
        </w:rPr>
        <w:lastRenderedPageBreak/>
        <w:t>Age of Housing Stock</w:t>
      </w:r>
      <w:bookmarkEnd w:id="118"/>
      <w:bookmarkEnd w:id="119"/>
      <w:bookmarkEnd w:id="120"/>
    </w:p>
    <w:p w14:paraId="4571F18F" w14:textId="481EC748" w:rsidR="003DE154" w:rsidRPr="00C64BA4" w:rsidRDefault="192F52F6" w:rsidP="00274AAD">
      <w:pPr>
        <w:pStyle w:val="Body"/>
        <w:keepNext/>
        <w:keepLines/>
        <w:spacing w:line="300" w:lineRule="auto"/>
        <w:rPr>
          <w:lang w:val="en"/>
        </w:rPr>
      </w:pPr>
      <w:r w:rsidRPr="00C64BA4">
        <w:rPr>
          <w:lang w:val="en"/>
        </w:rPr>
        <w:t>The age of housing stock can be an indicator of its condition; for example, whether the house was built prior to the adoption of certain building and fire codes.  Census data collected on age of housing stock uses pre-1940 as a starting point, and then counts the number of units constructed in every decade since.  In 2020 19% of all occupied housing units in the Southern New Hampshire region were constructed prior to 1940</w:t>
      </w:r>
      <w:r w:rsidR="00B1186E">
        <w:rPr>
          <w:lang w:val="en"/>
        </w:rPr>
        <w:t>.</w:t>
      </w:r>
      <w:r w:rsidRPr="00C64BA4">
        <w:rPr>
          <w:lang w:val="en"/>
        </w:rPr>
        <w:t xml:space="preserve"> </w:t>
      </w:r>
      <w:r w:rsidR="00B1186E">
        <w:rPr>
          <w:lang w:val="en"/>
        </w:rPr>
        <w:t>W</w:t>
      </w:r>
      <w:r w:rsidRPr="00C64BA4">
        <w:rPr>
          <w:lang w:val="en"/>
        </w:rPr>
        <w:t>hile the age does not necessarily mean that these houses are in poor condition, it does suggest that improvements or repairs could be more complicated since they were built prior to the existence of widespread building codes.  Looking at the time of construction by decade, the bulk of the occupied housing units in the region were constructed in the 1970s through the 1990s.  Since 2010, only 4% of the housing in the region has been constructed.</w:t>
      </w:r>
    </w:p>
    <w:p w14:paraId="1E7EDB3C" w14:textId="6D240BBE" w:rsidR="00B40F3B" w:rsidRPr="00C64BA4" w:rsidRDefault="192F52F6" w:rsidP="00206C45">
      <w:pPr>
        <w:pStyle w:val="Heading2"/>
        <w:spacing w:line="300" w:lineRule="auto"/>
        <w:rPr>
          <w:lang w:val="en"/>
        </w:rPr>
      </w:pPr>
      <w:bookmarkStart w:id="121" w:name="_Toc2134822766"/>
      <w:bookmarkStart w:id="122" w:name="_Toc992764814"/>
      <w:bookmarkStart w:id="123" w:name="_Toc128137965"/>
      <w:r w:rsidRPr="00C64BA4">
        <w:rPr>
          <w:lang w:val="en"/>
        </w:rPr>
        <w:t>Distribution of Workforce and Affordable Housing Units</w:t>
      </w:r>
      <w:bookmarkEnd w:id="121"/>
      <w:bookmarkEnd w:id="122"/>
      <w:bookmarkEnd w:id="123"/>
    </w:p>
    <w:p w14:paraId="48F8CD27" w14:textId="6433AE24" w:rsidR="183793A9" w:rsidRPr="00C64BA4" w:rsidRDefault="192F52F6" w:rsidP="00206C45">
      <w:pPr>
        <w:pStyle w:val="Body"/>
        <w:spacing w:line="300" w:lineRule="auto"/>
        <w:rPr>
          <w:rFonts w:eastAsia="Tw Cen MT" w:cs="Tw Cen MT"/>
          <w:lang w:val="en"/>
        </w:rPr>
      </w:pPr>
      <w:r w:rsidRPr="00C64BA4">
        <w:rPr>
          <w:lang w:val="en"/>
        </w:rPr>
        <w:t xml:space="preserve">Workforce and affordable housing often mean the same thing, in that the relevant income levels are the same.  By definition, </w:t>
      </w:r>
      <w:r w:rsidR="00B1186E">
        <w:rPr>
          <w:lang w:val="en"/>
        </w:rPr>
        <w:t>“</w:t>
      </w:r>
      <w:r w:rsidRPr="00C64BA4">
        <w:rPr>
          <w:lang w:val="en"/>
        </w:rPr>
        <w:t xml:space="preserve">Workforce Housing” means for-sale housing that is affordable to a household of four earning up to 100% of the Area Median Income (AMI); or rental housing that is affordable to a household of three earning up to 60% of the average median income (AMI). “Affordable” is defined as spending no more than 30% of a household’s income on housing costs. (Ownership housing cost is defined as principal, interest, </w:t>
      </w:r>
      <w:proofErr w:type="gramStart"/>
      <w:r w:rsidRPr="00C64BA4">
        <w:rPr>
          <w:lang w:val="en"/>
        </w:rPr>
        <w:t>taxes</w:t>
      </w:r>
      <w:proofErr w:type="gramEnd"/>
      <w:r w:rsidRPr="00C64BA4">
        <w:rPr>
          <w:lang w:val="en"/>
        </w:rPr>
        <w:t xml:space="preserve"> and insurance; rental cost is defined as rent plus utilities.)  </w:t>
      </w:r>
    </w:p>
    <w:p w14:paraId="6E1B981B" w14:textId="2F0F47CD" w:rsidR="183793A9" w:rsidRPr="00C64BA4" w:rsidRDefault="192F52F6" w:rsidP="00206C45">
      <w:pPr>
        <w:pStyle w:val="Body"/>
        <w:spacing w:line="300" w:lineRule="auto"/>
        <w:rPr>
          <w:rFonts w:eastAsia="Tw Cen MT" w:cs="Tw Cen MT"/>
          <w:lang w:val="en"/>
        </w:rPr>
      </w:pPr>
      <w:r w:rsidRPr="00C64BA4">
        <w:rPr>
          <w:lang w:val="en"/>
        </w:rPr>
        <w:t xml:space="preserve">Notably, </w:t>
      </w:r>
      <w:r w:rsidRPr="00C64BA4">
        <w:rPr>
          <w:rFonts w:eastAsia="Tw Cen MT" w:cs="Tw Cen MT"/>
          <w:lang w:val="en"/>
        </w:rPr>
        <w:t>62% of respondents who completed the employer survey stated they believe that a housing supply shortage impacts their ability to attract or keep workers. 65% of respondents described the availability of housing options in or near the area where their business is located as “very limited”.  Availability of housing (for rent or purchase), cost of housing (rent or mortgage) and quality of housing were all identified as having a “high impact” on employers’ ability to attract or keep qualified workers.</w:t>
      </w:r>
    </w:p>
    <w:p w14:paraId="2AE5CE90" w14:textId="302886FA" w:rsidR="00A33E40" w:rsidRPr="00C64BA4" w:rsidRDefault="192F52F6" w:rsidP="00206C45">
      <w:pPr>
        <w:pStyle w:val="Heading3"/>
        <w:spacing w:line="300" w:lineRule="auto"/>
        <w:rPr>
          <w:lang w:val="en"/>
        </w:rPr>
      </w:pPr>
      <w:bookmarkStart w:id="124" w:name="_Toc973906742"/>
      <w:bookmarkStart w:id="125" w:name="_Toc1774234269"/>
      <w:bookmarkStart w:id="126" w:name="_Toc128137966"/>
      <w:r w:rsidRPr="00C64BA4">
        <w:rPr>
          <w:lang w:val="en"/>
        </w:rPr>
        <w:t>Inventory of Income-Restricted Housing</w:t>
      </w:r>
      <w:bookmarkEnd w:id="124"/>
      <w:bookmarkEnd w:id="125"/>
      <w:bookmarkEnd w:id="126"/>
    </w:p>
    <w:p w14:paraId="6D308204" w14:textId="589B348D" w:rsidR="00A33E40" w:rsidRPr="00C64BA4" w:rsidRDefault="192F52F6" w:rsidP="00206C45">
      <w:pPr>
        <w:pStyle w:val="Body"/>
        <w:spacing w:line="300" w:lineRule="auto"/>
        <w:rPr>
          <w:lang w:val="en"/>
        </w:rPr>
      </w:pPr>
      <w:r w:rsidRPr="00C64BA4">
        <w:rPr>
          <w:lang w:val="en"/>
        </w:rPr>
        <w:t xml:space="preserve">Income-restricted housing – or assisted or public housing, is housing that is targeted toward very low- or low-income households.  The approach provides housing support through income and rent restrictions, or a rent subsidy.  Funding for these programs comes from a variety of sources, including the U.S. Department of Housing and Urban Development (HUD), USDA Rural Development, or the NH Housing Finance Authority. In New Hampshire, these programs are </w:t>
      </w:r>
      <w:r w:rsidR="004325D2" w:rsidRPr="00C64BA4">
        <w:rPr>
          <w:lang w:val="en"/>
        </w:rPr>
        <w:t>administered by</w:t>
      </w:r>
      <w:r w:rsidRPr="00C64BA4">
        <w:rPr>
          <w:lang w:val="en"/>
        </w:rPr>
        <w:t xml:space="preserve"> the NH Housing Finance Authority, the NH Community Development Finance Authority, or local Housing and Community Development Authorities.  Many housing projects use a combination of these funding sources.</w:t>
      </w:r>
    </w:p>
    <w:p w14:paraId="30AB4125" w14:textId="1F1E3C79" w:rsidR="00A33E40" w:rsidRPr="00C64BA4" w:rsidRDefault="32E7BF89" w:rsidP="00206C45">
      <w:pPr>
        <w:pStyle w:val="Heading4"/>
        <w:spacing w:line="300" w:lineRule="auto"/>
        <w:rPr>
          <w:lang w:val="en"/>
        </w:rPr>
      </w:pPr>
      <w:r w:rsidRPr="00C64BA4">
        <w:rPr>
          <w:lang w:val="en"/>
        </w:rPr>
        <w:t>P</w:t>
      </w:r>
      <w:r w:rsidR="002B7D1E">
        <w:rPr>
          <w:lang w:val="en"/>
        </w:rPr>
        <w:t xml:space="preserve">ublic Housing </w:t>
      </w:r>
    </w:p>
    <w:p w14:paraId="7E5D6C84" w14:textId="2CA47ACB" w:rsidR="00A33E40" w:rsidRPr="00C64BA4" w:rsidRDefault="192F52F6" w:rsidP="00206C45">
      <w:pPr>
        <w:pStyle w:val="Body"/>
        <w:spacing w:line="300" w:lineRule="auto"/>
        <w:rPr>
          <w:lang w:val="en"/>
        </w:rPr>
      </w:pPr>
      <w:r w:rsidRPr="00C64BA4">
        <w:rPr>
          <w:lang w:val="en"/>
        </w:rPr>
        <w:t xml:space="preserve">Within the Southern NH planning region are hundreds of public housing units that are funded, owned and/or managed by the above-noted agencies.  Manchester has the greatest amount of public housing (2,640 units), of all types, and most of that is owned and managed by the Manchester Housing and Redevelopment Development Authority. Outside of Manchester, there are 1,450 units of public housing located in Bedford, Goffstown, Hooksett, Derry, </w:t>
      </w:r>
      <w:proofErr w:type="gramStart"/>
      <w:r w:rsidRPr="00C64BA4">
        <w:rPr>
          <w:lang w:val="en"/>
        </w:rPr>
        <w:t>Londonderry</w:t>
      </w:r>
      <w:proofErr w:type="gramEnd"/>
      <w:r w:rsidRPr="00C64BA4">
        <w:rPr>
          <w:lang w:val="en"/>
        </w:rPr>
        <w:t xml:space="preserve"> and Windham.</w:t>
      </w:r>
    </w:p>
    <w:p w14:paraId="6CC6E8ED" w14:textId="53B5D09F" w:rsidR="00A33E40" w:rsidRPr="00C64BA4" w:rsidRDefault="192F52F6" w:rsidP="00274AAD">
      <w:pPr>
        <w:pStyle w:val="Heading4"/>
        <w:keepNext/>
        <w:keepLines/>
        <w:spacing w:line="300" w:lineRule="auto"/>
        <w:rPr>
          <w:lang w:val="en"/>
        </w:rPr>
      </w:pPr>
      <w:bookmarkStart w:id="127" w:name="_Hlk123025818"/>
      <w:r w:rsidRPr="00C64BA4">
        <w:rPr>
          <w:lang w:val="en"/>
        </w:rPr>
        <w:lastRenderedPageBreak/>
        <w:t>Housing V</w:t>
      </w:r>
      <w:r w:rsidR="002B7D1E">
        <w:rPr>
          <w:lang w:val="en"/>
        </w:rPr>
        <w:t>ouchers</w:t>
      </w:r>
    </w:p>
    <w:p w14:paraId="39E84248" w14:textId="24499718" w:rsidR="00A33E40" w:rsidRPr="00C64BA4" w:rsidRDefault="192F52F6" w:rsidP="00274AAD">
      <w:pPr>
        <w:pStyle w:val="Body"/>
        <w:keepNext/>
        <w:keepLines/>
        <w:spacing w:line="300" w:lineRule="auto"/>
        <w:rPr>
          <w:lang w:val="en"/>
        </w:rPr>
      </w:pPr>
      <w:r w:rsidRPr="00C64BA4">
        <w:rPr>
          <w:lang w:val="en"/>
        </w:rPr>
        <w:t xml:space="preserve">Housing vouchers – known as the Section 8 Housing Choice Voucher Program, is administered statewide by the NH Housing Finance Authority, and regionally by </w:t>
      </w:r>
      <w:r w:rsidR="004325D2" w:rsidRPr="00C64BA4">
        <w:rPr>
          <w:lang w:val="en"/>
        </w:rPr>
        <w:t>the Manchester</w:t>
      </w:r>
      <w:r w:rsidRPr="00C64BA4">
        <w:rPr>
          <w:lang w:val="en"/>
        </w:rPr>
        <w:t xml:space="preserve"> Housing and Community Development Authority.</w:t>
      </w:r>
    </w:p>
    <w:p w14:paraId="2AC26782" w14:textId="23101ACE" w:rsidR="00A33E40" w:rsidRPr="00C64BA4" w:rsidRDefault="192F52F6" w:rsidP="00206C45">
      <w:pPr>
        <w:pStyle w:val="Body"/>
        <w:spacing w:line="300" w:lineRule="auto"/>
        <w:rPr>
          <w:lang w:val="en"/>
        </w:rPr>
      </w:pPr>
      <w:r w:rsidRPr="00C64BA4">
        <w:rPr>
          <w:lang w:val="en"/>
        </w:rPr>
        <w:t>The Section 8 program provides housing vouchers to low-income families, which can be used in any approved rental unit with a landlord willing to participate in the program.  The subsidy is paid directly to the landlord by the administering agency, and any difference between the subsidy and the rent is made up by the renters.</w:t>
      </w:r>
    </w:p>
    <w:p w14:paraId="686BAA6C" w14:textId="78F65EEA" w:rsidR="00A33E40" w:rsidRDefault="00487581" w:rsidP="00206C45">
      <w:pPr>
        <w:pStyle w:val="Body"/>
        <w:spacing w:line="300" w:lineRule="auto"/>
        <w:rPr>
          <w:lang w:val="en"/>
        </w:rPr>
      </w:pPr>
      <w:r>
        <w:rPr>
          <w:lang w:val="en"/>
        </w:rPr>
        <w:fldChar w:fldCharType="begin"/>
      </w:r>
      <w:r>
        <w:rPr>
          <w:lang w:val="en"/>
        </w:rPr>
        <w:instrText xml:space="preserve"> REF _Ref123199551 \h </w:instrText>
      </w:r>
      <w:r>
        <w:rPr>
          <w:lang w:val="en"/>
        </w:rPr>
      </w:r>
      <w:r>
        <w:rPr>
          <w:lang w:val="en"/>
        </w:rPr>
        <w:fldChar w:fldCharType="separate"/>
      </w:r>
      <w:r w:rsidR="00206C45">
        <w:t xml:space="preserve">Table </w:t>
      </w:r>
      <w:r w:rsidR="00206C45">
        <w:rPr>
          <w:noProof/>
        </w:rPr>
        <w:t>24</w:t>
      </w:r>
      <w:r>
        <w:rPr>
          <w:lang w:val="en"/>
        </w:rPr>
        <w:fldChar w:fldCharType="end"/>
      </w:r>
      <w:r>
        <w:rPr>
          <w:lang w:val="en"/>
        </w:rPr>
        <w:t xml:space="preserve"> </w:t>
      </w:r>
      <w:r w:rsidRPr="00487581">
        <w:rPr>
          <w:lang w:val="en"/>
        </w:rPr>
        <w:t>shows the Section 8 units by town in the Region administered by the NH Housing Finance Authority a</w:t>
      </w:r>
      <w:r w:rsidR="00564F80">
        <w:rPr>
          <w:lang w:val="en"/>
        </w:rPr>
        <w:t>s well as</w:t>
      </w:r>
      <w:r w:rsidRPr="00487581">
        <w:rPr>
          <w:lang w:val="en"/>
        </w:rPr>
        <w:t xml:space="preserve"> the units administered by the Manchester Housing and Redevelopment Authority.  The large majority of these units are in Manchester, followed by Derry. </w:t>
      </w:r>
    </w:p>
    <w:p w14:paraId="74BA257A" w14:textId="156BAE89" w:rsidR="00487581" w:rsidRDefault="00487581" w:rsidP="00206C45">
      <w:pPr>
        <w:pStyle w:val="Caption"/>
        <w:keepNext/>
        <w:spacing w:line="300" w:lineRule="auto"/>
      </w:pPr>
      <w:bookmarkStart w:id="128" w:name="_Ref123199551"/>
      <w:bookmarkStart w:id="129" w:name="_Toc128137915"/>
      <w:r>
        <w:t xml:space="preserve">Table </w:t>
      </w:r>
      <w:r w:rsidR="0062538A">
        <w:fldChar w:fldCharType="begin"/>
      </w:r>
      <w:r w:rsidR="0062538A">
        <w:instrText xml:space="preserve"> SEQ Table \* ARABIC </w:instrText>
      </w:r>
      <w:r w:rsidR="0062538A">
        <w:fldChar w:fldCharType="separate"/>
      </w:r>
      <w:r w:rsidR="008B512A">
        <w:rPr>
          <w:noProof/>
        </w:rPr>
        <w:t>24</w:t>
      </w:r>
      <w:r w:rsidR="0062538A">
        <w:rPr>
          <w:noProof/>
        </w:rPr>
        <w:fldChar w:fldCharType="end"/>
      </w:r>
      <w:bookmarkEnd w:id="128"/>
      <w:r>
        <w:t>: Housing Choice Voucher Program (Section 8) Participant Housing Units by Municipality</w:t>
      </w:r>
      <w:bookmarkEnd w:id="129"/>
    </w:p>
    <w:tbl>
      <w:tblPr>
        <w:tblW w:w="5978" w:type="dxa"/>
        <w:shd w:val="clear" w:color="auto" w:fill="FFFFFF"/>
        <w:tblCellMar>
          <w:left w:w="0" w:type="dxa"/>
          <w:right w:w="0" w:type="dxa"/>
        </w:tblCellMar>
        <w:tblLook w:val="04A0" w:firstRow="1" w:lastRow="0" w:firstColumn="1" w:lastColumn="0" w:noHBand="0" w:noVBand="1"/>
      </w:tblPr>
      <w:tblGrid>
        <w:gridCol w:w="1531"/>
        <w:gridCol w:w="1789"/>
        <w:gridCol w:w="1810"/>
        <w:gridCol w:w="848"/>
      </w:tblGrid>
      <w:tr w:rsidR="00274AAD" w:rsidRPr="002B7D1E" w14:paraId="406DB80D" w14:textId="6BC202D9" w:rsidTr="00464471">
        <w:trPr>
          <w:trHeight w:val="285"/>
        </w:trPr>
        <w:tc>
          <w:tcPr>
            <w:tcW w:w="5978" w:type="dxa"/>
            <w:gridSpan w:val="4"/>
            <w:shd w:val="clear" w:color="auto" w:fill="FFFFFF"/>
            <w:tcMar>
              <w:top w:w="0" w:type="dxa"/>
              <w:left w:w="108" w:type="dxa"/>
              <w:bottom w:w="0" w:type="dxa"/>
              <w:right w:w="108" w:type="dxa"/>
            </w:tcMar>
            <w:vAlign w:val="center"/>
          </w:tcPr>
          <w:p w14:paraId="0CF42C15" w14:textId="60853610" w:rsidR="00274AAD" w:rsidRPr="002B7D1E" w:rsidRDefault="00274AAD" w:rsidP="00274AAD">
            <w:bookmarkStart w:id="130" w:name="x__Hlk115783980"/>
            <w:r w:rsidRPr="002B7D1E">
              <w:rPr>
                <w:rFonts w:ascii="Tw Cen MT" w:eastAsia="Times New Roman" w:hAnsi="Tw Cen MT" w:cs="Calibri"/>
                <w:b/>
                <w:bCs/>
                <w:color w:val="595959"/>
                <w:bdr w:val="none" w:sz="0" w:space="0" w:color="auto" w:frame="1"/>
              </w:rPr>
              <w:br/>
              <w:t>Housing Choice Voucher Program (Section 8) Participant Housing Units by Municipality</w:t>
            </w:r>
            <w:bookmarkEnd w:id="130"/>
          </w:p>
        </w:tc>
      </w:tr>
      <w:tr w:rsidR="00274AAD" w:rsidRPr="002B7D1E" w14:paraId="7F8552E9" w14:textId="77777777" w:rsidTr="00274AAD">
        <w:trPr>
          <w:gridAfter w:val="1"/>
          <w:wAfter w:w="848" w:type="dxa"/>
          <w:trHeight w:val="1350"/>
        </w:trPr>
        <w:tc>
          <w:tcPr>
            <w:tcW w:w="1531"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4C3A92F4" w14:textId="77777777" w:rsidR="00274AAD" w:rsidRPr="002B7D1E" w:rsidRDefault="00274AAD" w:rsidP="00274AAD">
            <w:pPr>
              <w:spacing w:after="0" w:line="300" w:lineRule="auto"/>
              <w:rPr>
                <w:rFonts w:ascii="Calibri" w:eastAsia="Times New Roman" w:hAnsi="Calibri" w:cs="Calibri"/>
                <w:color w:val="000000"/>
              </w:rPr>
            </w:pPr>
            <w:r w:rsidRPr="002B7D1E">
              <w:rPr>
                <w:rFonts w:ascii="Calibri" w:eastAsia="Times New Roman" w:hAnsi="Calibri" w:cs="Calibri"/>
                <w:color w:val="000000"/>
                <w:bdr w:val="none" w:sz="0" w:space="0" w:color="auto" w:frame="1"/>
              </w:rPr>
              <w:t> </w:t>
            </w:r>
          </w:p>
        </w:tc>
        <w:tc>
          <w:tcPr>
            <w:tcW w:w="1789"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7E24785F"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b/>
                <w:bCs/>
                <w:color w:val="595959"/>
                <w:bdr w:val="none" w:sz="0" w:space="0" w:color="auto" w:frame="1"/>
              </w:rPr>
              <w:t>NH Housing Finance Authority</w:t>
            </w:r>
          </w:p>
        </w:tc>
        <w:tc>
          <w:tcPr>
            <w:tcW w:w="181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582ADDA1"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b/>
                <w:bCs/>
                <w:color w:val="595959"/>
                <w:bdr w:val="none" w:sz="0" w:space="0" w:color="auto" w:frame="1"/>
              </w:rPr>
              <w:t>Manchester Housing and Redevelopment Authority</w:t>
            </w:r>
          </w:p>
        </w:tc>
      </w:tr>
      <w:tr w:rsidR="00274AAD" w:rsidRPr="002B7D1E" w14:paraId="0DF2E2D0" w14:textId="77777777" w:rsidTr="00274AAD">
        <w:trPr>
          <w:gridAfter w:val="1"/>
          <w:wAfter w:w="848" w:type="dxa"/>
          <w:trHeight w:val="293"/>
        </w:trPr>
        <w:tc>
          <w:tcPr>
            <w:tcW w:w="1531"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38CAA44A"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Auburn</w:t>
            </w:r>
          </w:p>
        </w:tc>
        <w:tc>
          <w:tcPr>
            <w:tcW w:w="1789"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510D773C"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3</w:t>
            </w:r>
          </w:p>
        </w:tc>
        <w:tc>
          <w:tcPr>
            <w:tcW w:w="181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0CA41629"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1</w:t>
            </w:r>
          </w:p>
        </w:tc>
      </w:tr>
      <w:tr w:rsidR="00274AAD" w:rsidRPr="002B7D1E" w14:paraId="67813282" w14:textId="77777777" w:rsidTr="00274AAD">
        <w:trPr>
          <w:gridAfter w:val="1"/>
          <w:wAfter w:w="848" w:type="dxa"/>
          <w:trHeight w:val="293"/>
        </w:trPr>
        <w:tc>
          <w:tcPr>
            <w:tcW w:w="1531"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39F3F6B7"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Bedford</w:t>
            </w:r>
          </w:p>
        </w:tc>
        <w:tc>
          <w:tcPr>
            <w:tcW w:w="1789"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5F4CAA50"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20</w:t>
            </w:r>
          </w:p>
        </w:tc>
        <w:tc>
          <w:tcPr>
            <w:tcW w:w="1810"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1B2EA51E"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10</w:t>
            </w:r>
          </w:p>
        </w:tc>
      </w:tr>
      <w:tr w:rsidR="00274AAD" w:rsidRPr="002B7D1E" w14:paraId="6CE7C09C" w14:textId="77777777" w:rsidTr="00274AAD">
        <w:trPr>
          <w:gridAfter w:val="1"/>
          <w:wAfter w:w="848" w:type="dxa"/>
          <w:trHeight w:val="293"/>
        </w:trPr>
        <w:tc>
          <w:tcPr>
            <w:tcW w:w="1531"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627B916C"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Candia</w:t>
            </w:r>
          </w:p>
        </w:tc>
        <w:tc>
          <w:tcPr>
            <w:tcW w:w="1789"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3986C12A"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1</w:t>
            </w:r>
          </w:p>
        </w:tc>
        <w:tc>
          <w:tcPr>
            <w:tcW w:w="181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01AD3570"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0</w:t>
            </w:r>
          </w:p>
        </w:tc>
      </w:tr>
      <w:tr w:rsidR="00274AAD" w:rsidRPr="002B7D1E" w14:paraId="4E7FBD49" w14:textId="77777777" w:rsidTr="00274AAD">
        <w:trPr>
          <w:gridAfter w:val="1"/>
          <w:wAfter w:w="848" w:type="dxa"/>
          <w:trHeight w:val="293"/>
        </w:trPr>
        <w:tc>
          <w:tcPr>
            <w:tcW w:w="1531"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11D4FFFC"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Chester</w:t>
            </w:r>
          </w:p>
        </w:tc>
        <w:tc>
          <w:tcPr>
            <w:tcW w:w="1789"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336D32E6"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0</w:t>
            </w:r>
          </w:p>
        </w:tc>
        <w:tc>
          <w:tcPr>
            <w:tcW w:w="1810"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7F467EE9"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0</w:t>
            </w:r>
          </w:p>
        </w:tc>
      </w:tr>
      <w:tr w:rsidR="00274AAD" w:rsidRPr="002B7D1E" w14:paraId="45F2F664" w14:textId="77777777" w:rsidTr="00274AAD">
        <w:trPr>
          <w:gridAfter w:val="1"/>
          <w:wAfter w:w="848" w:type="dxa"/>
          <w:trHeight w:val="293"/>
        </w:trPr>
        <w:tc>
          <w:tcPr>
            <w:tcW w:w="1531"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158D711D"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Deerfield</w:t>
            </w:r>
          </w:p>
        </w:tc>
        <w:tc>
          <w:tcPr>
            <w:tcW w:w="1789"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6E3925F9"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20</w:t>
            </w:r>
          </w:p>
        </w:tc>
        <w:tc>
          <w:tcPr>
            <w:tcW w:w="181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2172A364"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0</w:t>
            </w:r>
          </w:p>
        </w:tc>
      </w:tr>
      <w:tr w:rsidR="00274AAD" w:rsidRPr="002B7D1E" w14:paraId="69EE9BA0" w14:textId="77777777" w:rsidTr="00274AAD">
        <w:trPr>
          <w:gridAfter w:val="1"/>
          <w:wAfter w:w="848" w:type="dxa"/>
          <w:trHeight w:val="293"/>
        </w:trPr>
        <w:tc>
          <w:tcPr>
            <w:tcW w:w="1531"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14E3239C"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Derry</w:t>
            </w:r>
          </w:p>
        </w:tc>
        <w:tc>
          <w:tcPr>
            <w:tcW w:w="1789"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68D9E3DF"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225</w:t>
            </w:r>
          </w:p>
        </w:tc>
        <w:tc>
          <w:tcPr>
            <w:tcW w:w="1810"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0A07D7CD"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0</w:t>
            </w:r>
          </w:p>
        </w:tc>
      </w:tr>
      <w:tr w:rsidR="00274AAD" w:rsidRPr="002B7D1E" w14:paraId="59A48901" w14:textId="77777777" w:rsidTr="00274AAD">
        <w:trPr>
          <w:gridAfter w:val="1"/>
          <w:wAfter w:w="848" w:type="dxa"/>
          <w:trHeight w:val="293"/>
        </w:trPr>
        <w:tc>
          <w:tcPr>
            <w:tcW w:w="1531"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01D54642" w14:textId="77777777" w:rsidR="00274AAD" w:rsidRPr="002B7D1E" w:rsidRDefault="00274AAD" w:rsidP="00274AAD">
            <w:pPr>
              <w:spacing w:after="0" w:line="300" w:lineRule="auto"/>
              <w:jc w:val="center"/>
              <w:rPr>
                <w:rFonts w:ascii="Calibri" w:eastAsia="Times New Roman" w:hAnsi="Calibri" w:cs="Calibri"/>
                <w:color w:val="000000"/>
              </w:rPr>
            </w:pPr>
            <w:proofErr w:type="spellStart"/>
            <w:r w:rsidRPr="002B7D1E">
              <w:rPr>
                <w:rFonts w:ascii="Tw Cen MT" w:eastAsia="Times New Roman" w:hAnsi="Tw Cen MT" w:cs="Calibri"/>
                <w:color w:val="000000"/>
                <w:bdr w:val="none" w:sz="0" w:space="0" w:color="auto" w:frame="1"/>
              </w:rPr>
              <w:t>Francestown</w:t>
            </w:r>
            <w:proofErr w:type="spellEnd"/>
          </w:p>
        </w:tc>
        <w:tc>
          <w:tcPr>
            <w:tcW w:w="1789"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6DF5127D"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0</w:t>
            </w:r>
          </w:p>
        </w:tc>
        <w:tc>
          <w:tcPr>
            <w:tcW w:w="181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6DD32E4F"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0</w:t>
            </w:r>
          </w:p>
        </w:tc>
      </w:tr>
      <w:tr w:rsidR="00274AAD" w:rsidRPr="002B7D1E" w14:paraId="675CD960" w14:textId="77777777" w:rsidTr="00274AAD">
        <w:trPr>
          <w:gridAfter w:val="1"/>
          <w:wAfter w:w="848" w:type="dxa"/>
          <w:trHeight w:val="293"/>
        </w:trPr>
        <w:tc>
          <w:tcPr>
            <w:tcW w:w="1531"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1828D264"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Goffstown</w:t>
            </w:r>
          </w:p>
        </w:tc>
        <w:tc>
          <w:tcPr>
            <w:tcW w:w="1789"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711C16CC"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29</w:t>
            </w:r>
          </w:p>
        </w:tc>
        <w:tc>
          <w:tcPr>
            <w:tcW w:w="1810"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5DA39375"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29</w:t>
            </w:r>
          </w:p>
        </w:tc>
      </w:tr>
      <w:tr w:rsidR="00274AAD" w:rsidRPr="002B7D1E" w14:paraId="798E0060" w14:textId="77777777" w:rsidTr="00274AAD">
        <w:trPr>
          <w:gridAfter w:val="1"/>
          <w:wAfter w:w="848" w:type="dxa"/>
          <w:trHeight w:val="293"/>
        </w:trPr>
        <w:tc>
          <w:tcPr>
            <w:tcW w:w="1531"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700C2AF6"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Hooksett</w:t>
            </w:r>
          </w:p>
        </w:tc>
        <w:tc>
          <w:tcPr>
            <w:tcW w:w="1789"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1DD91F92"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31</w:t>
            </w:r>
          </w:p>
        </w:tc>
        <w:tc>
          <w:tcPr>
            <w:tcW w:w="181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2D9CF5CA"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20</w:t>
            </w:r>
          </w:p>
        </w:tc>
      </w:tr>
      <w:tr w:rsidR="00274AAD" w:rsidRPr="002B7D1E" w14:paraId="75346A4C" w14:textId="77777777" w:rsidTr="00274AAD">
        <w:trPr>
          <w:gridAfter w:val="1"/>
          <w:wAfter w:w="848" w:type="dxa"/>
          <w:trHeight w:val="293"/>
        </w:trPr>
        <w:tc>
          <w:tcPr>
            <w:tcW w:w="1531"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57B15357"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Londonderry</w:t>
            </w:r>
          </w:p>
        </w:tc>
        <w:tc>
          <w:tcPr>
            <w:tcW w:w="1789"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48D7232C"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80</w:t>
            </w:r>
          </w:p>
        </w:tc>
        <w:tc>
          <w:tcPr>
            <w:tcW w:w="1810"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006D1E6A"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8</w:t>
            </w:r>
          </w:p>
        </w:tc>
      </w:tr>
      <w:tr w:rsidR="00274AAD" w:rsidRPr="002B7D1E" w14:paraId="45A7F362" w14:textId="77777777" w:rsidTr="00274AAD">
        <w:trPr>
          <w:gridAfter w:val="1"/>
          <w:wAfter w:w="848" w:type="dxa"/>
          <w:trHeight w:val="293"/>
        </w:trPr>
        <w:tc>
          <w:tcPr>
            <w:tcW w:w="1531"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76DEE2BD"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Manchester</w:t>
            </w:r>
          </w:p>
        </w:tc>
        <w:tc>
          <w:tcPr>
            <w:tcW w:w="1789"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5FAD5F13"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636</w:t>
            </w:r>
          </w:p>
        </w:tc>
        <w:tc>
          <w:tcPr>
            <w:tcW w:w="181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192543D5"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1,919</w:t>
            </w:r>
          </w:p>
        </w:tc>
      </w:tr>
      <w:tr w:rsidR="00274AAD" w:rsidRPr="002B7D1E" w14:paraId="68836050" w14:textId="77777777" w:rsidTr="00274AAD">
        <w:trPr>
          <w:gridAfter w:val="1"/>
          <w:wAfter w:w="848" w:type="dxa"/>
          <w:trHeight w:val="293"/>
        </w:trPr>
        <w:tc>
          <w:tcPr>
            <w:tcW w:w="1531"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5730C87F"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New Boston</w:t>
            </w:r>
          </w:p>
        </w:tc>
        <w:tc>
          <w:tcPr>
            <w:tcW w:w="1789"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05889E6F"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3</w:t>
            </w:r>
          </w:p>
        </w:tc>
        <w:tc>
          <w:tcPr>
            <w:tcW w:w="1810"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6532CA2F"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0</w:t>
            </w:r>
          </w:p>
        </w:tc>
      </w:tr>
      <w:tr w:rsidR="00274AAD" w:rsidRPr="002B7D1E" w14:paraId="4E468BD3" w14:textId="77777777" w:rsidTr="00274AAD">
        <w:trPr>
          <w:gridAfter w:val="1"/>
          <w:wAfter w:w="848" w:type="dxa"/>
          <w:trHeight w:val="293"/>
        </w:trPr>
        <w:tc>
          <w:tcPr>
            <w:tcW w:w="1531"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1312C4D7" w14:textId="77777777" w:rsidR="00274AAD" w:rsidRPr="002B7D1E" w:rsidRDefault="00274AAD" w:rsidP="00274AAD">
            <w:pPr>
              <w:spacing w:after="0" w:line="300" w:lineRule="auto"/>
              <w:jc w:val="center"/>
              <w:rPr>
                <w:rFonts w:ascii="Calibri" w:eastAsia="Times New Roman" w:hAnsi="Calibri" w:cs="Calibri"/>
                <w:color w:val="000000"/>
              </w:rPr>
            </w:pPr>
            <w:proofErr w:type="spellStart"/>
            <w:r w:rsidRPr="002B7D1E">
              <w:rPr>
                <w:rFonts w:ascii="Tw Cen MT" w:eastAsia="Times New Roman" w:hAnsi="Tw Cen MT" w:cs="Calibri"/>
                <w:color w:val="000000"/>
                <w:bdr w:val="none" w:sz="0" w:space="0" w:color="auto" w:frame="1"/>
              </w:rPr>
              <w:t>Weare</w:t>
            </w:r>
            <w:proofErr w:type="spellEnd"/>
          </w:p>
        </w:tc>
        <w:tc>
          <w:tcPr>
            <w:tcW w:w="1789"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52163589"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7</w:t>
            </w:r>
          </w:p>
        </w:tc>
        <w:tc>
          <w:tcPr>
            <w:tcW w:w="1810" w:type="dxa"/>
            <w:tcBorders>
              <w:top w:val="nil"/>
              <w:left w:val="nil"/>
              <w:bottom w:val="single" w:sz="8" w:space="0" w:color="auto"/>
              <w:right w:val="nil"/>
            </w:tcBorders>
            <w:shd w:val="clear" w:color="auto" w:fill="FFFFFF"/>
            <w:tcMar>
              <w:top w:w="0" w:type="dxa"/>
              <w:left w:w="108" w:type="dxa"/>
              <w:bottom w:w="0" w:type="dxa"/>
              <w:right w:w="108" w:type="dxa"/>
            </w:tcMar>
            <w:vAlign w:val="center"/>
            <w:hideMark/>
          </w:tcPr>
          <w:p w14:paraId="3910A2E9"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0</w:t>
            </w:r>
          </w:p>
        </w:tc>
      </w:tr>
      <w:tr w:rsidR="00274AAD" w:rsidRPr="002B7D1E" w14:paraId="2CCE1B0E" w14:textId="77777777" w:rsidTr="00274AAD">
        <w:trPr>
          <w:gridAfter w:val="1"/>
          <w:wAfter w:w="848" w:type="dxa"/>
          <w:trHeight w:val="293"/>
        </w:trPr>
        <w:tc>
          <w:tcPr>
            <w:tcW w:w="1531"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036F0CED"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Windham</w:t>
            </w:r>
          </w:p>
        </w:tc>
        <w:tc>
          <w:tcPr>
            <w:tcW w:w="1789"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564F8975"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2</w:t>
            </w:r>
          </w:p>
        </w:tc>
        <w:tc>
          <w:tcPr>
            <w:tcW w:w="1810" w:type="dxa"/>
            <w:tcBorders>
              <w:top w:val="nil"/>
              <w:left w:val="nil"/>
              <w:bottom w:val="single" w:sz="8" w:space="0" w:color="auto"/>
              <w:right w:val="nil"/>
            </w:tcBorders>
            <w:shd w:val="clear" w:color="auto" w:fill="E7E6E6"/>
            <w:tcMar>
              <w:top w:w="0" w:type="dxa"/>
              <w:left w:w="108" w:type="dxa"/>
              <w:bottom w:w="0" w:type="dxa"/>
              <w:right w:w="108" w:type="dxa"/>
            </w:tcMar>
            <w:vAlign w:val="center"/>
            <w:hideMark/>
          </w:tcPr>
          <w:p w14:paraId="44593189"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0</w:t>
            </w:r>
          </w:p>
        </w:tc>
      </w:tr>
      <w:tr w:rsidR="00274AAD" w:rsidRPr="002B7D1E" w14:paraId="28ED8CC0" w14:textId="77777777" w:rsidTr="00274AAD">
        <w:trPr>
          <w:gridAfter w:val="1"/>
          <w:wAfter w:w="848" w:type="dxa"/>
          <w:trHeight w:val="293"/>
        </w:trPr>
        <w:tc>
          <w:tcPr>
            <w:tcW w:w="1531" w:type="dxa"/>
            <w:tcBorders>
              <w:top w:val="nil"/>
              <w:left w:val="nil"/>
              <w:bottom w:val="single" w:sz="12" w:space="0" w:color="404040"/>
              <w:right w:val="nil"/>
            </w:tcBorders>
            <w:shd w:val="clear" w:color="auto" w:fill="FFFFFF"/>
            <w:tcMar>
              <w:top w:w="0" w:type="dxa"/>
              <w:left w:w="108" w:type="dxa"/>
              <w:bottom w:w="0" w:type="dxa"/>
              <w:right w:w="108" w:type="dxa"/>
            </w:tcMar>
            <w:vAlign w:val="center"/>
            <w:hideMark/>
          </w:tcPr>
          <w:p w14:paraId="79F0AA18"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SNHPC</w:t>
            </w:r>
          </w:p>
        </w:tc>
        <w:tc>
          <w:tcPr>
            <w:tcW w:w="1789" w:type="dxa"/>
            <w:tcBorders>
              <w:top w:val="nil"/>
              <w:left w:val="nil"/>
              <w:bottom w:val="single" w:sz="12" w:space="0" w:color="404040"/>
              <w:right w:val="nil"/>
            </w:tcBorders>
            <w:shd w:val="clear" w:color="auto" w:fill="FFFFFF"/>
            <w:tcMar>
              <w:top w:w="0" w:type="dxa"/>
              <w:left w:w="108" w:type="dxa"/>
              <w:bottom w:w="0" w:type="dxa"/>
              <w:right w:w="108" w:type="dxa"/>
            </w:tcMar>
            <w:vAlign w:val="center"/>
            <w:hideMark/>
          </w:tcPr>
          <w:p w14:paraId="20BA5BE6"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1,057</w:t>
            </w:r>
          </w:p>
        </w:tc>
        <w:tc>
          <w:tcPr>
            <w:tcW w:w="1810" w:type="dxa"/>
            <w:tcBorders>
              <w:top w:val="nil"/>
              <w:left w:val="nil"/>
              <w:bottom w:val="single" w:sz="12" w:space="0" w:color="404040"/>
              <w:right w:val="nil"/>
            </w:tcBorders>
            <w:shd w:val="clear" w:color="auto" w:fill="FFFFFF"/>
            <w:tcMar>
              <w:top w:w="0" w:type="dxa"/>
              <w:left w:w="108" w:type="dxa"/>
              <w:bottom w:w="0" w:type="dxa"/>
              <w:right w:w="108" w:type="dxa"/>
            </w:tcMar>
            <w:vAlign w:val="center"/>
            <w:hideMark/>
          </w:tcPr>
          <w:p w14:paraId="28643FBA"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1,987</w:t>
            </w:r>
          </w:p>
        </w:tc>
      </w:tr>
      <w:tr w:rsidR="00274AAD" w:rsidRPr="002B7D1E" w14:paraId="548F6B4D" w14:textId="77777777" w:rsidTr="00274AAD">
        <w:trPr>
          <w:gridAfter w:val="1"/>
          <w:wAfter w:w="848" w:type="dxa"/>
          <w:trHeight w:val="300"/>
        </w:trPr>
        <w:tc>
          <w:tcPr>
            <w:tcW w:w="1531" w:type="dxa"/>
            <w:tcBorders>
              <w:top w:val="nil"/>
              <w:left w:val="nil"/>
              <w:bottom w:val="single" w:sz="12" w:space="0" w:color="404040"/>
              <w:right w:val="nil"/>
            </w:tcBorders>
            <w:shd w:val="clear" w:color="auto" w:fill="E7E6E6"/>
            <w:tcMar>
              <w:top w:w="0" w:type="dxa"/>
              <w:left w:w="108" w:type="dxa"/>
              <w:bottom w:w="0" w:type="dxa"/>
              <w:right w:w="108" w:type="dxa"/>
            </w:tcMar>
            <w:vAlign w:val="center"/>
            <w:hideMark/>
          </w:tcPr>
          <w:p w14:paraId="3C3D74D9"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NH</w:t>
            </w:r>
          </w:p>
        </w:tc>
        <w:tc>
          <w:tcPr>
            <w:tcW w:w="1789" w:type="dxa"/>
            <w:tcBorders>
              <w:top w:val="nil"/>
              <w:left w:val="nil"/>
              <w:bottom w:val="single" w:sz="12" w:space="0" w:color="404040"/>
              <w:right w:val="nil"/>
            </w:tcBorders>
            <w:shd w:val="clear" w:color="auto" w:fill="E7E6E6"/>
            <w:tcMar>
              <w:top w:w="0" w:type="dxa"/>
              <w:left w:w="108" w:type="dxa"/>
              <w:bottom w:w="0" w:type="dxa"/>
              <w:right w:w="108" w:type="dxa"/>
            </w:tcMar>
            <w:vAlign w:val="center"/>
            <w:hideMark/>
          </w:tcPr>
          <w:p w14:paraId="1CB86D2B"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4,083</w:t>
            </w:r>
          </w:p>
        </w:tc>
        <w:tc>
          <w:tcPr>
            <w:tcW w:w="1810" w:type="dxa"/>
            <w:tcBorders>
              <w:top w:val="nil"/>
              <w:left w:val="nil"/>
              <w:bottom w:val="single" w:sz="12" w:space="0" w:color="404040"/>
              <w:right w:val="nil"/>
            </w:tcBorders>
            <w:shd w:val="clear" w:color="auto" w:fill="E7E6E6"/>
            <w:tcMar>
              <w:top w:w="0" w:type="dxa"/>
              <w:left w:w="108" w:type="dxa"/>
              <w:bottom w:w="0" w:type="dxa"/>
              <w:right w:w="108" w:type="dxa"/>
            </w:tcMar>
            <w:vAlign w:val="center"/>
            <w:hideMark/>
          </w:tcPr>
          <w:p w14:paraId="6A40D745"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1,995</w:t>
            </w:r>
          </w:p>
        </w:tc>
      </w:tr>
      <w:tr w:rsidR="00274AAD" w:rsidRPr="002B7D1E" w14:paraId="5B1C1EB6" w14:textId="77777777" w:rsidTr="00274AAD">
        <w:trPr>
          <w:gridAfter w:val="1"/>
          <w:wAfter w:w="848" w:type="dxa"/>
          <w:trHeight w:val="293"/>
        </w:trPr>
        <w:tc>
          <w:tcPr>
            <w:tcW w:w="1531" w:type="dxa"/>
            <w:shd w:val="clear" w:color="auto" w:fill="FFFFFF"/>
            <w:tcMar>
              <w:top w:w="0" w:type="dxa"/>
              <w:left w:w="108" w:type="dxa"/>
              <w:bottom w:w="0" w:type="dxa"/>
              <w:right w:w="108" w:type="dxa"/>
            </w:tcMar>
            <w:vAlign w:val="center"/>
            <w:hideMark/>
          </w:tcPr>
          <w:p w14:paraId="1D143EC5"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Out of the State</w:t>
            </w:r>
          </w:p>
        </w:tc>
        <w:tc>
          <w:tcPr>
            <w:tcW w:w="1789" w:type="dxa"/>
            <w:shd w:val="clear" w:color="auto" w:fill="FFFFFF"/>
            <w:tcMar>
              <w:top w:w="0" w:type="dxa"/>
              <w:left w:w="108" w:type="dxa"/>
              <w:bottom w:w="0" w:type="dxa"/>
              <w:right w:w="108" w:type="dxa"/>
            </w:tcMar>
            <w:vAlign w:val="center"/>
            <w:hideMark/>
          </w:tcPr>
          <w:p w14:paraId="2CB8BE38"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8</w:t>
            </w:r>
          </w:p>
        </w:tc>
        <w:tc>
          <w:tcPr>
            <w:tcW w:w="1810" w:type="dxa"/>
            <w:shd w:val="clear" w:color="auto" w:fill="FFFFFF"/>
            <w:tcMar>
              <w:top w:w="0" w:type="dxa"/>
              <w:left w:w="108" w:type="dxa"/>
              <w:bottom w:w="0" w:type="dxa"/>
              <w:right w:w="108" w:type="dxa"/>
            </w:tcMar>
            <w:vAlign w:val="center"/>
            <w:hideMark/>
          </w:tcPr>
          <w:p w14:paraId="46663C17" w14:textId="77777777" w:rsidR="00274AAD" w:rsidRPr="002B7D1E" w:rsidRDefault="00274AAD" w:rsidP="00274AAD">
            <w:pPr>
              <w:spacing w:after="0" w:line="300" w:lineRule="auto"/>
              <w:jc w:val="center"/>
              <w:rPr>
                <w:rFonts w:ascii="Calibri" w:eastAsia="Times New Roman" w:hAnsi="Calibri" w:cs="Calibri"/>
                <w:color w:val="000000"/>
              </w:rPr>
            </w:pPr>
            <w:r w:rsidRPr="002B7D1E">
              <w:rPr>
                <w:rFonts w:ascii="Tw Cen MT" w:eastAsia="Times New Roman" w:hAnsi="Tw Cen MT" w:cs="Calibri"/>
                <w:color w:val="000000"/>
                <w:bdr w:val="none" w:sz="0" w:space="0" w:color="auto" w:frame="1"/>
              </w:rPr>
              <w:t>98</w:t>
            </w:r>
          </w:p>
        </w:tc>
      </w:tr>
      <w:tr w:rsidR="00274AAD" w:rsidRPr="002B7D1E" w14:paraId="1DFC729F" w14:textId="77777777" w:rsidTr="00274AAD">
        <w:trPr>
          <w:gridAfter w:val="1"/>
          <w:wAfter w:w="848" w:type="dxa"/>
          <w:trHeight w:val="518"/>
        </w:trPr>
        <w:tc>
          <w:tcPr>
            <w:tcW w:w="5130" w:type="dxa"/>
            <w:gridSpan w:val="3"/>
            <w:shd w:val="clear" w:color="auto" w:fill="FFFFFF"/>
            <w:tcMar>
              <w:top w:w="0" w:type="dxa"/>
              <w:left w:w="108" w:type="dxa"/>
              <w:bottom w:w="0" w:type="dxa"/>
              <w:right w:w="108" w:type="dxa"/>
            </w:tcMar>
            <w:vAlign w:val="bottom"/>
            <w:hideMark/>
          </w:tcPr>
          <w:p w14:paraId="60D31C95" w14:textId="77777777" w:rsidR="00274AAD" w:rsidRPr="002B7D1E" w:rsidRDefault="00274AAD" w:rsidP="00274AAD">
            <w:pPr>
              <w:spacing w:after="0" w:line="300" w:lineRule="auto"/>
              <w:jc w:val="right"/>
              <w:rPr>
                <w:rFonts w:ascii="Calibri" w:eastAsia="Times New Roman" w:hAnsi="Calibri" w:cs="Calibri"/>
                <w:color w:val="000000"/>
              </w:rPr>
            </w:pPr>
            <w:r w:rsidRPr="002B7D1E">
              <w:rPr>
                <w:rFonts w:ascii="Tw Cen MT" w:eastAsia="Times New Roman" w:hAnsi="Tw Cen MT" w:cs="Calibri"/>
                <w:color w:val="000000"/>
                <w:sz w:val="20"/>
                <w:szCs w:val="20"/>
                <w:bdr w:val="none" w:sz="0" w:space="0" w:color="auto" w:frame="1"/>
              </w:rPr>
              <w:t>MHRA figures current as of October 2022. NHHFA figures current as of January 2021.</w:t>
            </w:r>
          </w:p>
        </w:tc>
      </w:tr>
      <w:tr w:rsidR="00274AAD" w:rsidRPr="002B7D1E" w14:paraId="5FE95E9F" w14:textId="77777777" w:rsidTr="00274AAD">
        <w:trPr>
          <w:gridAfter w:val="1"/>
          <w:wAfter w:w="848" w:type="dxa"/>
          <w:trHeight w:val="503"/>
        </w:trPr>
        <w:tc>
          <w:tcPr>
            <w:tcW w:w="5130" w:type="dxa"/>
            <w:gridSpan w:val="3"/>
            <w:shd w:val="clear" w:color="auto" w:fill="FFFFFF"/>
            <w:tcMar>
              <w:top w:w="0" w:type="dxa"/>
              <w:left w:w="108" w:type="dxa"/>
              <w:bottom w:w="0" w:type="dxa"/>
              <w:right w:w="108" w:type="dxa"/>
            </w:tcMar>
            <w:vAlign w:val="center"/>
            <w:hideMark/>
          </w:tcPr>
          <w:p w14:paraId="78C60637" w14:textId="77777777" w:rsidR="00274AAD" w:rsidRPr="002B7D1E" w:rsidRDefault="00274AAD" w:rsidP="00274AAD">
            <w:pPr>
              <w:spacing w:after="0" w:line="300" w:lineRule="auto"/>
              <w:jc w:val="right"/>
              <w:rPr>
                <w:rFonts w:ascii="Calibri" w:eastAsia="Times New Roman" w:hAnsi="Calibri" w:cs="Calibri"/>
                <w:color w:val="000000"/>
              </w:rPr>
            </w:pPr>
            <w:r w:rsidRPr="002B7D1E">
              <w:rPr>
                <w:rFonts w:ascii="Tw Cen MT" w:eastAsia="Times New Roman" w:hAnsi="Tw Cen MT" w:cs="Calibri"/>
                <w:color w:val="000000"/>
                <w:sz w:val="20"/>
                <w:szCs w:val="20"/>
                <w:bdr w:val="none" w:sz="0" w:space="0" w:color="auto" w:frame="1"/>
              </w:rPr>
              <w:t>Sources: Manchester Housing &amp; Redevelopment Authority; NH Housing Finance Authority; US Census Bureau.</w:t>
            </w:r>
          </w:p>
        </w:tc>
      </w:tr>
    </w:tbl>
    <w:p w14:paraId="5001DAAE" w14:textId="77777777" w:rsidR="00564F80" w:rsidRPr="00C64BA4" w:rsidRDefault="00564F80" w:rsidP="00206C45">
      <w:pPr>
        <w:pStyle w:val="Body"/>
        <w:spacing w:line="300" w:lineRule="auto"/>
        <w:rPr>
          <w:lang w:val="en"/>
        </w:rPr>
      </w:pPr>
    </w:p>
    <w:p w14:paraId="581083C0" w14:textId="744FD802" w:rsidR="192F52F6" w:rsidRPr="00C64BA4" w:rsidRDefault="192F52F6" w:rsidP="00206C45">
      <w:pPr>
        <w:pStyle w:val="Body"/>
        <w:spacing w:line="300" w:lineRule="auto"/>
        <w:rPr>
          <w:lang w:val="en"/>
        </w:rPr>
      </w:pPr>
      <w:r w:rsidRPr="00C64BA4">
        <w:rPr>
          <w:lang w:val="en"/>
        </w:rPr>
        <w:lastRenderedPageBreak/>
        <w:t>It is worth noting that while there are a total of 3,050 Section 8 units in the region, there are 5,634 households on a waiting list and an additional 244 households that have been accepted but are still waiting for an available unit.  The demand for assisted housing clearly outstrips the supply in this region.</w:t>
      </w:r>
      <w:r w:rsidR="0051687E">
        <w:rPr>
          <w:lang w:val="en"/>
        </w:rPr>
        <w:t xml:space="preserve"> </w:t>
      </w:r>
    </w:p>
    <w:bookmarkEnd w:id="127"/>
    <w:p w14:paraId="0575CEAD" w14:textId="0C6237B1" w:rsidR="00A33E40" w:rsidRPr="00C64BA4" w:rsidRDefault="192F52F6" w:rsidP="00206C45">
      <w:pPr>
        <w:pStyle w:val="Heading4"/>
        <w:spacing w:line="300" w:lineRule="auto"/>
        <w:rPr>
          <w:lang w:val="en"/>
        </w:rPr>
      </w:pPr>
      <w:r w:rsidRPr="00C64BA4">
        <w:rPr>
          <w:lang w:val="en"/>
        </w:rPr>
        <w:t>Low-Income Tax Credits</w:t>
      </w:r>
    </w:p>
    <w:p w14:paraId="4E1C6A13" w14:textId="0394A384" w:rsidR="192F52F6" w:rsidRPr="00C64BA4" w:rsidRDefault="192F52F6" w:rsidP="00206C45">
      <w:pPr>
        <w:pStyle w:val="Body"/>
        <w:spacing w:line="300" w:lineRule="auto"/>
        <w:rPr>
          <w:lang w:val="en"/>
        </w:rPr>
      </w:pPr>
      <w:r w:rsidRPr="00C64BA4">
        <w:rPr>
          <w:lang w:val="en"/>
        </w:rPr>
        <w:t xml:space="preserve">The </w:t>
      </w:r>
      <w:proofErr w:type="gramStart"/>
      <w:r w:rsidRPr="00C64BA4">
        <w:rPr>
          <w:lang w:val="en"/>
        </w:rPr>
        <w:t>Low Income</w:t>
      </w:r>
      <w:proofErr w:type="gramEnd"/>
      <w:r w:rsidRPr="00C64BA4">
        <w:rPr>
          <w:lang w:val="en"/>
        </w:rPr>
        <w:t xml:space="preserve"> Housing Tax Credit Program (LIHTC) is different from the other programs described in that it serves as incentive to developers to create and/or preserve affordable rental housing.  Developers receive a </w:t>
      </w:r>
      <w:r w:rsidR="009C6FCD" w:rsidRPr="00C64BA4">
        <w:rPr>
          <w:lang w:val="en"/>
        </w:rPr>
        <w:t>dollar-for-dollar</w:t>
      </w:r>
      <w:r w:rsidRPr="00C64BA4">
        <w:rPr>
          <w:lang w:val="en"/>
        </w:rPr>
        <w:t xml:space="preserve"> reduction in their federal tax liability in exchange for developing affordable housing units.  In New Hampshire</w:t>
      </w:r>
      <w:r w:rsidR="009C6FCD">
        <w:rPr>
          <w:lang w:val="en"/>
        </w:rPr>
        <w:t xml:space="preserve"> it</w:t>
      </w:r>
      <w:r w:rsidRPr="00C64BA4">
        <w:rPr>
          <w:lang w:val="en"/>
        </w:rPr>
        <w:t xml:space="preserve"> is administered by the NH Housing Finance Authority statewide, and regionally by the Manchester Housing and Redevelopment Authority.  </w:t>
      </w:r>
    </w:p>
    <w:p w14:paraId="259EE08C" w14:textId="31D22689" w:rsidR="00A33E40" w:rsidRPr="00C64BA4" w:rsidRDefault="192F52F6" w:rsidP="00206C45">
      <w:pPr>
        <w:pStyle w:val="Heading4"/>
        <w:spacing w:line="300" w:lineRule="auto"/>
        <w:rPr>
          <w:lang w:val="en"/>
        </w:rPr>
      </w:pPr>
      <w:r w:rsidRPr="00C64BA4">
        <w:rPr>
          <w:lang w:val="en"/>
        </w:rPr>
        <w:t>Housing for Communities of Interest</w:t>
      </w:r>
    </w:p>
    <w:p w14:paraId="5B1914B4" w14:textId="6BC15ED8" w:rsidR="00A33E40" w:rsidRPr="00C64BA4" w:rsidRDefault="71EC8149" w:rsidP="00206C45">
      <w:pPr>
        <w:pStyle w:val="Body"/>
        <w:spacing w:line="300" w:lineRule="auto"/>
        <w:rPr>
          <w:lang w:val="en"/>
        </w:rPr>
      </w:pPr>
      <w:r w:rsidRPr="00C64BA4">
        <w:rPr>
          <w:lang w:val="en"/>
        </w:rPr>
        <w:t>As noted above, certain populations have been identified as being a “community of interest or concern”, based on various factor</w:t>
      </w:r>
      <w:r w:rsidR="0090B13A" w:rsidRPr="00C64BA4">
        <w:rPr>
          <w:lang w:val="en"/>
        </w:rPr>
        <w:t>s</w:t>
      </w:r>
      <w:r w:rsidRPr="00C64BA4">
        <w:rPr>
          <w:lang w:val="en"/>
        </w:rPr>
        <w:t xml:space="preserve"> that </w:t>
      </w:r>
      <w:r w:rsidR="17FF712F" w:rsidRPr="00C64BA4">
        <w:rPr>
          <w:lang w:val="en"/>
        </w:rPr>
        <w:t xml:space="preserve">put them at a disadvantage in securing safe and affordable housing. </w:t>
      </w:r>
      <w:r w:rsidR="00F94E7A">
        <w:rPr>
          <w:lang w:val="en"/>
        </w:rPr>
        <w:fldChar w:fldCharType="begin"/>
      </w:r>
      <w:r w:rsidR="00F94E7A">
        <w:rPr>
          <w:lang w:val="en"/>
        </w:rPr>
        <w:instrText xml:space="preserve"> REF _Ref123199775 \h </w:instrText>
      </w:r>
      <w:r w:rsidR="00F94E7A">
        <w:rPr>
          <w:lang w:val="en"/>
        </w:rPr>
      </w:r>
      <w:r w:rsidR="00F94E7A">
        <w:rPr>
          <w:lang w:val="en"/>
        </w:rPr>
        <w:fldChar w:fldCharType="separate"/>
      </w:r>
      <w:r w:rsidR="00206C45">
        <w:t xml:space="preserve">Table </w:t>
      </w:r>
      <w:r w:rsidR="00206C45">
        <w:rPr>
          <w:noProof/>
        </w:rPr>
        <w:t>25</w:t>
      </w:r>
      <w:r w:rsidR="00F94E7A">
        <w:rPr>
          <w:lang w:val="en"/>
        </w:rPr>
        <w:fldChar w:fldCharType="end"/>
      </w:r>
      <w:r w:rsidR="17FF712F" w:rsidRPr="00C64BA4">
        <w:rPr>
          <w:lang w:val="en"/>
        </w:rPr>
        <w:t xml:space="preserve"> presents data on the number of housing units in </w:t>
      </w:r>
      <w:r w:rsidR="0E0513DA" w:rsidRPr="00C64BA4">
        <w:rPr>
          <w:lang w:val="en"/>
        </w:rPr>
        <w:t xml:space="preserve">the Southern NH planning region that are designated specifically for those people that fall within one of the designated communities.  </w:t>
      </w:r>
      <w:r w:rsidR="5AD1B8EB" w:rsidRPr="00C64BA4">
        <w:rPr>
          <w:lang w:val="en"/>
        </w:rPr>
        <w:t>The region has a total of 5,080 units for six different communities of interest/concern.</w:t>
      </w:r>
    </w:p>
    <w:p w14:paraId="31071BD5" w14:textId="447FDA7F" w:rsidR="00F94E7A" w:rsidRDefault="00F94E7A" w:rsidP="00274AAD">
      <w:pPr>
        <w:pStyle w:val="Caption"/>
        <w:keepNext/>
        <w:keepLines/>
        <w:spacing w:line="300" w:lineRule="auto"/>
      </w:pPr>
      <w:bookmarkStart w:id="131" w:name="_Ref123199775"/>
      <w:bookmarkStart w:id="132" w:name="_Toc128137916"/>
      <w:r>
        <w:t xml:space="preserve">Table </w:t>
      </w:r>
      <w:r w:rsidR="0062538A">
        <w:fldChar w:fldCharType="begin"/>
      </w:r>
      <w:r w:rsidR="0062538A">
        <w:instrText xml:space="preserve"> SEQ Table \*</w:instrText>
      </w:r>
      <w:r w:rsidR="0062538A">
        <w:instrText xml:space="preserve"> ARABIC </w:instrText>
      </w:r>
      <w:r w:rsidR="0062538A">
        <w:fldChar w:fldCharType="separate"/>
      </w:r>
      <w:r w:rsidR="008B512A">
        <w:rPr>
          <w:noProof/>
        </w:rPr>
        <w:t>25</w:t>
      </w:r>
      <w:r w:rsidR="0062538A">
        <w:rPr>
          <w:noProof/>
        </w:rPr>
        <w:fldChar w:fldCharType="end"/>
      </w:r>
      <w:bookmarkEnd w:id="131"/>
      <w:r>
        <w:t>: NH Housing Finance Authority's Documented Assisted Housing Units 2022</w:t>
      </w:r>
      <w:bookmarkEnd w:id="132"/>
    </w:p>
    <w:tbl>
      <w:tblPr>
        <w:tblW w:w="8926" w:type="dxa"/>
        <w:shd w:val="clear" w:color="auto" w:fill="FFFFFF"/>
        <w:tblCellMar>
          <w:left w:w="0" w:type="dxa"/>
          <w:right w:w="0" w:type="dxa"/>
        </w:tblCellMar>
        <w:tblLook w:val="04A0" w:firstRow="1" w:lastRow="0" w:firstColumn="1" w:lastColumn="0" w:noHBand="0" w:noVBand="1"/>
      </w:tblPr>
      <w:tblGrid>
        <w:gridCol w:w="1380"/>
        <w:gridCol w:w="1300"/>
        <w:gridCol w:w="960"/>
        <w:gridCol w:w="960"/>
        <w:gridCol w:w="960"/>
        <w:gridCol w:w="986"/>
        <w:gridCol w:w="1180"/>
        <w:gridCol w:w="1200"/>
      </w:tblGrid>
      <w:tr w:rsidR="00F94E7A" w:rsidRPr="00F94E7A" w14:paraId="0FE2E9AE" w14:textId="77777777" w:rsidTr="00274AAD">
        <w:trPr>
          <w:gridAfter w:val="1"/>
          <w:wAfter w:w="1200" w:type="dxa"/>
          <w:cantSplit/>
          <w:trHeight w:val="300"/>
        </w:trPr>
        <w:tc>
          <w:tcPr>
            <w:tcW w:w="7726" w:type="dxa"/>
            <w:gridSpan w:val="7"/>
            <w:shd w:val="clear" w:color="auto" w:fill="FFFFFF"/>
            <w:tcMar>
              <w:top w:w="0" w:type="dxa"/>
              <w:left w:w="108" w:type="dxa"/>
              <w:bottom w:w="0" w:type="dxa"/>
              <w:right w:w="108" w:type="dxa"/>
            </w:tcMar>
            <w:vAlign w:val="bottom"/>
            <w:hideMark/>
          </w:tcPr>
          <w:p w14:paraId="2E97C810"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b/>
                <w:bCs/>
                <w:color w:val="595959"/>
                <w:bdr w:val="none" w:sz="0" w:space="0" w:color="auto" w:frame="1"/>
              </w:rPr>
              <w:t>NH Housing Finance Authority's Documented Assisted Housing Units</w:t>
            </w:r>
          </w:p>
        </w:tc>
      </w:tr>
      <w:tr w:rsidR="00F94E7A" w:rsidRPr="00F94E7A" w14:paraId="0647AF57" w14:textId="77777777" w:rsidTr="00274AAD">
        <w:trPr>
          <w:cantSplit/>
          <w:trHeight w:val="387"/>
        </w:trPr>
        <w:tc>
          <w:tcPr>
            <w:tcW w:w="1380" w:type="dxa"/>
            <w:shd w:val="clear" w:color="auto" w:fill="FFFFFF"/>
            <w:tcMar>
              <w:top w:w="0" w:type="dxa"/>
              <w:left w:w="108" w:type="dxa"/>
              <w:bottom w:w="0" w:type="dxa"/>
              <w:right w:w="108" w:type="dxa"/>
            </w:tcMar>
            <w:vAlign w:val="bottom"/>
            <w:hideMark/>
          </w:tcPr>
          <w:p w14:paraId="0F2B5FDA" w14:textId="77777777" w:rsidR="00F94E7A" w:rsidRPr="00F94E7A" w:rsidRDefault="00F94E7A" w:rsidP="00274AAD">
            <w:pPr>
              <w:keepNext/>
              <w:keepLines/>
              <w:spacing w:after="0" w:line="300" w:lineRule="auto"/>
              <w:rPr>
                <w:rFonts w:ascii="Calibri" w:eastAsia="Times New Roman" w:hAnsi="Calibri" w:cs="Calibri"/>
                <w:color w:val="000000"/>
              </w:rPr>
            </w:pPr>
            <w:r w:rsidRPr="00F94E7A">
              <w:rPr>
                <w:rFonts w:ascii="Tw Cen MT" w:eastAsia="Times New Roman" w:hAnsi="Tw Cen MT" w:cs="Calibri"/>
                <w:color w:val="000000"/>
                <w:bdr w:val="none" w:sz="0" w:space="0" w:color="auto" w:frame="1"/>
              </w:rPr>
              <w:t> </w:t>
            </w:r>
          </w:p>
        </w:tc>
        <w:tc>
          <w:tcPr>
            <w:tcW w:w="7546" w:type="dxa"/>
            <w:gridSpan w:val="7"/>
            <w:shd w:val="clear" w:color="auto" w:fill="FFFFFF"/>
            <w:tcMar>
              <w:top w:w="0" w:type="dxa"/>
              <w:left w:w="108" w:type="dxa"/>
              <w:bottom w:w="0" w:type="dxa"/>
              <w:right w:w="108" w:type="dxa"/>
            </w:tcMar>
            <w:vAlign w:val="bottom"/>
            <w:hideMark/>
          </w:tcPr>
          <w:p w14:paraId="0E08E50C"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b/>
                <w:bCs/>
                <w:color w:val="595959"/>
                <w:bdr w:val="none" w:sz="0" w:space="0" w:color="auto" w:frame="1"/>
              </w:rPr>
              <w:t>2022</w:t>
            </w:r>
          </w:p>
        </w:tc>
      </w:tr>
      <w:tr w:rsidR="00F94E7A" w:rsidRPr="00F94E7A" w14:paraId="69459B07" w14:textId="77777777" w:rsidTr="00274AAD">
        <w:trPr>
          <w:cantSplit/>
          <w:trHeight w:val="585"/>
        </w:trPr>
        <w:tc>
          <w:tcPr>
            <w:tcW w:w="13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071E5601" w14:textId="77777777" w:rsidR="00F94E7A" w:rsidRPr="00F94E7A" w:rsidRDefault="00F94E7A" w:rsidP="00274AAD">
            <w:pPr>
              <w:keepNext/>
              <w:keepLines/>
              <w:spacing w:after="0" w:line="300" w:lineRule="auto"/>
              <w:rPr>
                <w:rFonts w:ascii="Calibri" w:eastAsia="Times New Roman" w:hAnsi="Calibri" w:cs="Calibri"/>
                <w:color w:val="000000"/>
              </w:rPr>
            </w:pPr>
            <w:r w:rsidRPr="00F94E7A">
              <w:rPr>
                <w:rFonts w:ascii="Tw Cen MT" w:eastAsia="Times New Roman" w:hAnsi="Tw Cen MT" w:cs="Calibri"/>
                <w:color w:val="000000"/>
                <w:bdr w:val="none" w:sz="0" w:space="0" w:color="auto" w:frame="1"/>
              </w:rPr>
              <w:t> </w:t>
            </w:r>
          </w:p>
        </w:tc>
        <w:tc>
          <w:tcPr>
            <w:tcW w:w="1300" w:type="dxa"/>
            <w:tcBorders>
              <w:top w:val="nil"/>
              <w:left w:val="single" w:sz="8" w:space="0" w:color="auto"/>
              <w:bottom w:val="single" w:sz="8" w:space="0" w:color="auto"/>
              <w:right w:val="nil"/>
            </w:tcBorders>
            <w:shd w:val="clear" w:color="auto" w:fill="FFFFFF"/>
            <w:tcMar>
              <w:top w:w="0" w:type="dxa"/>
              <w:left w:w="108" w:type="dxa"/>
              <w:bottom w:w="0" w:type="dxa"/>
              <w:right w:w="108" w:type="dxa"/>
            </w:tcMar>
            <w:vAlign w:val="bottom"/>
            <w:hideMark/>
          </w:tcPr>
          <w:p w14:paraId="31D61D16"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b/>
                <w:bCs/>
                <w:color w:val="595959"/>
                <w:bdr w:val="none" w:sz="0" w:space="0" w:color="auto" w:frame="1"/>
              </w:rPr>
              <w:t>Total Assisted Housing Units</w:t>
            </w:r>
          </w:p>
        </w:tc>
        <w:tc>
          <w:tcPr>
            <w:tcW w:w="960" w:type="dxa"/>
            <w:tcBorders>
              <w:top w:val="nil"/>
              <w:left w:val="single" w:sz="8" w:space="0" w:color="auto"/>
              <w:bottom w:val="single" w:sz="8" w:space="0" w:color="auto"/>
              <w:right w:val="nil"/>
            </w:tcBorders>
            <w:shd w:val="clear" w:color="auto" w:fill="FFFFFF"/>
            <w:tcMar>
              <w:top w:w="0" w:type="dxa"/>
              <w:left w:w="108" w:type="dxa"/>
              <w:bottom w:w="0" w:type="dxa"/>
              <w:right w:w="108" w:type="dxa"/>
            </w:tcMar>
            <w:vAlign w:val="bottom"/>
            <w:hideMark/>
          </w:tcPr>
          <w:p w14:paraId="7E269BB9"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b/>
                <w:bCs/>
                <w:color w:val="595959"/>
                <w:bdr w:val="none" w:sz="0" w:space="0" w:color="auto" w:frame="1"/>
              </w:rPr>
              <w:t>Elderly Units</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A30F408"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b/>
                <w:bCs/>
                <w:color w:val="595959"/>
                <w:bdr w:val="none" w:sz="0" w:space="0" w:color="auto" w:frame="1"/>
              </w:rPr>
              <w:t>Family Units</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330E9912"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b/>
                <w:bCs/>
                <w:color w:val="595959"/>
                <w:bdr w:val="none" w:sz="0" w:space="0" w:color="auto" w:frame="1"/>
              </w:rPr>
              <w:t>Special Needs Units</w:t>
            </w:r>
          </w:p>
        </w:tc>
        <w:tc>
          <w:tcPr>
            <w:tcW w:w="986"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521309ED"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b/>
                <w:bCs/>
                <w:color w:val="595959"/>
                <w:bdr w:val="none" w:sz="0" w:space="0" w:color="auto" w:frame="1"/>
              </w:rPr>
              <w:t>Rent Assisted Units</w:t>
            </w:r>
          </w:p>
        </w:tc>
        <w:tc>
          <w:tcPr>
            <w:tcW w:w="11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3F70A064"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b/>
                <w:bCs/>
                <w:color w:val="595959"/>
                <w:bdr w:val="none" w:sz="0" w:space="0" w:color="auto" w:frame="1"/>
              </w:rPr>
              <w:t>Accessible Units</w:t>
            </w:r>
          </w:p>
        </w:tc>
        <w:tc>
          <w:tcPr>
            <w:tcW w:w="120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5EC5E741"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b/>
                <w:bCs/>
                <w:color w:val="595959"/>
                <w:bdr w:val="none" w:sz="0" w:space="0" w:color="auto" w:frame="1"/>
              </w:rPr>
              <w:t>Income Based Rent Units</w:t>
            </w:r>
          </w:p>
        </w:tc>
      </w:tr>
      <w:tr w:rsidR="00F94E7A" w:rsidRPr="00F94E7A" w14:paraId="18B683A9" w14:textId="77777777" w:rsidTr="00274AAD">
        <w:trPr>
          <w:cantSplit/>
          <w:trHeight w:val="300"/>
        </w:trPr>
        <w:tc>
          <w:tcPr>
            <w:tcW w:w="13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E59436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Auburn</w:t>
            </w:r>
          </w:p>
        </w:tc>
        <w:tc>
          <w:tcPr>
            <w:tcW w:w="1300" w:type="dxa"/>
            <w:tcBorders>
              <w:top w:val="nil"/>
              <w:left w:val="single" w:sz="8" w:space="0" w:color="auto"/>
              <w:bottom w:val="nil"/>
              <w:right w:val="nil"/>
            </w:tcBorders>
            <w:shd w:val="clear" w:color="auto" w:fill="FFFFFF"/>
            <w:tcMar>
              <w:top w:w="0" w:type="dxa"/>
              <w:left w:w="108" w:type="dxa"/>
              <w:bottom w:w="0" w:type="dxa"/>
              <w:right w:w="108" w:type="dxa"/>
            </w:tcMar>
            <w:vAlign w:val="bottom"/>
            <w:hideMark/>
          </w:tcPr>
          <w:p w14:paraId="317B4A1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single" w:sz="8" w:space="0" w:color="auto"/>
              <w:bottom w:val="single" w:sz="8" w:space="0" w:color="auto"/>
              <w:right w:val="nil"/>
            </w:tcBorders>
            <w:shd w:val="clear" w:color="auto" w:fill="FFFFFF"/>
            <w:tcMar>
              <w:top w:w="0" w:type="dxa"/>
              <w:left w:w="108" w:type="dxa"/>
              <w:bottom w:w="0" w:type="dxa"/>
              <w:right w:w="108" w:type="dxa"/>
            </w:tcMar>
            <w:vAlign w:val="bottom"/>
            <w:hideMark/>
          </w:tcPr>
          <w:p w14:paraId="61D62A5F"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70246C6E"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4060A3B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56753862"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1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6A00FB70"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20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42BAF0D9"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r>
      <w:tr w:rsidR="00F94E7A" w:rsidRPr="00F94E7A" w14:paraId="73CA1B7D" w14:textId="77777777" w:rsidTr="00274AAD">
        <w:trPr>
          <w:cantSplit/>
          <w:trHeight w:val="300"/>
        </w:trPr>
        <w:tc>
          <w:tcPr>
            <w:tcW w:w="13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2CE5A12B"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Bedford</w:t>
            </w:r>
          </w:p>
        </w:tc>
        <w:tc>
          <w:tcPr>
            <w:tcW w:w="1300" w:type="dxa"/>
            <w:tcBorders>
              <w:top w:val="single" w:sz="8" w:space="0" w:color="auto"/>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0064BFFF"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90</w:t>
            </w:r>
          </w:p>
        </w:tc>
        <w:tc>
          <w:tcPr>
            <w:tcW w:w="960" w:type="dxa"/>
            <w:tcBorders>
              <w:top w:val="nil"/>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3426572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50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3DEA51E1"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40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6153FD60"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6E2C4781"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90</w:t>
            </w:r>
          </w:p>
        </w:tc>
        <w:tc>
          <w:tcPr>
            <w:tcW w:w="11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33C014D4"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5</w:t>
            </w:r>
          </w:p>
        </w:tc>
        <w:tc>
          <w:tcPr>
            <w:tcW w:w="120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6AEBD152"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50</w:t>
            </w:r>
          </w:p>
        </w:tc>
      </w:tr>
      <w:tr w:rsidR="00F94E7A" w:rsidRPr="00F94E7A" w14:paraId="65AE0EF5" w14:textId="77777777" w:rsidTr="00274AAD">
        <w:trPr>
          <w:cantSplit/>
          <w:trHeight w:val="300"/>
        </w:trPr>
        <w:tc>
          <w:tcPr>
            <w:tcW w:w="13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B8D8F69"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Candia</w:t>
            </w:r>
          </w:p>
        </w:tc>
        <w:tc>
          <w:tcPr>
            <w:tcW w:w="1300" w:type="dxa"/>
            <w:tcBorders>
              <w:top w:val="nil"/>
              <w:left w:val="single" w:sz="8" w:space="0" w:color="auto"/>
              <w:bottom w:val="nil"/>
              <w:right w:val="nil"/>
            </w:tcBorders>
            <w:shd w:val="clear" w:color="auto" w:fill="FFFFFF"/>
            <w:tcMar>
              <w:top w:w="0" w:type="dxa"/>
              <w:left w:w="108" w:type="dxa"/>
              <w:bottom w:w="0" w:type="dxa"/>
              <w:right w:w="108" w:type="dxa"/>
            </w:tcMar>
            <w:vAlign w:val="bottom"/>
            <w:hideMark/>
          </w:tcPr>
          <w:p w14:paraId="70C37281"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single" w:sz="8" w:space="0" w:color="auto"/>
              <w:bottom w:val="single" w:sz="8" w:space="0" w:color="auto"/>
              <w:right w:val="nil"/>
            </w:tcBorders>
            <w:shd w:val="clear" w:color="auto" w:fill="FFFFFF"/>
            <w:tcMar>
              <w:top w:w="0" w:type="dxa"/>
              <w:left w:w="108" w:type="dxa"/>
              <w:bottom w:w="0" w:type="dxa"/>
              <w:right w:w="108" w:type="dxa"/>
            </w:tcMar>
            <w:vAlign w:val="bottom"/>
            <w:hideMark/>
          </w:tcPr>
          <w:p w14:paraId="150CA40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0FD0FB0"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74F8B6F"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31A4F984"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1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1050EC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20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5A14A941"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r>
      <w:tr w:rsidR="00F94E7A" w:rsidRPr="00F94E7A" w14:paraId="4C47717B" w14:textId="77777777" w:rsidTr="00274AAD">
        <w:trPr>
          <w:cantSplit/>
          <w:trHeight w:val="300"/>
        </w:trPr>
        <w:tc>
          <w:tcPr>
            <w:tcW w:w="13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6180BFDE"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Chester</w:t>
            </w:r>
          </w:p>
        </w:tc>
        <w:tc>
          <w:tcPr>
            <w:tcW w:w="1300" w:type="dxa"/>
            <w:tcBorders>
              <w:top w:val="single" w:sz="8" w:space="0" w:color="auto"/>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234D92F3"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720B2BF2"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31A1E18B"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2A566A70"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503E157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1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78CA5AB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20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0606C1DA"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r>
      <w:tr w:rsidR="00F94E7A" w:rsidRPr="00F94E7A" w14:paraId="2A27F729" w14:textId="77777777" w:rsidTr="00274AAD">
        <w:trPr>
          <w:cantSplit/>
          <w:trHeight w:val="300"/>
        </w:trPr>
        <w:tc>
          <w:tcPr>
            <w:tcW w:w="13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6BD958BE"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Deerfield</w:t>
            </w:r>
          </w:p>
        </w:tc>
        <w:tc>
          <w:tcPr>
            <w:tcW w:w="1300" w:type="dxa"/>
            <w:tcBorders>
              <w:top w:val="nil"/>
              <w:left w:val="single" w:sz="8" w:space="0" w:color="auto"/>
              <w:bottom w:val="nil"/>
              <w:right w:val="nil"/>
            </w:tcBorders>
            <w:shd w:val="clear" w:color="auto" w:fill="FFFFFF"/>
            <w:tcMar>
              <w:top w:w="0" w:type="dxa"/>
              <w:left w:w="108" w:type="dxa"/>
              <w:bottom w:w="0" w:type="dxa"/>
              <w:right w:w="108" w:type="dxa"/>
            </w:tcMar>
            <w:vAlign w:val="bottom"/>
            <w:hideMark/>
          </w:tcPr>
          <w:p w14:paraId="0C2E61CB"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20</w:t>
            </w:r>
          </w:p>
        </w:tc>
        <w:tc>
          <w:tcPr>
            <w:tcW w:w="960" w:type="dxa"/>
            <w:tcBorders>
              <w:top w:val="nil"/>
              <w:left w:val="single" w:sz="8" w:space="0" w:color="auto"/>
              <w:bottom w:val="single" w:sz="8" w:space="0" w:color="auto"/>
              <w:right w:val="nil"/>
            </w:tcBorders>
            <w:shd w:val="clear" w:color="auto" w:fill="FFFFFF"/>
            <w:tcMar>
              <w:top w:w="0" w:type="dxa"/>
              <w:left w:w="108" w:type="dxa"/>
              <w:bottom w:w="0" w:type="dxa"/>
              <w:right w:w="108" w:type="dxa"/>
            </w:tcMar>
            <w:vAlign w:val="bottom"/>
            <w:hideMark/>
          </w:tcPr>
          <w:p w14:paraId="6A6A6A7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0F82EFCF"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D36A1DB"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3EC173E"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20</w:t>
            </w:r>
          </w:p>
        </w:tc>
        <w:tc>
          <w:tcPr>
            <w:tcW w:w="11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33446058"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20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6130D9FF"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r>
      <w:tr w:rsidR="00F94E7A" w:rsidRPr="00F94E7A" w14:paraId="24385172" w14:textId="77777777" w:rsidTr="00274AAD">
        <w:trPr>
          <w:cantSplit/>
          <w:trHeight w:val="300"/>
        </w:trPr>
        <w:tc>
          <w:tcPr>
            <w:tcW w:w="13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5A41AC78"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Derry</w:t>
            </w:r>
          </w:p>
        </w:tc>
        <w:tc>
          <w:tcPr>
            <w:tcW w:w="1300" w:type="dxa"/>
            <w:tcBorders>
              <w:top w:val="single" w:sz="8" w:space="0" w:color="auto"/>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248269DD"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1,160</w:t>
            </w:r>
          </w:p>
        </w:tc>
        <w:tc>
          <w:tcPr>
            <w:tcW w:w="960" w:type="dxa"/>
            <w:tcBorders>
              <w:top w:val="nil"/>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3A23F6D6"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180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10C14863"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980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6202ACDE"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1BAEB59D"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440</w:t>
            </w:r>
          </w:p>
        </w:tc>
        <w:tc>
          <w:tcPr>
            <w:tcW w:w="11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187A104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80</w:t>
            </w:r>
          </w:p>
        </w:tc>
        <w:tc>
          <w:tcPr>
            <w:tcW w:w="120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1DCEDE71"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180</w:t>
            </w:r>
          </w:p>
        </w:tc>
      </w:tr>
      <w:tr w:rsidR="00F94E7A" w:rsidRPr="00F94E7A" w14:paraId="05E2F352" w14:textId="77777777" w:rsidTr="00274AAD">
        <w:trPr>
          <w:cantSplit/>
          <w:trHeight w:val="300"/>
        </w:trPr>
        <w:tc>
          <w:tcPr>
            <w:tcW w:w="13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1F994554" w14:textId="77777777" w:rsidR="00F94E7A" w:rsidRPr="00F94E7A" w:rsidRDefault="00F94E7A" w:rsidP="00274AAD">
            <w:pPr>
              <w:keepNext/>
              <w:keepLines/>
              <w:spacing w:after="0" w:line="300" w:lineRule="auto"/>
              <w:jc w:val="center"/>
              <w:rPr>
                <w:rFonts w:ascii="Calibri" w:eastAsia="Times New Roman" w:hAnsi="Calibri" w:cs="Calibri"/>
                <w:color w:val="000000"/>
              </w:rPr>
            </w:pPr>
            <w:proofErr w:type="spellStart"/>
            <w:r w:rsidRPr="00F94E7A">
              <w:rPr>
                <w:rFonts w:ascii="Tw Cen MT" w:eastAsia="Times New Roman" w:hAnsi="Tw Cen MT" w:cs="Calibri"/>
                <w:color w:val="000000"/>
                <w:bdr w:val="none" w:sz="0" w:space="0" w:color="auto" w:frame="1"/>
              </w:rPr>
              <w:t>Francestown</w:t>
            </w:r>
            <w:proofErr w:type="spellEnd"/>
          </w:p>
        </w:tc>
        <w:tc>
          <w:tcPr>
            <w:tcW w:w="1300" w:type="dxa"/>
            <w:tcBorders>
              <w:top w:val="nil"/>
              <w:left w:val="single" w:sz="8" w:space="0" w:color="auto"/>
              <w:bottom w:val="nil"/>
              <w:right w:val="nil"/>
            </w:tcBorders>
            <w:shd w:val="clear" w:color="auto" w:fill="FFFFFF"/>
            <w:tcMar>
              <w:top w:w="0" w:type="dxa"/>
              <w:left w:w="108" w:type="dxa"/>
              <w:bottom w:w="0" w:type="dxa"/>
              <w:right w:w="108" w:type="dxa"/>
            </w:tcMar>
            <w:vAlign w:val="bottom"/>
            <w:hideMark/>
          </w:tcPr>
          <w:p w14:paraId="560562DC"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single" w:sz="8" w:space="0" w:color="auto"/>
              <w:bottom w:val="single" w:sz="8" w:space="0" w:color="auto"/>
              <w:right w:val="nil"/>
            </w:tcBorders>
            <w:shd w:val="clear" w:color="auto" w:fill="FFFFFF"/>
            <w:tcMar>
              <w:top w:w="0" w:type="dxa"/>
              <w:left w:w="108" w:type="dxa"/>
              <w:bottom w:w="0" w:type="dxa"/>
              <w:right w:w="108" w:type="dxa"/>
            </w:tcMar>
            <w:vAlign w:val="bottom"/>
            <w:hideMark/>
          </w:tcPr>
          <w:p w14:paraId="27AE665E"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6899F2D2"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750557D9"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69081FCF"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1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77B92B54"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20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15C01B4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r>
      <w:tr w:rsidR="00F94E7A" w:rsidRPr="00F94E7A" w14:paraId="5DB5993E" w14:textId="77777777" w:rsidTr="00274AAD">
        <w:trPr>
          <w:cantSplit/>
          <w:trHeight w:val="300"/>
        </w:trPr>
        <w:tc>
          <w:tcPr>
            <w:tcW w:w="13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6E9D4EAD"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Goffstown</w:t>
            </w:r>
          </w:p>
        </w:tc>
        <w:tc>
          <w:tcPr>
            <w:tcW w:w="1300" w:type="dxa"/>
            <w:tcBorders>
              <w:top w:val="single" w:sz="8" w:space="0" w:color="auto"/>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23E0446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200</w:t>
            </w:r>
          </w:p>
        </w:tc>
        <w:tc>
          <w:tcPr>
            <w:tcW w:w="960" w:type="dxa"/>
            <w:tcBorders>
              <w:top w:val="nil"/>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6DACD924"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130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1B131CFC"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70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474BC06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4020BC28"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160</w:t>
            </w:r>
          </w:p>
        </w:tc>
        <w:tc>
          <w:tcPr>
            <w:tcW w:w="11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42DF1FBA"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20</w:t>
            </w:r>
          </w:p>
        </w:tc>
        <w:tc>
          <w:tcPr>
            <w:tcW w:w="120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04D0EA3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90</w:t>
            </w:r>
          </w:p>
        </w:tc>
      </w:tr>
      <w:tr w:rsidR="00F94E7A" w:rsidRPr="00F94E7A" w14:paraId="50BAC290" w14:textId="77777777" w:rsidTr="00274AAD">
        <w:trPr>
          <w:cantSplit/>
          <w:trHeight w:val="300"/>
        </w:trPr>
        <w:tc>
          <w:tcPr>
            <w:tcW w:w="13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1AC4BCE3"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Hooksett</w:t>
            </w:r>
          </w:p>
        </w:tc>
        <w:tc>
          <w:tcPr>
            <w:tcW w:w="1300" w:type="dxa"/>
            <w:tcBorders>
              <w:top w:val="nil"/>
              <w:left w:val="single" w:sz="8" w:space="0" w:color="auto"/>
              <w:bottom w:val="nil"/>
              <w:right w:val="nil"/>
            </w:tcBorders>
            <w:shd w:val="clear" w:color="auto" w:fill="FFFFFF"/>
            <w:tcMar>
              <w:top w:w="0" w:type="dxa"/>
              <w:left w:w="108" w:type="dxa"/>
              <w:bottom w:w="0" w:type="dxa"/>
              <w:right w:w="108" w:type="dxa"/>
            </w:tcMar>
            <w:vAlign w:val="bottom"/>
            <w:hideMark/>
          </w:tcPr>
          <w:p w14:paraId="088F1062"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190</w:t>
            </w:r>
          </w:p>
        </w:tc>
        <w:tc>
          <w:tcPr>
            <w:tcW w:w="960" w:type="dxa"/>
            <w:tcBorders>
              <w:top w:val="nil"/>
              <w:left w:val="single" w:sz="8" w:space="0" w:color="auto"/>
              <w:bottom w:val="single" w:sz="8" w:space="0" w:color="auto"/>
              <w:right w:val="nil"/>
            </w:tcBorders>
            <w:shd w:val="clear" w:color="auto" w:fill="FFFFFF"/>
            <w:tcMar>
              <w:top w:w="0" w:type="dxa"/>
              <w:left w:w="108" w:type="dxa"/>
              <w:bottom w:w="0" w:type="dxa"/>
              <w:right w:w="108" w:type="dxa"/>
            </w:tcMar>
            <w:vAlign w:val="bottom"/>
            <w:hideMark/>
          </w:tcPr>
          <w:p w14:paraId="737430C0"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70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4B7F3BF2"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120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6B2B990A"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029B0494"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160</w:t>
            </w:r>
          </w:p>
        </w:tc>
        <w:tc>
          <w:tcPr>
            <w:tcW w:w="11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100B63A1"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10</w:t>
            </w:r>
          </w:p>
        </w:tc>
        <w:tc>
          <w:tcPr>
            <w:tcW w:w="120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1FF9E45F"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110</w:t>
            </w:r>
          </w:p>
        </w:tc>
      </w:tr>
      <w:tr w:rsidR="00F94E7A" w:rsidRPr="00F94E7A" w14:paraId="12FD122E" w14:textId="77777777" w:rsidTr="00274AAD">
        <w:trPr>
          <w:cantSplit/>
          <w:trHeight w:val="300"/>
        </w:trPr>
        <w:tc>
          <w:tcPr>
            <w:tcW w:w="13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27C6F50A"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Londonderry</w:t>
            </w:r>
          </w:p>
        </w:tc>
        <w:tc>
          <w:tcPr>
            <w:tcW w:w="1300" w:type="dxa"/>
            <w:tcBorders>
              <w:top w:val="single" w:sz="8" w:space="0" w:color="auto"/>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16B35B99"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350</w:t>
            </w:r>
          </w:p>
        </w:tc>
        <w:tc>
          <w:tcPr>
            <w:tcW w:w="960" w:type="dxa"/>
            <w:tcBorders>
              <w:top w:val="nil"/>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79CDC3B0"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100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65D91F3C"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250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55903B01"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1934790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260</w:t>
            </w:r>
          </w:p>
        </w:tc>
        <w:tc>
          <w:tcPr>
            <w:tcW w:w="11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0D137EA0"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20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3FED7061"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r>
      <w:tr w:rsidR="00F94E7A" w:rsidRPr="00F94E7A" w14:paraId="15C68134" w14:textId="77777777" w:rsidTr="00274AAD">
        <w:trPr>
          <w:cantSplit/>
          <w:trHeight w:val="300"/>
        </w:trPr>
        <w:tc>
          <w:tcPr>
            <w:tcW w:w="13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11AF397E"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Manchester</w:t>
            </w:r>
          </w:p>
        </w:tc>
        <w:tc>
          <w:tcPr>
            <w:tcW w:w="1300" w:type="dxa"/>
            <w:tcBorders>
              <w:top w:val="nil"/>
              <w:left w:val="single" w:sz="8" w:space="0" w:color="auto"/>
              <w:bottom w:val="nil"/>
              <w:right w:val="nil"/>
            </w:tcBorders>
            <w:shd w:val="clear" w:color="auto" w:fill="FFFFFF"/>
            <w:tcMar>
              <w:top w:w="0" w:type="dxa"/>
              <w:left w:w="108" w:type="dxa"/>
              <w:bottom w:w="0" w:type="dxa"/>
              <w:right w:w="108" w:type="dxa"/>
            </w:tcMar>
            <w:vAlign w:val="bottom"/>
            <w:hideMark/>
          </w:tcPr>
          <w:p w14:paraId="0A3D54E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3,050</w:t>
            </w:r>
          </w:p>
        </w:tc>
        <w:tc>
          <w:tcPr>
            <w:tcW w:w="960" w:type="dxa"/>
            <w:tcBorders>
              <w:top w:val="nil"/>
              <w:left w:val="single" w:sz="8" w:space="0" w:color="auto"/>
              <w:bottom w:val="single" w:sz="8" w:space="0" w:color="auto"/>
              <w:right w:val="nil"/>
            </w:tcBorders>
            <w:shd w:val="clear" w:color="auto" w:fill="FFFFFF"/>
            <w:tcMar>
              <w:top w:w="0" w:type="dxa"/>
              <w:left w:w="108" w:type="dxa"/>
              <w:bottom w:w="0" w:type="dxa"/>
              <w:right w:w="108" w:type="dxa"/>
            </w:tcMar>
            <w:vAlign w:val="bottom"/>
            <w:hideMark/>
          </w:tcPr>
          <w:p w14:paraId="6DEE788E"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1,520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7093D598"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1,400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72762BB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130</w:t>
            </w:r>
          </w:p>
        </w:tc>
        <w:tc>
          <w:tcPr>
            <w:tcW w:w="986"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3A78034B"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2,910</w:t>
            </w:r>
          </w:p>
        </w:tc>
        <w:tc>
          <w:tcPr>
            <w:tcW w:w="11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92318CF"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520</w:t>
            </w:r>
          </w:p>
        </w:tc>
        <w:tc>
          <w:tcPr>
            <w:tcW w:w="120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427B786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1,970</w:t>
            </w:r>
          </w:p>
        </w:tc>
      </w:tr>
      <w:tr w:rsidR="00F94E7A" w:rsidRPr="00F94E7A" w14:paraId="1FAE4895" w14:textId="77777777" w:rsidTr="00274AAD">
        <w:trPr>
          <w:cantSplit/>
          <w:trHeight w:val="300"/>
        </w:trPr>
        <w:tc>
          <w:tcPr>
            <w:tcW w:w="13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7B575871"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New Boston</w:t>
            </w:r>
          </w:p>
        </w:tc>
        <w:tc>
          <w:tcPr>
            <w:tcW w:w="1300" w:type="dxa"/>
            <w:tcBorders>
              <w:top w:val="single" w:sz="8" w:space="0" w:color="auto"/>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60E8DBDD"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single" w:sz="8" w:space="0" w:color="auto"/>
              <w:bottom w:val="single" w:sz="8" w:space="0" w:color="auto"/>
              <w:right w:val="nil"/>
            </w:tcBorders>
            <w:shd w:val="clear" w:color="auto" w:fill="E7E6E6"/>
            <w:tcMar>
              <w:top w:w="0" w:type="dxa"/>
              <w:left w:w="108" w:type="dxa"/>
              <w:bottom w:w="0" w:type="dxa"/>
              <w:right w:w="108" w:type="dxa"/>
            </w:tcMar>
            <w:vAlign w:val="bottom"/>
            <w:hideMark/>
          </w:tcPr>
          <w:p w14:paraId="60478E04"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34201C66"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4EEE52F0"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27F0B1E2"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18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57E4E5C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200" w:type="dxa"/>
            <w:tcBorders>
              <w:top w:val="nil"/>
              <w:left w:val="nil"/>
              <w:bottom w:val="single" w:sz="8" w:space="0" w:color="auto"/>
              <w:right w:val="nil"/>
            </w:tcBorders>
            <w:shd w:val="clear" w:color="auto" w:fill="E7E6E6"/>
            <w:tcMar>
              <w:top w:w="0" w:type="dxa"/>
              <w:left w:w="108" w:type="dxa"/>
              <w:bottom w:w="0" w:type="dxa"/>
              <w:right w:w="108" w:type="dxa"/>
            </w:tcMar>
            <w:vAlign w:val="bottom"/>
            <w:hideMark/>
          </w:tcPr>
          <w:p w14:paraId="034F990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r>
      <w:tr w:rsidR="00F94E7A" w:rsidRPr="00F94E7A" w14:paraId="32855BCF" w14:textId="77777777" w:rsidTr="00274AAD">
        <w:trPr>
          <w:cantSplit/>
          <w:trHeight w:val="300"/>
        </w:trPr>
        <w:tc>
          <w:tcPr>
            <w:tcW w:w="13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7C2347F5" w14:textId="77777777" w:rsidR="00F94E7A" w:rsidRPr="00F94E7A" w:rsidRDefault="00F94E7A" w:rsidP="00274AAD">
            <w:pPr>
              <w:keepNext/>
              <w:keepLines/>
              <w:spacing w:after="0" w:line="300" w:lineRule="auto"/>
              <w:jc w:val="center"/>
              <w:rPr>
                <w:rFonts w:ascii="Calibri" w:eastAsia="Times New Roman" w:hAnsi="Calibri" w:cs="Calibri"/>
                <w:color w:val="000000"/>
              </w:rPr>
            </w:pPr>
            <w:proofErr w:type="spellStart"/>
            <w:r w:rsidRPr="00F94E7A">
              <w:rPr>
                <w:rFonts w:ascii="Tw Cen MT" w:eastAsia="Times New Roman" w:hAnsi="Tw Cen MT" w:cs="Calibri"/>
                <w:color w:val="000000"/>
                <w:bdr w:val="none" w:sz="0" w:space="0" w:color="auto" w:frame="1"/>
              </w:rPr>
              <w:t>Weare</w:t>
            </w:r>
            <w:proofErr w:type="spellEnd"/>
          </w:p>
        </w:tc>
        <w:tc>
          <w:tcPr>
            <w:tcW w:w="1300" w:type="dxa"/>
            <w:tcBorders>
              <w:top w:val="nil"/>
              <w:left w:val="single" w:sz="8" w:space="0" w:color="auto"/>
              <w:bottom w:val="nil"/>
              <w:right w:val="nil"/>
            </w:tcBorders>
            <w:shd w:val="clear" w:color="auto" w:fill="FFFFFF"/>
            <w:tcMar>
              <w:top w:w="0" w:type="dxa"/>
              <w:left w:w="108" w:type="dxa"/>
              <w:bottom w:w="0" w:type="dxa"/>
              <w:right w:w="108" w:type="dxa"/>
            </w:tcMar>
            <w:vAlign w:val="bottom"/>
            <w:hideMark/>
          </w:tcPr>
          <w:p w14:paraId="708C6BF3"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single" w:sz="8" w:space="0" w:color="auto"/>
              <w:bottom w:val="single" w:sz="8" w:space="0" w:color="auto"/>
              <w:right w:val="nil"/>
            </w:tcBorders>
            <w:shd w:val="clear" w:color="auto" w:fill="FFFFFF"/>
            <w:tcMar>
              <w:top w:w="0" w:type="dxa"/>
              <w:left w:w="108" w:type="dxa"/>
              <w:bottom w:w="0" w:type="dxa"/>
              <w:right w:w="108" w:type="dxa"/>
            </w:tcMar>
            <w:vAlign w:val="bottom"/>
            <w:hideMark/>
          </w:tcPr>
          <w:p w14:paraId="5616437C"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F27CFC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55AD611"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28D31CAC"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18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45FFCBCD"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200" w:type="dxa"/>
            <w:tcBorders>
              <w:top w:val="nil"/>
              <w:left w:val="nil"/>
              <w:bottom w:val="single" w:sz="8" w:space="0" w:color="auto"/>
              <w:right w:val="nil"/>
            </w:tcBorders>
            <w:shd w:val="clear" w:color="auto" w:fill="FFFFFF"/>
            <w:tcMar>
              <w:top w:w="0" w:type="dxa"/>
              <w:left w:w="108" w:type="dxa"/>
              <w:bottom w:w="0" w:type="dxa"/>
              <w:right w:w="108" w:type="dxa"/>
            </w:tcMar>
            <w:vAlign w:val="bottom"/>
            <w:hideMark/>
          </w:tcPr>
          <w:p w14:paraId="013A3EBC"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r>
      <w:tr w:rsidR="00F94E7A" w:rsidRPr="00F94E7A" w14:paraId="2ED55BB6" w14:textId="77777777" w:rsidTr="00274AAD">
        <w:trPr>
          <w:cantSplit/>
          <w:trHeight w:val="315"/>
        </w:trPr>
        <w:tc>
          <w:tcPr>
            <w:tcW w:w="1380" w:type="dxa"/>
            <w:tcBorders>
              <w:top w:val="nil"/>
              <w:left w:val="nil"/>
              <w:bottom w:val="single" w:sz="12" w:space="0" w:color="404040"/>
              <w:right w:val="nil"/>
            </w:tcBorders>
            <w:shd w:val="clear" w:color="auto" w:fill="E7E6E6"/>
            <w:tcMar>
              <w:top w:w="0" w:type="dxa"/>
              <w:left w:w="108" w:type="dxa"/>
              <w:bottom w:w="0" w:type="dxa"/>
              <w:right w:w="108" w:type="dxa"/>
            </w:tcMar>
            <w:vAlign w:val="bottom"/>
            <w:hideMark/>
          </w:tcPr>
          <w:p w14:paraId="411FDFCE"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Windham</w:t>
            </w:r>
          </w:p>
        </w:tc>
        <w:tc>
          <w:tcPr>
            <w:tcW w:w="1300" w:type="dxa"/>
            <w:tcBorders>
              <w:top w:val="single" w:sz="8" w:space="0" w:color="auto"/>
              <w:left w:val="single" w:sz="8" w:space="0" w:color="auto"/>
              <w:bottom w:val="single" w:sz="12" w:space="0" w:color="404040"/>
              <w:right w:val="nil"/>
            </w:tcBorders>
            <w:shd w:val="clear" w:color="auto" w:fill="E7E6E6"/>
            <w:tcMar>
              <w:top w:w="0" w:type="dxa"/>
              <w:left w:w="108" w:type="dxa"/>
              <w:bottom w:w="0" w:type="dxa"/>
              <w:right w:w="108" w:type="dxa"/>
            </w:tcMar>
            <w:vAlign w:val="bottom"/>
            <w:hideMark/>
          </w:tcPr>
          <w:p w14:paraId="7ED9AB60"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20</w:t>
            </w:r>
          </w:p>
        </w:tc>
        <w:tc>
          <w:tcPr>
            <w:tcW w:w="960" w:type="dxa"/>
            <w:tcBorders>
              <w:top w:val="nil"/>
              <w:left w:val="single" w:sz="8" w:space="0" w:color="auto"/>
              <w:bottom w:val="single" w:sz="12" w:space="0" w:color="404040"/>
              <w:right w:val="nil"/>
            </w:tcBorders>
            <w:shd w:val="clear" w:color="auto" w:fill="E7E6E6"/>
            <w:tcMar>
              <w:top w:w="0" w:type="dxa"/>
              <w:left w:w="108" w:type="dxa"/>
              <w:bottom w:w="0" w:type="dxa"/>
              <w:right w:w="108" w:type="dxa"/>
            </w:tcMar>
            <w:vAlign w:val="bottom"/>
            <w:hideMark/>
          </w:tcPr>
          <w:p w14:paraId="7F90799B"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20</w:t>
            </w:r>
          </w:p>
        </w:tc>
        <w:tc>
          <w:tcPr>
            <w:tcW w:w="960" w:type="dxa"/>
            <w:tcBorders>
              <w:top w:val="nil"/>
              <w:left w:val="nil"/>
              <w:bottom w:val="single" w:sz="12" w:space="0" w:color="404040"/>
              <w:right w:val="nil"/>
            </w:tcBorders>
            <w:shd w:val="clear" w:color="auto" w:fill="E7E6E6"/>
            <w:tcMar>
              <w:top w:w="0" w:type="dxa"/>
              <w:left w:w="108" w:type="dxa"/>
              <w:bottom w:w="0" w:type="dxa"/>
              <w:right w:w="108" w:type="dxa"/>
            </w:tcMar>
            <w:vAlign w:val="bottom"/>
            <w:hideMark/>
          </w:tcPr>
          <w:p w14:paraId="649639B3"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60" w:type="dxa"/>
            <w:tcBorders>
              <w:top w:val="nil"/>
              <w:left w:val="nil"/>
              <w:bottom w:val="single" w:sz="12" w:space="0" w:color="404040"/>
              <w:right w:val="nil"/>
            </w:tcBorders>
            <w:shd w:val="clear" w:color="auto" w:fill="E7E6E6"/>
            <w:tcMar>
              <w:top w:w="0" w:type="dxa"/>
              <w:left w:w="108" w:type="dxa"/>
              <w:bottom w:w="0" w:type="dxa"/>
              <w:right w:w="108" w:type="dxa"/>
            </w:tcMar>
            <w:vAlign w:val="bottom"/>
            <w:hideMark/>
          </w:tcPr>
          <w:p w14:paraId="723074BF"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986" w:type="dxa"/>
            <w:tcBorders>
              <w:top w:val="nil"/>
              <w:left w:val="nil"/>
              <w:bottom w:val="single" w:sz="12" w:space="0" w:color="404040"/>
              <w:right w:val="nil"/>
            </w:tcBorders>
            <w:shd w:val="clear" w:color="auto" w:fill="E7E6E6"/>
            <w:tcMar>
              <w:top w:w="0" w:type="dxa"/>
              <w:left w:w="108" w:type="dxa"/>
              <w:bottom w:w="0" w:type="dxa"/>
              <w:right w:w="108" w:type="dxa"/>
            </w:tcMar>
            <w:vAlign w:val="bottom"/>
            <w:hideMark/>
          </w:tcPr>
          <w:p w14:paraId="47FBB2BB"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20</w:t>
            </w:r>
          </w:p>
        </w:tc>
        <w:tc>
          <w:tcPr>
            <w:tcW w:w="1180" w:type="dxa"/>
            <w:tcBorders>
              <w:top w:val="nil"/>
              <w:left w:val="nil"/>
              <w:bottom w:val="single" w:sz="12" w:space="0" w:color="404040"/>
              <w:right w:val="nil"/>
            </w:tcBorders>
            <w:shd w:val="clear" w:color="auto" w:fill="E7E6E6"/>
            <w:tcMar>
              <w:top w:w="0" w:type="dxa"/>
              <w:left w:w="108" w:type="dxa"/>
              <w:bottom w:w="0" w:type="dxa"/>
              <w:right w:w="108" w:type="dxa"/>
            </w:tcMar>
            <w:vAlign w:val="bottom"/>
            <w:hideMark/>
          </w:tcPr>
          <w:p w14:paraId="1E0486C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0</w:t>
            </w:r>
          </w:p>
        </w:tc>
        <w:tc>
          <w:tcPr>
            <w:tcW w:w="1200" w:type="dxa"/>
            <w:tcBorders>
              <w:top w:val="nil"/>
              <w:left w:val="nil"/>
              <w:bottom w:val="single" w:sz="12" w:space="0" w:color="404040"/>
              <w:right w:val="nil"/>
            </w:tcBorders>
            <w:shd w:val="clear" w:color="auto" w:fill="E7E6E6"/>
            <w:tcMar>
              <w:top w:w="0" w:type="dxa"/>
              <w:left w:w="108" w:type="dxa"/>
              <w:bottom w:w="0" w:type="dxa"/>
              <w:right w:w="108" w:type="dxa"/>
            </w:tcMar>
            <w:vAlign w:val="bottom"/>
            <w:hideMark/>
          </w:tcPr>
          <w:p w14:paraId="2EB347C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20</w:t>
            </w:r>
          </w:p>
        </w:tc>
      </w:tr>
      <w:tr w:rsidR="00F94E7A" w:rsidRPr="00F94E7A" w14:paraId="10CD5A48" w14:textId="77777777" w:rsidTr="00274AAD">
        <w:trPr>
          <w:cantSplit/>
          <w:trHeight w:val="315"/>
        </w:trPr>
        <w:tc>
          <w:tcPr>
            <w:tcW w:w="1380" w:type="dxa"/>
            <w:tcBorders>
              <w:top w:val="nil"/>
              <w:left w:val="nil"/>
              <w:bottom w:val="single" w:sz="12" w:space="0" w:color="404040"/>
              <w:right w:val="nil"/>
            </w:tcBorders>
            <w:shd w:val="clear" w:color="auto" w:fill="FFFFFF"/>
            <w:tcMar>
              <w:top w:w="0" w:type="dxa"/>
              <w:left w:w="108" w:type="dxa"/>
              <w:bottom w:w="0" w:type="dxa"/>
              <w:right w:w="108" w:type="dxa"/>
            </w:tcMar>
            <w:vAlign w:val="bottom"/>
            <w:hideMark/>
          </w:tcPr>
          <w:p w14:paraId="4A2C145B"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SNHPC</w:t>
            </w:r>
          </w:p>
        </w:tc>
        <w:tc>
          <w:tcPr>
            <w:tcW w:w="1300" w:type="dxa"/>
            <w:tcBorders>
              <w:top w:val="nil"/>
              <w:left w:val="single" w:sz="8" w:space="0" w:color="auto"/>
              <w:bottom w:val="single" w:sz="12" w:space="0" w:color="404040"/>
              <w:right w:val="nil"/>
            </w:tcBorders>
            <w:shd w:val="clear" w:color="auto" w:fill="FFFFFF"/>
            <w:tcMar>
              <w:top w:w="0" w:type="dxa"/>
              <w:left w:w="108" w:type="dxa"/>
              <w:bottom w:w="0" w:type="dxa"/>
              <w:right w:w="108" w:type="dxa"/>
            </w:tcMar>
            <w:vAlign w:val="bottom"/>
            <w:hideMark/>
          </w:tcPr>
          <w:p w14:paraId="1815CC9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5,080</w:t>
            </w:r>
          </w:p>
        </w:tc>
        <w:tc>
          <w:tcPr>
            <w:tcW w:w="960" w:type="dxa"/>
            <w:tcBorders>
              <w:top w:val="nil"/>
              <w:left w:val="single" w:sz="8" w:space="0" w:color="auto"/>
              <w:bottom w:val="single" w:sz="12" w:space="0" w:color="404040"/>
              <w:right w:val="nil"/>
            </w:tcBorders>
            <w:shd w:val="clear" w:color="auto" w:fill="FFFFFF"/>
            <w:tcMar>
              <w:top w:w="0" w:type="dxa"/>
              <w:left w:w="108" w:type="dxa"/>
              <w:bottom w:w="0" w:type="dxa"/>
              <w:right w:w="108" w:type="dxa"/>
            </w:tcMar>
            <w:vAlign w:val="bottom"/>
            <w:hideMark/>
          </w:tcPr>
          <w:p w14:paraId="1756750E"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2,100</w:t>
            </w:r>
          </w:p>
        </w:tc>
        <w:tc>
          <w:tcPr>
            <w:tcW w:w="960" w:type="dxa"/>
            <w:tcBorders>
              <w:top w:val="nil"/>
              <w:left w:val="nil"/>
              <w:bottom w:val="single" w:sz="12" w:space="0" w:color="404040"/>
              <w:right w:val="nil"/>
            </w:tcBorders>
            <w:shd w:val="clear" w:color="auto" w:fill="FFFFFF"/>
            <w:tcMar>
              <w:top w:w="0" w:type="dxa"/>
              <w:left w:w="108" w:type="dxa"/>
              <w:bottom w:w="0" w:type="dxa"/>
              <w:right w:w="108" w:type="dxa"/>
            </w:tcMar>
            <w:vAlign w:val="bottom"/>
            <w:hideMark/>
          </w:tcPr>
          <w:p w14:paraId="6AD5566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2,860</w:t>
            </w:r>
          </w:p>
        </w:tc>
        <w:tc>
          <w:tcPr>
            <w:tcW w:w="960" w:type="dxa"/>
            <w:tcBorders>
              <w:top w:val="nil"/>
              <w:left w:val="nil"/>
              <w:bottom w:val="single" w:sz="12" w:space="0" w:color="404040"/>
              <w:right w:val="nil"/>
            </w:tcBorders>
            <w:shd w:val="clear" w:color="auto" w:fill="FFFFFF"/>
            <w:tcMar>
              <w:top w:w="0" w:type="dxa"/>
              <w:left w:w="108" w:type="dxa"/>
              <w:bottom w:w="0" w:type="dxa"/>
              <w:right w:w="108" w:type="dxa"/>
            </w:tcMar>
            <w:vAlign w:val="bottom"/>
            <w:hideMark/>
          </w:tcPr>
          <w:p w14:paraId="15608FBA"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130</w:t>
            </w:r>
          </w:p>
        </w:tc>
        <w:tc>
          <w:tcPr>
            <w:tcW w:w="986" w:type="dxa"/>
            <w:tcBorders>
              <w:top w:val="nil"/>
              <w:left w:val="nil"/>
              <w:bottom w:val="single" w:sz="12" w:space="0" w:color="404040"/>
              <w:right w:val="nil"/>
            </w:tcBorders>
            <w:shd w:val="clear" w:color="auto" w:fill="FFFFFF"/>
            <w:tcMar>
              <w:top w:w="0" w:type="dxa"/>
              <w:left w:w="108" w:type="dxa"/>
              <w:bottom w:w="0" w:type="dxa"/>
              <w:right w:w="108" w:type="dxa"/>
            </w:tcMar>
            <w:vAlign w:val="bottom"/>
            <w:hideMark/>
          </w:tcPr>
          <w:p w14:paraId="34769209"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4,060</w:t>
            </w:r>
          </w:p>
        </w:tc>
        <w:tc>
          <w:tcPr>
            <w:tcW w:w="1180" w:type="dxa"/>
            <w:tcBorders>
              <w:top w:val="nil"/>
              <w:left w:val="nil"/>
              <w:bottom w:val="single" w:sz="12" w:space="0" w:color="404040"/>
              <w:right w:val="nil"/>
            </w:tcBorders>
            <w:shd w:val="clear" w:color="auto" w:fill="FFFFFF"/>
            <w:tcMar>
              <w:top w:w="0" w:type="dxa"/>
              <w:left w:w="108" w:type="dxa"/>
              <w:bottom w:w="0" w:type="dxa"/>
              <w:right w:w="108" w:type="dxa"/>
            </w:tcMar>
            <w:vAlign w:val="bottom"/>
            <w:hideMark/>
          </w:tcPr>
          <w:p w14:paraId="43CD375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640</w:t>
            </w:r>
          </w:p>
        </w:tc>
        <w:tc>
          <w:tcPr>
            <w:tcW w:w="1200" w:type="dxa"/>
            <w:tcBorders>
              <w:top w:val="nil"/>
              <w:left w:val="nil"/>
              <w:bottom w:val="single" w:sz="12" w:space="0" w:color="404040"/>
              <w:right w:val="nil"/>
            </w:tcBorders>
            <w:shd w:val="clear" w:color="auto" w:fill="FFFFFF"/>
            <w:tcMar>
              <w:top w:w="0" w:type="dxa"/>
              <w:left w:w="108" w:type="dxa"/>
              <w:bottom w:w="0" w:type="dxa"/>
              <w:right w:w="108" w:type="dxa"/>
            </w:tcMar>
            <w:vAlign w:val="bottom"/>
            <w:hideMark/>
          </w:tcPr>
          <w:p w14:paraId="32D0D6CE"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2,420</w:t>
            </w:r>
          </w:p>
        </w:tc>
      </w:tr>
      <w:tr w:rsidR="00F94E7A" w:rsidRPr="00F94E7A" w14:paraId="6AAF46F7" w14:textId="77777777" w:rsidTr="00274AAD">
        <w:trPr>
          <w:cantSplit/>
          <w:trHeight w:val="300"/>
        </w:trPr>
        <w:tc>
          <w:tcPr>
            <w:tcW w:w="1380" w:type="dxa"/>
            <w:tcBorders>
              <w:top w:val="nil"/>
              <w:left w:val="nil"/>
              <w:bottom w:val="nil"/>
              <w:right w:val="nil"/>
            </w:tcBorders>
            <w:shd w:val="clear" w:color="auto" w:fill="E7E6E6"/>
            <w:tcMar>
              <w:top w:w="0" w:type="dxa"/>
              <w:left w:w="108" w:type="dxa"/>
              <w:bottom w:w="0" w:type="dxa"/>
              <w:right w:w="108" w:type="dxa"/>
            </w:tcMar>
            <w:vAlign w:val="bottom"/>
            <w:hideMark/>
          </w:tcPr>
          <w:p w14:paraId="310D2D89"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NH</w:t>
            </w:r>
          </w:p>
        </w:tc>
        <w:tc>
          <w:tcPr>
            <w:tcW w:w="1300" w:type="dxa"/>
            <w:tcBorders>
              <w:top w:val="nil"/>
              <w:left w:val="single" w:sz="8" w:space="0" w:color="auto"/>
              <w:bottom w:val="nil"/>
              <w:right w:val="nil"/>
            </w:tcBorders>
            <w:shd w:val="clear" w:color="auto" w:fill="E7E6E6"/>
            <w:tcMar>
              <w:top w:w="0" w:type="dxa"/>
              <w:left w:w="108" w:type="dxa"/>
              <w:bottom w:w="0" w:type="dxa"/>
              <w:right w:w="108" w:type="dxa"/>
            </w:tcMar>
            <w:vAlign w:val="bottom"/>
            <w:hideMark/>
          </w:tcPr>
          <w:p w14:paraId="6198AF25"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22,750</w:t>
            </w:r>
          </w:p>
        </w:tc>
        <w:tc>
          <w:tcPr>
            <w:tcW w:w="960" w:type="dxa"/>
            <w:tcBorders>
              <w:top w:val="nil"/>
              <w:left w:val="single" w:sz="8" w:space="0" w:color="auto"/>
              <w:bottom w:val="nil"/>
              <w:right w:val="nil"/>
            </w:tcBorders>
            <w:shd w:val="clear" w:color="auto" w:fill="E7E6E6"/>
            <w:tcMar>
              <w:top w:w="0" w:type="dxa"/>
              <w:left w:w="108" w:type="dxa"/>
              <w:bottom w:w="0" w:type="dxa"/>
              <w:right w:w="108" w:type="dxa"/>
            </w:tcMar>
            <w:vAlign w:val="bottom"/>
            <w:hideMark/>
          </w:tcPr>
          <w:p w14:paraId="3983F822"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11,490</w:t>
            </w:r>
          </w:p>
        </w:tc>
        <w:tc>
          <w:tcPr>
            <w:tcW w:w="960" w:type="dxa"/>
            <w:tcBorders>
              <w:top w:val="nil"/>
              <w:left w:val="nil"/>
              <w:bottom w:val="nil"/>
              <w:right w:val="nil"/>
            </w:tcBorders>
            <w:shd w:val="clear" w:color="auto" w:fill="E7E6E6"/>
            <w:tcMar>
              <w:top w:w="0" w:type="dxa"/>
              <w:left w:w="108" w:type="dxa"/>
              <w:bottom w:w="0" w:type="dxa"/>
              <w:right w:w="108" w:type="dxa"/>
            </w:tcMar>
            <w:vAlign w:val="bottom"/>
            <w:hideMark/>
          </w:tcPr>
          <w:p w14:paraId="16D2F417"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10,740</w:t>
            </w:r>
          </w:p>
        </w:tc>
        <w:tc>
          <w:tcPr>
            <w:tcW w:w="960" w:type="dxa"/>
            <w:tcBorders>
              <w:top w:val="nil"/>
              <w:left w:val="nil"/>
              <w:bottom w:val="nil"/>
              <w:right w:val="nil"/>
            </w:tcBorders>
            <w:shd w:val="clear" w:color="auto" w:fill="E7E6E6"/>
            <w:tcMar>
              <w:top w:w="0" w:type="dxa"/>
              <w:left w:w="108" w:type="dxa"/>
              <w:bottom w:w="0" w:type="dxa"/>
              <w:right w:w="108" w:type="dxa"/>
            </w:tcMar>
            <w:vAlign w:val="bottom"/>
            <w:hideMark/>
          </w:tcPr>
          <w:p w14:paraId="35EAD1A0"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520</w:t>
            </w:r>
          </w:p>
        </w:tc>
        <w:tc>
          <w:tcPr>
            <w:tcW w:w="986" w:type="dxa"/>
            <w:tcBorders>
              <w:top w:val="nil"/>
              <w:left w:val="nil"/>
              <w:bottom w:val="nil"/>
              <w:right w:val="nil"/>
            </w:tcBorders>
            <w:shd w:val="clear" w:color="auto" w:fill="E7E6E6"/>
            <w:tcMar>
              <w:top w:w="0" w:type="dxa"/>
              <w:left w:w="108" w:type="dxa"/>
              <w:bottom w:w="0" w:type="dxa"/>
              <w:right w:w="108" w:type="dxa"/>
            </w:tcMar>
            <w:vAlign w:val="bottom"/>
            <w:hideMark/>
          </w:tcPr>
          <w:p w14:paraId="0C78B49B"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20,350</w:t>
            </w:r>
          </w:p>
        </w:tc>
        <w:tc>
          <w:tcPr>
            <w:tcW w:w="1180" w:type="dxa"/>
            <w:tcBorders>
              <w:top w:val="nil"/>
              <w:left w:val="nil"/>
              <w:bottom w:val="nil"/>
              <w:right w:val="nil"/>
            </w:tcBorders>
            <w:shd w:val="clear" w:color="auto" w:fill="E7E6E6"/>
            <w:tcMar>
              <w:top w:w="0" w:type="dxa"/>
              <w:left w:w="108" w:type="dxa"/>
              <w:bottom w:w="0" w:type="dxa"/>
              <w:right w:w="108" w:type="dxa"/>
            </w:tcMar>
            <w:vAlign w:val="bottom"/>
            <w:hideMark/>
          </w:tcPr>
          <w:p w14:paraId="0DB54ABF"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2,840</w:t>
            </w:r>
          </w:p>
        </w:tc>
        <w:tc>
          <w:tcPr>
            <w:tcW w:w="1200" w:type="dxa"/>
            <w:tcBorders>
              <w:top w:val="nil"/>
              <w:left w:val="nil"/>
              <w:bottom w:val="nil"/>
              <w:right w:val="nil"/>
            </w:tcBorders>
            <w:shd w:val="clear" w:color="auto" w:fill="E7E6E6"/>
            <w:tcMar>
              <w:top w:w="0" w:type="dxa"/>
              <w:left w:w="108" w:type="dxa"/>
              <w:bottom w:w="0" w:type="dxa"/>
              <w:right w:w="108" w:type="dxa"/>
            </w:tcMar>
            <w:vAlign w:val="bottom"/>
            <w:hideMark/>
          </w:tcPr>
          <w:p w14:paraId="7F0129D8" w14:textId="77777777" w:rsidR="00F94E7A" w:rsidRPr="00F94E7A" w:rsidRDefault="00F94E7A" w:rsidP="00274AAD">
            <w:pPr>
              <w:keepNext/>
              <w:keepLines/>
              <w:spacing w:after="0" w:line="300" w:lineRule="auto"/>
              <w:jc w:val="center"/>
              <w:rPr>
                <w:rFonts w:ascii="Calibri" w:eastAsia="Times New Roman" w:hAnsi="Calibri" w:cs="Calibri"/>
                <w:color w:val="000000"/>
              </w:rPr>
            </w:pPr>
            <w:r w:rsidRPr="00F94E7A">
              <w:rPr>
                <w:rFonts w:ascii="Tw Cen MT" w:eastAsia="Times New Roman" w:hAnsi="Tw Cen MT" w:cs="Calibri"/>
                <w:color w:val="000000"/>
                <w:bdr w:val="none" w:sz="0" w:space="0" w:color="auto" w:frame="1"/>
              </w:rPr>
              <w:t>14,240</w:t>
            </w:r>
          </w:p>
        </w:tc>
      </w:tr>
      <w:tr w:rsidR="00F94E7A" w:rsidRPr="00F94E7A" w14:paraId="4BD7BDFB" w14:textId="77777777" w:rsidTr="00274AAD">
        <w:trPr>
          <w:cantSplit/>
          <w:trHeight w:val="300"/>
        </w:trPr>
        <w:tc>
          <w:tcPr>
            <w:tcW w:w="8926" w:type="dxa"/>
            <w:gridSpan w:val="8"/>
            <w:shd w:val="clear" w:color="auto" w:fill="FFFFFF"/>
            <w:tcMar>
              <w:top w:w="0" w:type="dxa"/>
              <w:left w:w="108" w:type="dxa"/>
              <w:bottom w:w="0" w:type="dxa"/>
              <w:right w:w="108" w:type="dxa"/>
            </w:tcMar>
            <w:vAlign w:val="center"/>
            <w:hideMark/>
          </w:tcPr>
          <w:p w14:paraId="6142698A" w14:textId="77777777" w:rsidR="00F94E7A" w:rsidRPr="00F94E7A" w:rsidRDefault="00F94E7A" w:rsidP="00274AAD">
            <w:pPr>
              <w:keepNext/>
              <w:keepLines/>
              <w:spacing w:after="0" w:line="300" w:lineRule="auto"/>
              <w:jc w:val="right"/>
              <w:rPr>
                <w:rFonts w:ascii="Calibri" w:eastAsia="Times New Roman" w:hAnsi="Calibri" w:cs="Calibri"/>
                <w:color w:val="000000"/>
              </w:rPr>
            </w:pPr>
            <w:r w:rsidRPr="00F94E7A">
              <w:rPr>
                <w:rFonts w:ascii="Tw Cen MT" w:eastAsia="Times New Roman" w:hAnsi="Tw Cen MT" w:cs="Calibri"/>
                <w:color w:val="000000"/>
                <w:sz w:val="20"/>
                <w:szCs w:val="20"/>
                <w:bdr w:val="none" w:sz="0" w:space="0" w:color="auto" w:frame="1"/>
              </w:rPr>
              <w:t>Source: NH Housing Finance Authority</w:t>
            </w:r>
          </w:p>
        </w:tc>
      </w:tr>
    </w:tbl>
    <w:p w14:paraId="219C8F32" w14:textId="3673EA8B" w:rsidR="192F52F6" w:rsidRPr="00C64BA4" w:rsidRDefault="192F52F6" w:rsidP="00206C45">
      <w:pPr>
        <w:pStyle w:val="Body"/>
        <w:spacing w:line="300" w:lineRule="auto"/>
        <w:rPr>
          <w:lang w:val="en"/>
        </w:rPr>
      </w:pPr>
    </w:p>
    <w:p w14:paraId="6C3C1FEB" w14:textId="5B9F9277" w:rsidR="00A33E40" w:rsidRPr="00C64BA4" w:rsidRDefault="376D50E2" w:rsidP="00206C45">
      <w:pPr>
        <w:pStyle w:val="Heading4"/>
        <w:spacing w:line="300" w:lineRule="auto"/>
        <w:rPr>
          <w:lang w:val="en"/>
        </w:rPr>
      </w:pPr>
      <w:r w:rsidRPr="00C64BA4">
        <w:rPr>
          <w:lang w:val="en"/>
        </w:rPr>
        <w:lastRenderedPageBreak/>
        <w:t>Case Studies of Workforce Developments</w:t>
      </w:r>
    </w:p>
    <w:p w14:paraId="2B9122F6" w14:textId="0A4C7CD2" w:rsidR="00803D2A" w:rsidRPr="00C64BA4" w:rsidRDefault="192F52F6" w:rsidP="00206C45">
      <w:pPr>
        <w:pStyle w:val="Body"/>
        <w:spacing w:line="300" w:lineRule="auto"/>
        <w:rPr>
          <w:rFonts w:eastAsia="Tw Cen MT" w:cs="Tw Cen MT"/>
          <w:lang w:val="en"/>
        </w:rPr>
      </w:pPr>
      <w:r w:rsidRPr="00C64BA4">
        <w:rPr>
          <w:lang w:val="en"/>
        </w:rPr>
        <w:t xml:space="preserve">In 2010 the NH Legislature enacted the </w:t>
      </w:r>
      <w:r w:rsidRPr="005C7937">
        <w:rPr>
          <w:lang w:val="en"/>
        </w:rPr>
        <w:t>Workforce Housing Law (RSA 674:58-61)</w:t>
      </w:r>
      <w:r w:rsidR="005C7937">
        <w:rPr>
          <w:rStyle w:val="FootnoteReference"/>
          <w:lang w:val="en"/>
        </w:rPr>
        <w:footnoteReference w:id="20"/>
      </w:r>
      <w:r w:rsidRPr="00C64BA4">
        <w:rPr>
          <w:lang w:val="en"/>
        </w:rPr>
        <w:t>, codifying and clarifying NH court cases regarding the obligation of municipalities to provide housing opportunities.  The law requires municipalities to provide reasonable opportunities for housing alternatives affordable to the local workforce.</w:t>
      </w:r>
    </w:p>
    <w:p w14:paraId="00E1140B" w14:textId="269A0E0E" w:rsidR="00803D2A" w:rsidRPr="00C64BA4" w:rsidRDefault="192F52F6" w:rsidP="00206C45">
      <w:pPr>
        <w:pStyle w:val="Body"/>
        <w:spacing w:line="300" w:lineRule="auto"/>
      </w:pPr>
      <w:r w:rsidRPr="00C64BA4">
        <w:rPr>
          <w:lang w:val="en"/>
        </w:rPr>
        <w:t xml:space="preserve">In 2021 the NH Housing Finance Authority commissioned </w:t>
      </w:r>
      <w:r w:rsidRPr="005C7937">
        <w:rPr>
          <w:lang w:val="en"/>
        </w:rPr>
        <w:t>a study</w:t>
      </w:r>
      <w:r w:rsidR="005C7937">
        <w:rPr>
          <w:rStyle w:val="FootnoteReference"/>
          <w:lang w:val="en"/>
        </w:rPr>
        <w:footnoteReference w:id="21"/>
      </w:r>
      <w:r w:rsidRPr="00C64BA4">
        <w:rPr>
          <w:lang w:val="en"/>
        </w:rPr>
        <w:t xml:space="preserve"> to review the status of workforce housing availability in the 10 years since the passage of the law</w:t>
      </w:r>
      <w:r w:rsidR="007001F6">
        <w:rPr>
          <w:lang w:val="en"/>
        </w:rPr>
        <w:t xml:space="preserve">. </w:t>
      </w:r>
      <w:r w:rsidRPr="00C64BA4">
        <w:t>The report highlighted 10 case studies in Bedford, Chester, Conway, Dover, Hanover, Lancaster, Londonderry, North Hampton, Pelham, and Rindge. Of these 10 towns, 9 have workforce housing projects that total 147 units, comprised of both rented and owned units.</w:t>
      </w:r>
    </w:p>
    <w:p w14:paraId="4EDD41D2" w14:textId="57F58D08" w:rsidR="00803D2A" w:rsidRPr="00C64BA4" w:rsidRDefault="192F52F6" w:rsidP="00206C45">
      <w:pPr>
        <w:pStyle w:val="Body"/>
        <w:spacing w:line="300" w:lineRule="auto"/>
      </w:pPr>
      <w:r w:rsidRPr="00C64BA4">
        <w:t>In addition to the case studies, the report also assessed compliance with the law in 33 municipalities.  One of the takeaways from this report was to identify the obstacles to development faced by both developers and local governments.</w:t>
      </w:r>
    </w:p>
    <w:p w14:paraId="23282ECA" w14:textId="7E632242" w:rsidR="00803D2A" w:rsidRPr="00C64BA4" w:rsidRDefault="192F52F6" w:rsidP="00206C45">
      <w:pPr>
        <w:pStyle w:val="Heading2"/>
        <w:spacing w:line="300" w:lineRule="auto"/>
        <w:rPr>
          <w:lang w:val="en"/>
        </w:rPr>
      </w:pPr>
      <w:bookmarkStart w:id="133" w:name="_The_Housing_Market"/>
      <w:bookmarkStart w:id="134" w:name="_Toc865631311"/>
      <w:bookmarkStart w:id="135" w:name="_Toc1301732809"/>
      <w:bookmarkStart w:id="136" w:name="_Toc128137967"/>
      <w:bookmarkStart w:id="137" w:name="_Hlk123030022"/>
      <w:bookmarkEnd w:id="133"/>
      <w:r w:rsidRPr="004C1469">
        <w:rPr>
          <w:lang w:val="en"/>
        </w:rPr>
        <w:t>The Housing Market (Cost and Affordability)</w:t>
      </w:r>
      <w:bookmarkEnd w:id="134"/>
      <w:bookmarkEnd w:id="135"/>
      <w:bookmarkEnd w:id="136"/>
    </w:p>
    <w:p w14:paraId="3598B6A3" w14:textId="437864DD" w:rsidR="00DA1848" w:rsidRPr="00C64BA4" w:rsidRDefault="4E7F6F84" w:rsidP="00206C45">
      <w:pPr>
        <w:spacing w:line="300" w:lineRule="auto"/>
      </w:pPr>
      <w:r w:rsidRPr="00C64BA4">
        <w:t xml:space="preserve">If you Google </w:t>
      </w:r>
      <w:r w:rsidR="005311A2">
        <w:t>“</w:t>
      </w:r>
      <w:r w:rsidRPr="00C64BA4">
        <w:t>housing costs</w:t>
      </w:r>
      <w:r w:rsidR="005311A2">
        <w:t>”</w:t>
      </w:r>
      <w:r w:rsidRPr="00C64BA4">
        <w:t xml:space="preserve">, you will come upon </w:t>
      </w:r>
      <w:r w:rsidR="003C5FE5" w:rsidRPr="00C64BA4">
        <w:t>treasure trove of articles</w:t>
      </w:r>
      <w:r w:rsidRPr="00C64BA4">
        <w:t xml:space="preserve"> </w:t>
      </w:r>
      <w:r w:rsidR="31B5D3D6" w:rsidRPr="00C64BA4">
        <w:t>highlighting soaring</w:t>
      </w:r>
      <w:r w:rsidRPr="00C64BA4">
        <w:t xml:space="preserve"> interest rates</w:t>
      </w:r>
      <w:r w:rsidR="18FF283E" w:rsidRPr="00C64BA4">
        <w:t xml:space="preserve"> and the effects on mortgages</w:t>
      </w:r>
      <w:r w:rsidRPr="00C64BA4">
        <w:t>,</w:t>
      </w:r>
      <w:r w:rsidR="43FBE49B" w:rsidRPr="00C64BA4">
        <w:t xml:space="preserve"> wages not</w:t>
      </w:r>
      <w:r w:rsidR="3D3FDB0A" w:rsidRPr="00C64BA4">
        <w:t xml:space="preserve"> </w:t>
      </w:r>
      <w:r w:rsidR="0957394A" w:rsidRPr="00C64BA4">
        <w:t xml:space="preserve">keeping up with those interest rates, </w:t>
      </w:r>
      <w:r w:rsidR="003C5FE5" w:rsidRPr="00C64BA4">
        <w:t xml:space="preserve">land costs and the price of </w:t>
      </w:r>
      <w:r w:rsidR="0957394A" w:rsidRPr="00C64BA4">
        <w:t xml:space="preserve">zoning </w:t>
      </w:r>
      <w:r w:rsidR="00577060" w:rsidRPr="00C64BA4">
        <w:t>re</w:t>
      </w:r>
      <w:r w:rsidR="0957394A" w:rsidRPr="00C64BA4">
        <w:t>strictions</w:t>
      </w:r>
      <w:r w:rsidR="003C5FE5" w:rsidRPr="00C64BA4">
        <w:t xml:space="preserve">, even </w:t>
      </w:r>
      <w:r w:rsidR="5B7359A8" w:rsidRPr="00C64BA4">
        <w:t>the lack of developer confidence to get housing approv</w:t>
      </w:r>
      <w:r w:rsidR="738F55EC" w:rsidRPr="00C64BA4">
        <w:t>als</w:t>
      </w:r>
      <w:r w:rsidR="003D5BFB">
        <w:t xml:space="preserve"> is discussed in detail</w:t>
      </w:r>
      <w:r w:rsidR="003C5FE5" w:rsidRPr="00C64BA4">
        <w:t>.  This has created a vortex of housing supply deficiencies and soaring costs</w:t>
      </w:r>
      <w:r w:rsidR="2F7E0581" w:rsidRPr="00C64BA4">
        <w:t>.  The stories paint a rather bleak picture</w:t>
      </w:r>
      <w:r w:rsidR="5264C6C1" w:rsidRPr="00C64BA4">
        <w:t xml:space="preserve"> of current </w:t>
      </w:r>
      <w:r w:rsidR="19A245D2" w:rsidRPr="00C64BA4">
        <w:t>conditions,</w:t>
      </w:r>
      <w:r w:rsidR="5264C6C1" w:rsidRPr="00C64BA4">
        <w:t xml:space="preserve"> and the following sections offer some additional insight into these various issues. </w:t>
      </w:r>
    </w:p>
    <w:p w14:paraId="5B6D9338" w14:textId="77777777" w:rsidR="000D2AD5" w:rsidRPr="00C64BA4" w:rsidRDefault="000D2AD5" w:rsidP="00206C45">
      <w:pPr>
        <w:pStyle w:val="Heading3"/>
        <w:spacing w:line="300" w:lineRule="auto"/>
        <w:rPr>
          <w:lang w:val="en"/>
        </w:rPr>
      </w:pPr>
      <w:bookmarkStart w:id="138" w:name="_Toc128137968"/>
      <w:r w:rsidRPr="00C64BA4">
        <w:rPr>
          <w:lang w:val="en"/>
        </w:rPr>
        <w:t>Housing Prices and Rents</w:t>
      </w:r>
      <w:bookmarkEnd w:id="138"/>
    </w:p>
    <w:p w14:paraId="15B5C3AE" w14:textId="135565B5" w:rsidR="000D2AD5" w:rsidRPr="00C64BA4" w:rsidRDefault="00574AA5" w:rsidP="00206C45">
      <w:pPr>
        <w:spacing w:line="300" w:lineRule="auto"/>
        <w:rPr>
          <w:rFonts w:eastAsia="Tw Cen MT" w:cs="Tw Cen MT"/>
          <w:lang w:val="en"/>
        </w:rPr>
      </w:pPr>
      <w:r w:rsidRPr="0056095F">
        <w:rPr>
          <w:rStyle w:val="Heading4Char"/>
        </w:rPr>
        <w:t>What We Heard:</w:t>
      </w:r>
      <w:r w:rsidRPr="00C64BA4">
        <w:rPr>
          <w:rFonts w:eastAsia="Tw Cen MT" w:cs="Tw Cen MT"/>
          <w:lang w:val="en"/>
        </w:rPr>
        <w:t xml:space="preserve">  </w:t>
      </w:r>
      <w:r w:rsidR="000D2AD5" w:rsidRPr="00C64BA4">
        <w:rPr>
          <w:rFonts w:eastAsia="Tw Cen MT" w:cs="Tw Cen MT"/>
          <w:lang w:val="en"/>
        </w:rPr>
        <w:t xml:space="preserve">According to the </w:t>
      </w:r>
      <w:proofErr w:type="gramStart"/>
      <w:r w:rsidR="000D2AD5" w:rsidRPr="00C64BA4">
        <w:rPr>
          <w:rFonts w:eastAsia="Tw Cen MT" w:cs="Tw Cen MT"/>
          <w:lang w:val="en"/>
        </w:rPr>
        <w:t>general public</w:t>
      </w:r>
      <w:proofErr w:type="gramEnd"/>
      <w:r w:rsidR="000D2AD5" w:rsidRPr="00C64BA4">
        <w:rPr>
          <w:rFonts w:eastAsia="Tw Cen MT" w:cs="Tw Cen MT"/>
          <w:lang w:val="en"/>
        </w:rPr>
        <w:t xml:space="preserve"> survey, approximately 45% of respondents overall housing costs are less than 30% of their household's income. Approximately 36% reported their overall housing costs account for between 30-50% of their household's total income and 12% reported spending greater than 50% of their household's total income. This means that nearly half of all respondents (48%) </w:t>
      </w:r>
      <w:r w:rsidRPr="00C64BA4">
        <w:rPr>
          <w:rFonts w:eastAsia="Tw Cen MT" w:cs="Tw Cen MT"/>
          <w:lang w:val="en"/>
        </w:rPr>
        <w:t xml:space="preserve">feel that they </w:t>
      </w:r>
      <w:r w:rsidR="000D2AD5" w:rsidRPr="00C64BA4">
        <w:rPr>
          <w:rFonts w:eastAsia="Tw Cen MT" w:cs="Tw Cen MT"/>
          <w:lang w:val="en"/>
        </w:rPr>
        <w:t xml:space="preserve">are housing burdened, meaning they are spending more than 30% of their household income on overall housing costs. For respondents in Manchester this number increases slightly to 50%, in medium size towns (Bedford, Derry, Goffstown, Hooksett, Londonderry, Windham) it is 48% and in small towns (Auburn, Candia, Chester, Deerfield, </w:t>
      </w:r>
      <w:proofErr w:type="spellStart"/>
      <w:r w:rsidR="000D2AD5" w:rsidRPr="00C64BA4">
        <w:rPr>
          <w:rFonts w:eastAsia="Tw Cen MT" w:cs="Tw Cen MT"/>
          <w:lang w:val="en"/>
        </w:rPr>
        <w:t>Francestown</w:t>
      </w:r>
      <w:proofErr w:type="spellEnd"/>
      <w:r w:rsidR="000D2AD5" w:rsidRPr="00C64BA4">
        <w:rPr>
          <w:rFonts w:eastAsia="Tw Cen MT" w:cs="Tw Cen MT"/>
          <w:lang w:val="en"/>
        </w:rPr>
        <w:t xml:space="preserve">, New Boston, </w:t>
      </w:r>
      <w:proofErr w:type="spellStart"/>
      <w:r w:rsidR="000D2AD5" w:rsidRPr="00C64BA4">
        <w:rPr>
          <w:rFonts w:eastAsia="Tw Cen MT" w:cs="Tw Cen MT"/>
          <w:lang w:val="en"/>
        </w:rPr>
        <w:t>Weare</w:t>
      </w:r>
      <w:proofErr w:type="spellEnd"/>
      <w:r w:rsidR="000D2AD5" w:rsidRPr="00C64BA4">
        <w:rPr>
          <w:rFonts w:eastAsia="Tw Cen MT" w:cs="Tw Cen MT"/>
          <w:lang w:val="en"/>
        </w:rPr>
        <w:t>) it is slightly lower at 44%. For young adults (under 18-34) living in the SNHPC region, 46% reported spending 30% or more of their household income on housing.</w:t>
      </w:r>
    </w:p>
    <w:p w14:paraId="515199DE" w14:textId="0A88D854" w:rsidR="00574AA5" w:rsidRPr="0056095F" w:rsidRDefault="00574AA5" w:rsidP="00206C45">
      <w:pPr>
        <w:spacing w:line="300" w:lineRule="auto"/>
        <w:rPr>
          <w:rFonts w:eastAsia="Tw Cen MT" w:cs="Tw Cen MT"/>
          <w:lang w:val="en"/>
        </w:rPr>
      </w:pPr>
      <w:r w:rsidRPr="0056095F">
        <w:rPr>
          <w:rStyle w:val="Heading4Char"/>
        </w:rPr>
        <w:t>What Do The Numbers Say:</w:t>
      </w:r>
      <w:r w:rsidRPr="00C64BA4">
        <w:t xml:space="preserve">  </w:t>
      </w:r>
      <w:r w:rsidR="000D2AD5" w:rsidRPr="00C64BA4">
        <w:t>Since 2000, there has been a decline in the rate of building permits issued in the SNHPC Region. Meanwhile, the average rate of property listings has declined by over 80</w:t>
      </w:r>
      <w:r w:rsidR="009C6FCD">
        <w:t>%</w:t>
      </w:r>
      <w:r w:rsidR="000D2AD5" w:rsidRPr="00C64BA4">
        <w:t xml:space="preserve"> since 2010 resulting in a market where demand is high, and supply is low. As less homes are being built in </w:t>
      </w:r>
      <w:r w:rsidR="000D2AD5" w:rsidRPr="00C64BA4">
        <w:lastRenderedPageBreak/>
        <w:t>the region, the price of homes continues to increase. Since 2010, the median home purchase price has almost doubled, from $200,000 in 2010 to almost $400,000 in 2021. Similarly, the median rent has increased almost 50 percent since 2010 in the SNHPC region. Additionally, median incomes in the SNHPC have only increased by around 20% since 2010, failing to keep up with increasing housing costs. These factors have resulted in a shortage of potential households affordable to those making less than 30% of the Region’s Area Median Income (AMI).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A1848" w:rsidRPr="00C64BA4" w14:paraId="3DEE5F35" w14:textId="77777777" w:rsidTr="00D65D0C">
        <w:tc>
          <w:tcPr>
            <w:tcW w:w="4788" w:type="dxa"/>
          </w:tcPr>
          <w:p w14:paraId="670782F9" w14:textId="77777777" w:rsidR="008C03CE" w:rsidRDefault="00DA1848" w:rsidP="00206C45">
            <w:pPr>
              <w:keepNext/>
              <w:spacing w:line="300" w:lineRule="auto"/>
            </w:pPr>
            <w:r w:rsidRPr="00C64BA4">
              <w:rPr>
                <w:noProof/>
              </w:rPr>
              <w:drawing>
                <wp:inline distT="0" distB="0" distL="0" distR="0" wp14:anchorId="7CC7495E" wp14:editId="5E78CDF5">
                  <wp:extent cx="2926080" cy="3474720"/>
                  <wp:effectExtent l="0" t="0" r="7620" b="0"/>
                  <wp:docPr id="28" name="Chart 28">
                    <a:extLst xmlns:a="http://schemas.openxmlformats.org/drawingml/2006/main">
                      <a:ext uri="{FF2B5EF4-FFF2-40B4-BE49-F238E27FC236}">
                        <a16:creationId xmlns:a16="http://schemas.microsoft.com/office/drawing/2014/main" id="{B6C53C1F-039F-47C5-A9C7-DE6BCA01C5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27A153A" w14:textId="1BBB8ACD" w:rsidR="00DA1848" w:rsidRPr="00C64BA4" w:rsidRDefault="008C03CE" w:rsidP="00206C45">
            <w:pPr>
              <w:pStyle w:val="Caption"/>
              <w:spacing w:line="300" w:lineRule="auto"/>
              <w:rPr>
                <w:rFonts w:eastAsia="Tw Cen MT" w:cs="Tw Cen MT"/>
              </w:rPr>
            </w:pPr>
            <w:bookmarkStart w:id="139" w:name="_Toc128137869"/>
            <w:r>
              <w:t xml:space="preserve">Figure </w:t>
            </w:r>
            <w:r w:rsidR="0062538A">
              <w:fldChar w:fldCharType="begin"/>
            </w:r>
            <w:r w:rsidR="0062538A">
              <w:instrText xml:space="preserve"> SEQ Figure \* ARABIC </w:instrText>
            </w:r>
            <w:r w:rsidR="0062538A">
              <w:fldChar w:fldCharType="separate"/>
            </w:r>
            <w:r w:rsidR="00E75682">
              <w:rPr>
                <w:noProof/>
              </w:rPr>
              <w:t>10</w:t>
            </w:r>
            <w:r w:rsidR="0062538A">
              <w:rPr>
                <w:noProof/>
              </w:rPr>
              <w:fldChar w:fldCharType="end"/>
            </w:r>
            <w:r>
              <w:t>: SNHPC Active Property Listings (12- Month Moving Average)</w:t>
            </w:r>
            <w:bookmarkEnd w:id="139"/>
          </w:p>
        </w:tc>
        <w:tc>
          <w:tcPr>
            <w:tcW w:w="4788" w:type="dxa"/>
          </w:tcPr>
          <w:p w14:paraId="7FEDE25F" w14:textId="77777777" w:rsidR="008C03CE" w:rsidRDefault="00DA1848" w:rsidP="00206C45">
            <w:pPr>
              <w:keepNext/>
              <w:spacing w:line="300" w:lineRule="auto"/>
            </w:pPr>
            <w:r w:rsidRPr="00C64BA4">
              <w:rPr>
                <w:noProof/>
              </w:rPr>
              <w:drawing>
                <wp:inline distT="0" distB="0" distL="0" distR="0" wp14:anchorId="0B8C86AF" wp14:editId="72C6D1FB">
                  <wp:extent cx="2926080" cy="3474720"/>
                  <wp:effectExtent l="0" t="0" r="7620" b="0"/>
                  <wp:docPr id="30" name="Chart 30">
                    <a:extLst xmlns:a="http://schemas.openxmlformats.org/drawingml/2006/main">
                      <a:ext uri="{FF2B5EF4-FFF2-40B4-BE49-F238E27FC236}">
                        <a16:creationId xmlns:a16="http://schemas.microsoft.com/office/drawing/2014/main" id="{E3DE5941-0C25-4542-9DC2-359BADC133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5839CAB" w14:textId="7C2F1892" w:rsidR="00DA1848" w:rsidRPr="008C03CE" w:rsidRDefault="008C03CE" w:rsidP="00206C45">
            <w:pPr>
              <w:pStyle w:val="Caption"/>
              <w:spacing w:line="300" w:lineRule="auto"/>
            </w:pPr>
            <w:bookmarkStart w:id="140" w:name="_Toc128137870"/>
            <w:r>
              <w:t xml:space="preserve">Figure </w:t>
            </w:r>
            <w:r w:rsidR="0062538A">
              <w:fldChar w:fldCharType="begin"/>
            </w:r>
            <w:r w:rsidR="0062538A">
              <w:instrText xml:space="preserve"> SEQ Figure \* ARABIC </w:instrText>
            </w:r>
            <w:r w:rsidR="0062538A">
              <w:fldChar w:fldCharType="separate"/>
            </w:r>
            <w:r w:rsidR="00E75682">
              <w:rPr>
                <w:noProof/>
              </w:rPr>
              <w:t>11</w:t>
            </w:r>
            <w:r w:rsidR="0062538A">
              <w:rPr>
                <w:noProof/>
              </w:rPr>
              <w:fldChar w:fldCharType="end"/>
            </w:r>
            <w:r>
              <w:t>: SNHPC Nominal Median Purchase Price (12- Month Moving Average)</w:t>
            </w:r>
            <w:bookmarkEnd w:id="140"/>
          </w:p>
          <w:p w14:paraId="151E13E8" w14:textId="77777777" w:rsidR="00DA1848" w:rsidRPr="00C64BA4" w:rsidRDefault="00DA1848" w:rsidP="00206C45">
            <w:pPr>
              <w:spacing w:line="300" w:lineRule="auto"/>
              <w:rPr>
                <w:rFonts w:eastAsia="Tw Cen MT" w:cs="Tw Cen MT"/>
              </w:rPr>
            </w:pPr>
            <w:r w:rsidRPr="00C64BA4">
              <w:rPr>
                <w:rFonts w:eastAsia="Tw Cen MT" w:cs="Tw Cen MT"/>
                <w:sz w:val="20"/>
                <w:szCs w:val="20"/>
              </w:rPr>
              <w:t>Source: NH Housing Finance Authority</w:t>
            </w:r>
          </w:p>
        </w:tc>
      </w:tr>
    </w:tbl>
    <w:p w14:paraId="2C9978B4" w14:textId="4C99239C" w:rsidR="00574AA5" w:rsidRPr="00C64BA4" w:rsidRDefault="00574AA5" w:rsidP="00206C45">
      <w:pPr>
        <w:spacing w:line="300" w:lineRule="auto"/>
        <w:jc w:val="both"/>
        <w:rPr>
          <w:lang w:val="en"/>
        </w:rPr>
      </w:pPr>
    </w:p>
    <w:p w14:paraId="62A93C19" w14:textId="68980F8D" w:rsidR="00520322" w:rsidRPr="00C64BA4" w:rsidRDefault="00520322" w:rsidP="00206C45">
      <w:pPr>
        <w:pStyle w:val="Heading4"/>
        <w:spacing w:line="300" w:lineRule="auto"/>
        <w:rPr>
          <w:lang w:val="en"/>
        </w:rPr>
      </w:pPr>
      <w:r w:rsidRPr="00C64BA4">
        <w:rPr>
          <w:lang w:val="en"/>
        </w:rPr>
        <w:t>Income</w:t>
      </w:r>
    </w:p>
    <w:p w14:paraId="11736E5D" w14:textId="4E1B024A" w:rsidR="00520322" w:rsidRDefault="00520322" w:rsidP="00206C45">
      <w:pPr>
        <w:pStyle w:val="Body"/>
        <w:spacing w:line="300" w:lineRule="auto"/>
        <w:rPr>
          <w:lang w:val="en"/>
        </w:rPr>
      </w:pPr>
      <w:r w:rsidRPr="00C64BA4">
        <w:rPr>
          <w:lang w:val="en"/>
        </w:rPr>
        <w:t xml:space="preserve">Overall Median Household Incomes in 2020 ranged from $62,100 in Manchester, to $154,000 in Windham. </w:t>
      </w:r>
      <w:r w:rsidR="008C03CE">
        <w:rPr>
          <w:lang w:val="en"/>
        </w:rPr>
        <w:fldChar w:fldCharType="begin"/>
      </w:r>
      <w:r w:rsidR="008C03CE">
        <w:rPr>
          <w:lang w:val="en"/>
        </w:rPr>
        <w:instrText xml:space="preserve"> REF _Ref123200230 \h </w:instrText>
      </w:r>
      <w:r w:rsidR="008C03CE">
        <w:rPr>
          <w:lang w:val="en"/>
        </w:rPr>
      </w:r>
      <w:r w:rsidR="008C03CE">
        <w:rPr>
          <w:lang w:val="en"/>
        </w:rPr>
        <w:fldChar w:fldCharType="separate"/>
      </w:r>
      <w:r w:rsidR="00206C45">
        <w:t xml:space="preserve">Figure </w:t>
      </w:r>
      <w:r w:rsidR="00206C45">
        <w:rPr>
          <w:noProof/>
        </w:rPr>
        <w:t>13</w:t>
      </w:r>
      <w:r w:rsidR="008C03CE">
        <w:rPr>
          <w:lang w:val="en"/>
        </w:rPr>
        <w:fldChar w:fldCharType="end"/>
      </w:r>
      <w:r w:rsidRPr="00C64BA4">
        <w:rPr>
          <w:lang w:val="en"/>
        </w:rPr>
        <w:t xml:space="preserve"> illustrates median household income ranges for the SNHPC region. </w:t>
      </w:r>
      <w:r w:rsidR="00A63BA7" w:rsidRPr="00C64BA4">
        <w:rPr>
          <w:lang w:val="en"/>
        </w:rPr>
        <w:t xml:space="preserve">Median household income is increasing in NH and the SNHPC. However, the cost of goods and services has been increasing at a higher rate over </w:t>
      </w:r>
      <w:r w:rsidR="00A56913" w:rsidRPr="00C64BA4">
        <w:rPr>
          <w:lang w:val="en"/>
        </w:rPr>
        <w:t>recent</w:t>
      </w:r>
      <w:r w:rsidR="00A63BA7" w:rsidRPr="00C64BA4">
        <w:rPr>
          <w:lang w:val="en"/>
        </w:rPr>
        <w:t xml:space="preserve"> years </w:t>
      </w:r>
      <w:proofErr w:type="gramStart"/>
      <w:r w:rsidR="00A63BA7" w:rsidRPr="00C64BA4">
        <w:rPr>
          <w:lang w:val="en"/>
        </w:rPr>
        <w:t>as a result of</w:t>
      </w:r>
      <w:proofErr w:type="gramEnd"/>
      <w:r w:rsidR="00A63BA7" w:rsidRPr="00C64BA4">
        <w:rPr>
          <w:lang w:val="en"/>
        </w:rPr>
        <w:t xml:space="preserve"> inflation. </w:t>
      </w:r>
    </w:p>
    <w:p w14:paraId="244F29B9" w14:textId="6AAE43A8" w:rsidR="00010130" w:rsidRDefault="00010130" w:rsidP="00206C45">
      <w:pPr>
        <w:pStyle w:val="Body"/>
        <w:spacing w:line="300" w:lineRule="auto"/>
        <w:rPr>
          <w:lang w:val="en"/>
        </w:rPr>
      </w:pPr>
    </w:p>
    <w:p w14:paraId="31E93A29" w14:textId="3A667F97" w:rsidR="007B7AA5" w:rsidRDefault="00274AAD" w:rsidP="00206C45">
      <w:pPr>
        <w:pStyle w:val="Body"/>
        <w:keepNext/>
        <w:spacing w:line="300" w:lineRule="auto"/>
      </w:pPr>
      <w:r>
        <w:rPr>
          <w:noProof/>
        </w:rPr>
        <w:lastRenderedPageBreak/>
        <mc:AlternateContent>
          <mc:Choice Requires="wps">
            <w:drawing>
              <wp:anchor distT="0" distB="0" distL="114300" distR="114300" simplePos="0" relativeHeight="251691008" behindDoc="0" locked="0" layoutInCell="1" allowOverlap="1" wp14:anchorId="7F0AE223" wp14:editId="6B12562A">
                <wp:simplePos x="0" y="0"/>
                <wp:positionH relativeFrom="column">
                  <wp:posOffset>168494</wp:posOffset>
                </wp:positionH>
                <wp:positionV relativeFrom="paragraph">
                  <wp:posOffset>3740237</wp:posOffset>
                </wp:positionV>
                <wp:extent cx="3631565" cy="635"/>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3631565" cy="635"/>
                        </a:xfrm>
                        <a:prstGeom prst="rect">
                          <a:avLst/>
                        </a:prstGeom>
                        <a:solidFill>
                          <a:prstClr val="white"/>
                        </a:solidFill>
                        <a:ln>
                          <a:noFill/>
                        </a:ln>
                      </wps:spPr>
                      <wps:txbx>
                        <w:txbxContent>
                          <w:p w14:paraId="09142F5C" w14:textId="1C663F64" w:rsidR="00010130" w:rsidRPr="00EE55C4" w:rsidRDefault="00010130" w:rsidP="00010130">
                            <w:pPr>
                              <w:pStyle w:val="Caption"/>
                              <w:rPr>
                                <w:noProof/>
                              </w:rPr>
                            </w:pPr>
                            <w:bookmarkStart w:id="141" w:name="_Toc128137871"/>
                            <w:r>
                              <w:t xml:space="preserve">Figure </w:t>
                            </w:r>
                            <w:r w:rsidR="0062538A">
                              <w:fldChar w:fldCharType="begin"/>
                            </w:r>
                            <w:r w:rsidR="0062538A">
                              <w:instrText xml:space="preserve"> SEQ Figure \* ARABIC </w:instrText>
                            </w:r>
                            <w:r w:rsidR="0062538A">
                              <w:fldChar w:fldCharType="separate"/>
                            </w:r>
                            <w:r w:rsidR="00E75682">
                              <w:rPr>
                                <w:noProof/>
                              </w:rPr>
                              <w:t>12</w:t>
                            </w:r>
                            <w:r w:rsidR="0062538A">
                              <w:rPr>
                                <w:noProof/>
                              </w:rPr>
                              <w:fldChar w:fldCharType="end"/>
                            </w:r>
                            <w:r>
                              <w:t>: Households by Income</w:t>
                            </w:r>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0AE223" id="Text Box 36" o:spid="_x0000_s1029" type="#_x0000_t202" style="position:absolute;left:0;text-align:left;margin-left:13.25pt;margin-top:294.5pt;width:285.95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" stroked="f">
                <v:textbox style="mso-fit-shape-to-text:t" inset="0,0,0,0">
                  <w:txbxContent>
                    <w:p w14:paraId="09142F5C" w14:textId="1C663F64" w:rsidR="00010130" w:rsidRPr="00EE55C4" w:rsidRDefault="00010130" w:rsidP="00010130">
                      <w:pPr>
                        <w:pStyle w:val="Caption"/>
                        <w:rPr>
                          <w:noProof/>
                        </w:rPr>
                      </w:pPr>
                      <w:bookmarkStart w:id="142" w:name="_Toc128137871"/>
                      <w:r>
                        <w:t xml:space="preserve">Figure </w:t>
                      </w:r>
                      <w:r w:rsidR="0062538A">
                        <w:fldChar w:fldCharType="begin"/>
                      </w:r>
                      <w:r w:rsidR="0062538A">
                        <w:instrText xml:space="preserve"> SEQ Figure \* ARABIC </w:instrText>
                      </w:r>
                      <w:r w:rsidR="0062538A">
                        <w:fldChar w:fldCharType="separate"/>
                      </w:r>
                      <w:r w:rsidR="00E75682">
                        <w:rPr>
                          <w:noProof/>
                        </w:rPr>
                        <w:t>12</w:t>
                      </w:r>
                      <w:r w:rsidR="0062538A">
                        <w:rPr>
                          <w:noProof/>
                        </w:rPr>
                        <w:fldChar w:fldCharType="end"/>
                      </w:r>
                      <w:r>
                        <w:t>: Households by Income</w:t>
                      </w:r>
                      <w:bookmarkEnd w:id="142"/>
                    </w:p>
                  </w:txbxContent>
                </v:textbox>
                <w10:wrap type="square"/>
              </v:shape>
            </w:pict>
          </mc:Fallback>
        </mc:AlternateContent>
      </w:r>
      <w:r w:rsidR="007B7AA5">
        <w:rPr>
          <w:noProof/>
        </w:rPr>
        <w:drawing>
          <wp:inline distT="0" distB="0" distL="0" distR="0" wp14:anchorId="74A8391B" wp14:editId="42F66B0E">
            <wp:extent cx="4572000" cy="3657600"/>
            <wp:effectExtent l="0" t="0" r="0" b="0"/>
            <wp:docPr id="51" name="Chart 51">
              <a:extLst xmlns:a="http://schemas.openxmlformats.org/drawingml/2006/main">
                <a:ext uri="{FF2B5EF4-FFF2-40B4-BE49-F238E27FC236}">
                  <a16:creationId xmlns:a16="http://schemas.microsoft.com/office/drawing/2014/main" id="{F204BCD5-0183-4B3E-BB52-56754DA532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49CD7F0" w14:textId="6872CE45" w:rsidR="008C03CE" w:rsidRDefault="007B7AA5" w:rsidP="00206C45">
      <w:pPr>
        <w:pStyle w:val="Body"/>
        <w:keepNext/>
        <w:spacing w:line="300" w:lineRule="auto"/>
      </w:pPr>
      <w:r>
        <w:rPr>
          <w:noProof/>
        </w:rPr>
        <w:drawing>
          <wp:inline distT="0" distB="0" distL="0" distR="0" wp14:anchorId="17602A08" wp14:editId="5E2EA12A">
            <wp:extent cx="5586413" cy="3657600"/>
            <wp:effectExtent l="0" t="0" r="14605" b="0"/>
            <wp:docPr id="17" name="Chart 17">
              <a:extLst xmlns:a="http://schemas.openxmlformats.org/drawingml/2006/main">
                <a:ext uri="{FF2B5EF4-FFF2-40B4-BE49-F238E27FC236}">
                  <a16:creationId xmlns:a16="http://schemas.microsoft.com/office/drawing/2014/main" id="{063031E4-9DCA-4D41-BE34-6160F092EA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F453410" w14:textId="67755B7C" w:rsidR="002E2FFD" w:rsidRPr="00C64BA4" w:rsidRDefault="008C03CE" w:rsidP="00206C45">
      <w:pPr>
        <w:pStyle w:val="Caption"/>
        <w:spacing w:line="300" w:lineRule="auto"/>
        <w:jc w:val="both"/>
        <w:rPr>
          <w:lang w:val="en"/>
        </w:rPr>
      </w:pPr>
      <w:bookmarkStart w:id="143" w:name="_Ref123200230"/>
      <w:bookmarkStart w:id="144" w:name="_Toc128137872"/>
      <w:r>
        <w:t xml:space="preserve">Figure </w:t>
      </w:r>
      <w:r w:rsidR="0062538A">
        <w:fldChar w:fldCharType="begin"/>
      </w:r>
      <w:r w:rsidR="0062538A">
        <w:instrText xml:space="preserve"> SEQ Figure \* ARABIC </w:instrText>
      </w:r>
      <w:r w:rsidR="0062538A">
        <w:fldChar w:fldCharType="separate"/>
      </w:r>
      <w:r w:rsidR="00E75682">
        <w:rPr>
          <w:noProof/>
        </w:rPr>
        <w:t>13</w:t>
      </w:r>
      <w:r w:rsidR="0062538A">
        <w:rPr>
          <w:noProof/>
        </w:rPr>
        <w:fldChar w:fldCharType="end"/>
      </w:r>
      <w:bookmarkEnd w:id="143"/>
      <w:r>
        <w:t>: Median Household Income</w:t>
      </w:r>
      <w:bookmarkEnd w:id="144"/>
    </w:p>
    <w:p w14:paraId="71D81B40" w14:textId="451ECE16" w:rsidR="00522A9D" w:rsidRPr="00C64BA4" w:rsidRDefault="00522A9D" w:rsidP="00206C45">
      <w:pPr>
        <w:spacing w:line="300" w:lineRule="auto"/>
        <w:rPr>
          <w:highlight w:val="yellow"/>
        </w:rPr>
      </w:pPr>
      <w:r w:rsidRPr="00C64BA4">
        <w:t>Area median income</w:t>
      </w:r>
      <w:r w:rsidR="00574AA5" w:rsidRPr="00C64BA4">
        <w:t>,</w:t>
      </w:r>
      <w:r w:rsidRPr="00C64BA4">
        <w:t xml:space="preserve"> often referred to as simply AMI</w:t>
      </w:r>
      <w:r w:rsidR="00574AA5" w:rsidRPr="00C64BA4">
        <w:t>,</w:t>
      </w:r>
      <w:r w:rsidRPr="00C64BA4">
        <w:t xml:space="preserve"> is a key metric in affordable housing. Area median income is defined as the midpoint of a specific area’s income distribution and is calculated on an annual basis by the Department of Housing and Urban Development. Low Income </w:t>
      </w:r>
      <w:proofErr w:type="gramStart"/>
      <w:r w:rsidRPr="00C64BA4">
        <w:t>is considered to be</w:t>
      </w:r>
      <w:proofErr w:type="gramEnd"/>
      <w:r w:rsidRPr="00C64BA4">
        <w:t xml:space="preserve"> at or below </w:t>
      </w:r>
      <w:r w:rsidRPr="00C64BA4">
        <w:lastRenderedPageBreak/>
        <w:t xml:space="preserve">80% of the AMI; Very Low Income is considered to be at or below 50% of the AMI; and Extremely Low Income is considered to be at or below 30% of the AMI. In the SNHPC region, 42 percent of households </w:t>
      </w:r>
      <w:proofErr w:type="gramStart"/>
      <w:r w:rsidRPr="00C64BA4">
        <w:t>are considered to be</w:t>
      </w:r>
      <w:proofErr w:type="gramEnd"/>
      <w:r w:rsidRPr="00C64BA4">
        <w:t xml:space="preserve"> Low Income; 25 percent are considered to be Very Low Income; and 13 percent of households are considered to be Extremely Low Income.</w:t>
      </w:r>
      <w:r w:rsidR="0008390A">
        <w:t xml:space="preserve"> </w:t>
      </w:r>
    </w:p>
    <w:p w14:paraId="6CC9D88D" w14:textId="3BB2C5DD" w:rsidR="004737A3" w:rsidRDefault="004737A3" w:rsidP="00206C45">
      <w:pPr>
        <w:pStyle w:val="Caption"/>
        <w:keepNext/>
        <w:spacing w:line="300" w:lineRule="auto"/>
      </w:pPr>
      <w:bookmarkStart w:id="145" w:name="_Toc128137917"/>
      <w:r>
        <w:t xml:space="preserve">Table </w:t>
      </w:r>
      <w:r w:rsidR="0062538A">
        <w:fldChar w:fldCharType="begin"/>
      </w:r>
      <w:r w:rsidR="0062538A">
        <w:instrText xml:space="preserve"> SEQ Table \* ARABIC </w:instrText>
      </w:r>
      <w:r w:rsidR="0062538A">
        <w:fldChar w:fldCharType="separate"/>
      </w:r>
      <w:r w:rsidR="008B512A">
        <w:rPr>
          <w:noProof/>
        </w:rPr>
        <w:t>26</w:t>
      </w:r>
      <w:r w:rsidR="0062538A">
        <w:rPr>
          <w:noProof/>
        </w:rPr>
        <w:fldChar w:fldCharType="end"/>
      </w:r>
      <w:r>
        <w:t>: Percent Households by Area Median Income (AMI) 2020</w:t>
      </w:r>
      <w:bookmarkEnd w:id="145"/>
    </w:p>
    <w:tbl>
      <w:tblPr>
        <w:tblW w:w="5304" w:type="pct"/>
        <w:tblLayout w:type="fixed"/>
        <w:tblLook w:val="04A0" w:firstRow="1" w:lastRow="0" w:firstColumn="1" w:lastColumn="0" w:noHBand="0" w:noVBand="1"/>
      </w:tblPr>
      <w:tblGrid>
        <w:gridCol w:w="1441"/>
        <w:gridCol w:w="1348"/>
        <w:gridCol w:w="947"/>
        <w:gridCol w:w="957"/>
        <w:gridCol w:w="975"/>
        <w:gridCol w:w="911"/>
        <w:gridCol w:w="1114"/>
        <w:gridCol w:w="1114"/>
        <w:gridCol w:w="1122"/>
      </w:tblGrid>
      <w:tr w:rsidR="00522A9D" w:rsidRPr="00C64BA4" w14:paraId="40AAC29A" w14:textId="77777777" w:rsidTr="007508EF">
        <w:trPr>
          <w:trHeight w:val="293"/>
        </w:trPr>
        <w:tc>
          <w:tcPr>
            <w:tcW w:w="725" w:type="pct"/>
            <w:tcBorders>
              <w:top w:val="nil"/>
              <w:left w:val="nil"/>
              <w:bottom w:val="nil"/>
              <w:right w:val="nil"/>
            </w:tcBorders>
            <w:shd w:val="clear" w:color="auto" w:fill="auto"/>
            <w:noWrap/>
            <w:vAlign w:val="bottom"/>
            <w:hideMark/>
          </w:tcPr>
          <w:p w14:paraId="224741C4" w14:textId="77777777" w:rsidR="00522A9D" w:rsidRPr="00C64BA4" w:rsidRDefault="00522A9D" w:rsidP="00206C45">
            <w:pPr>
              <w:spacing w:after="0" w:line="300" w:lineRule="auto"/>
              <w:rPr>
                <w:rFonts w:eastAsia="Times New Roman" w:cs="Times New Roman"/>
                <w:sz w:val="20"/>
                <w:szCs w:val="20"/>
              </w:rPr>
            </w:pPr>
          </w:p>
        </w:tc>
        <w:tc>
          <w:tcPr>
            <w:tcW w:w="4275" w:type="pct"/>
            <w:gridSpan w:val="8"/>
            <w:tcBorders>
              <w:top w:val="nil"/>
              <w:left w:val="nil"/>
              <w:bottom w:val="nil"/>
              <w:right w:val="nil"/>
            </w:tcBorders>
            <w:shd w:val="clear" w:color="auto" w:fill="auto"/>
            <w:noWrap/>
            <w:vAlign w:val="bottom"/>
            <w:hideMark/>
          </w:tcPr>
          <w:p w14:paraId="22B2CE8D" w14:textId="77777777" w:rsidR="00522A9D" w:rsidRPr="00C64BA4" w:rsidRDefault="00522A9D" w:rsidP="00206C45">
            <w:pPr>
              <w:spacing w:after="0" w:line="300" w:lineRule="auto"/>
              <w:jc w:val="center"/>
              <w:rPr>
                <w:rFonts w:eastAsia="Times New Roman" w:cs="Calibri"/>
                <w:b/>
                <w:bCs/>
                <w:color w:val="595959"/>
              </w:rPr>
            </w:pPr>
            <w:r w:rsidRPr="00C64BA4">
              <w:rPr>
                <w:rFonts w:eastAsia="Times New Roman" w:cs="Calibri"/>
                <w:b/>
                <w:bCs/>
                <w:color w:val="595959"/>
              </w:rPr>
              <w:t>2020</w:t>
            </w:r>
          </w:p>
        </w:tc>
      </w:tr>
      <w:tr w:rsidR="00522A9D" w:rsidRPr="00C64BA4" w14:paraId="50A40E8B" w14:textId="77777777" w:rsidTr="007508EF">
        <w:trPr>
          <w:trHeight w:val="293"/>
        </w:trPr>
        <w:tc>
          <w:tcPr>
            <w:tcW w:w="725" w:type="pct"/>
            <w:tcBorders>
              <w:top w:val="nil"/>
              <w:left w:val="nil"/>
              <w:bottom w:val="nil"/>
              <w:right w:val="nil"/>
            </w:tcBorders>
            <w:shd w:val="clear" w:color="auto" w:fill="auto"/>
            <w:noWrap/>
            <w:vAlign w:val="bottom"/>
            <w:hideMark/>
          </w:tcPr>
          <w:p w14:paraId="71F85D71" w14:textId="77777777" w:rsidR="00522A9D" w:rsidRPr="00C64BA4" w:rsidRDefault="00522A9D" w:rsidP="00206C45">
            <w:pPr>
              <w:spacing w:after="0" w:line="300" w:lineRule="auto"/>
              <w:jc w:val="center"/>
              <w:rPr>
                <w:rFonts w:eastAsia="Times New Roman" w:cs="Calibri"/>
                <w:b/>
                <w:bCs/>
                <w:color w:val="595959"/>
              </w:rPr>
            </w:pPr>
          </w:p>
        </w:tc>
        <w:tc>
          <w:tcPr>
            <w:tcW w:w="679" w:type="pct"/>
            <w:tcBorders>
              <w:top w:val="nil"/>
              <w:left w:val="nil"/>
              <w:bottom w:val="nil"/>
              <w:right w:val="nil"/>
            </w:tcBorders>
            <w:shd w:val="clear" w:color="auto" w:fill="auto"/>
            <w:noWrap/>
            <w:vAlign w:val="bottom"/>
            <w:hideMark/>
          </w:tcPr>
          <w:p w14:paraId="6025AD89" w14:textId="77777777" w:rsidR="00522A9D" w:rsidRPr="00C64BA4" w:rsidRDefault="00522A9D" w:rsidP="00206C45">
            <w:pPr>
              <w:spacing w:after="0" w:line="300" w:lineRule="auto"/>
              <w:rPr>
                <w:rFonts w:eastAsia="Times New Roman" w:cs="Times New Roman"/>
                <w:sz w:val="20"/>
                <w:szCs w:val="20"/>
              </w:rPr>
            </w:pPr>
          </w:p>
        </w:tc>
        <w:tc>
          <w:tcPr>
            <w:tcW w:w="3596" w:type="pct"/>
            <w:gridSpan w:val="7"/>
            <w:tcBorders>
              <w:top w:val="nil"/>
              <w:left w:val="nil"/>
              <w:bottom w:val="nil"/>
              <w:right w:val="nil"/>
            </w:tcBorders>
            <w:shd w:val="clear" w:color="auto" w:fill="auto"/>
            <w:noWrap/>
            <w:vAlign w:val="bottom"/>
            <w:hideMark/>
          </w:tcPr>
          <w:p w14:paraId="207F59C8" w14:textId="77777777" w:rsidR="00522A9D" w:rsidRPr="00C64BA4" w:rsidRDefault="00522A9D" w:rsidP="00206C45">
            <w:pPr>
              <w:spacing w:after="0" w:line="300" w:lineRule="auto"/>
              <w:jc w:val="center"/>
              <w:rPr>
                <w:rFonts w:eastAsia="Times New Roman" w:cs="Calibri"/>
                <w:b/>
                <w:bCs/>
                <w:color w:val="595959"/>
              </w:rPr>
            </w:pPr>
            <w:r w:rsidRPr="00C64BA4">
              <w:rPr>
                <w:rFonts w:eastAsia="Times New Roman" w:cs="Calibri"/>
                <w:b/>
                <w:bCs/>
                <w:color w:val="595959"/>
              </w:rPr>
              <w:t>% Households by Area Median Income (AMI)</w:t>
            </w:r>
          </w:p>
        </w:tc>
      </w:tr>
      <w:tr w:rsidR="007508EF" w:rsidRPr="00C64BA4" w14:paraId="09FF6B75" w14:textId="77777777" w:rsidTr="007508EF">
        <w:trPr>
          <w:trHeight w:val="883"/>
        </w:trPr>
        <w:tc>
          <w:tcPr>
            <w:tcW w:w="725" w:type="pct"/>
            <w:tcBorders>
              <w:top w:val="nil"/>
              <w:left w:val="nil"/>
              <w:bottom w:val="single" w:sz="4" w:space="0" w:color="auto"/>
              <w:right w:val="nil"/>
            </w:tcBorders>
            <w:shd w:val="clear" w:color="auto" w:fill="auto"/>
            <w:noWrap/>
            <w:vAlign w:val="bottom"/>
            <w:hideMark/>
          </w:tcPr>
          <w:p w14:paraId="40CECFE0" w14:textId="77777777" w:rsidR="00522A9D" w:rsidRPr="00C64BA4" w:rsidRDefault="00522A9D" w:rsidP="00206C45">
            <w:pPr>
              <w:spacing w:after="0" w:line="300" w:lineRule="auto"/>
              <w:rPr>
                <w:rFonts w:eastAsia="Times New Roman" w:cs="Calibri"/>
                <w:color w:val="000000"/>
              </w:rPr>
            </w:pPr>
            <w:r w:rsidRPr="00C64BA4">
              <w:rPr>
                <w:rFonts w:eastAsia="Times New Roman" w:cs="Calibri"/>
                <w:color w:val="000000"/>
              </w:rPr>
              <w:t> </w:t>
            </w:r>
          </w:p>
        </w:tc>
        <w:tc>
          <w:tcPr>
            <w:tcW w:w="679" w:type="pct"/>
            <w:tcBorders>
              <w:top w:val="nil"/>
              <w:left w:val="nil"/>
              <w:bottom w:val="single" w:sz="4" w:space="0" w:color="auto"/>
              <w:right w:val="nil"/>
            </w:tcBorders>
            <w:shd w:val="clear" w:color="auto" w:fill="auto"/>
            <w:vAlign w:val="bottom"/>
            <w:hideMark/>
          </w:tcPr>
          <w:p w14:paraId="590994FF" w14:textId="77777777" w:rsidR="00522A9D" w:rsidRPr="00C64BA4" w:rsidRDefault="00522A9D" w:rsidP="00206C45">
            <w:pPr>
              <w:spacing w:after="0" w:line="300" w:lineRule="auto"/>
              <w:jc w:val="center"/>
              <w:rPr>
                <w:rFonts w:eastAsia="Times New Roman" w:cs="Calibri"/>
                <w:b/>
                <w:bCs/>
                <w:color w:val="595959"/>
              </w:rPr>
            </w:pPr>
            <w:r w:rsidRPr="00C64BA4">
              <w:rPr>
                <w:rFonts w:eastAsia="Times New Roman" w:cs="Calibri"/>
                <w:b/>
                <w:bCs/>
                <w:color w:val="595959"/>
              </w:rPr>
              <w:t>Total Households</w:t>
            </w:r>
          </w:p>
        </w:tc>
        <w:tc>
          <w:tcPr>
            <w:tcW w:w="477" w:type="pct"/>
            <w:tcBorders>
              <w:top w:val="nil"/>
              <w:left w:val="nil"/>
              <w:bottom w:val="single" w:sz="4" w:space="0" w:color="auto"/>
              <w:right w:val="nil"/>
            </w:tcBorders>
            <w:shd w:val="clear" w:color="auto" w:fill="auto"/>
            <w:vAlign w:val="bottom"/>
            <w:hideMark/>
          </w:tcPr>
          <w:p w14:paraId="5FA5E58F" w14:textId="77777777" w:rsidR="00522A9D" w:rsidRPr="00C64BA4" w:rsidRDefault="00522A9D" w:rsidP="00206C45">
            <w:pPr>
              <w:spacing w:after="0" w:line="300" w:lineRule="auto"/>
              <w:jc w:val="center"/>
              <w:rPr>
                <w:rFonts w:eastAsia="Times New Roman" w:cs="Calibri"/>
                <w:b/>
                <w:bCs/>
                <w:color w:val="595959"/>
              </w:rPr>
            </w:pPr>
            <w:r w:rsidRPr="00C64BA4">
              <w:rPr>
                <w:rFonts w:eastAsia="Times New Roman" w:cs="Calibri"/>
                <w:b/>
                <w:bCs/>
                <w:color w:val="595959"/>
              </w:rPr>
              <w:t>&lt;30% AMI</w:t>
            </w:r>
          </w:p>
        </w:tc>
        <w:tc>
          <w:tcPr>
            <w:tcW w:w="482" w:type="pct"/>
            <w:tcBorders>
              <w:top w:val="nil"/>
              <w:left w:val="nil"/>
              <w:bottom w:val="single" w:sz="4" w:space="0" w:color="auto"/>
              <w:right w:val="nil"/>
            </w:tcBorders>
            <w:shd w:val="clear" w:color="auto" w:fill="auto"/>
            <w:vAlign w:val="bottom"/>
            <w:hideMark/>
          </w:tcPr>
          <w:p w14:paraId="7A648081" w14:textId="77777777" w:rsidR="00522A9D" w:rsidRPr="00C64BA4" w:rsidRDefault="00522A9D" w:rsidP="00206C45">
            <w:pPr>
              <w:spacing w:after="0" w:line="300" w:lineRule="auto"/>
              <w:jc w:val="center"/>
              <w:rPr>
                <w:rFonts w:eastAsia="Times New Roman" w:cs="Calibri"/>
                <w:b/>
                <w:bCs/>
                <w:color w:val="595959"/>
              </w:rPr>
            </w:pPr>
            <w:r w:rsidRPr="00C64BA4">
              <w:rPr>
                <w:rFonts w:eastAsia="Times New Roman" w:cs="Calibri"/>
                <w:b/>
                <w:bCs/>
                <w:color w:val="595959"/>
              </w:rPr>
              <w:t>&lt;50% AMI</w:t>
            </w:r>
          </w:p>
        </w:tc>
        <w:tc>
          <w:tcPr>
            <w:tcW w:w="491" w:type="pct"/>
            <w:tcBorders>
              <w:top w:val="nil"/>
              <w:left w:val="nil"/>
              <w:bottom w:val="single" w:sz="4" w:space="0" w:color="auto"/>
              <w:right w:val="nil"/>
            </w:tcBorders>
            <w:shd w:val="clear" w:color="auto" w:fill="auto"/>
            <w:vAlign w:val="bottom"/>
            <w:hideMark/>
          </w:tcPr>
          <w:p w14:paraId="7CA2C1BB" w14:textId="77777777" w:rsidR="00522A9D" w:rsidRPr="00C64BA4" w:rsidRDefault="00522A9D" w:rsidP="00206C45">
            <w:pPr>
              <w:spacing w:after="0" w:line="300" w:lineRule="auto"/>
              <w:jc w:val="center"/>
              <w:rPr>
                <w:rFonts w:eastAsia="Times New Roman" w:cs="Calibri"/>
                <w:b/>
                <w:bCs/>
                <w:color w:val="595959"/>
              </w:rPr>
            </w:pPr>
            <w:r w:rsidRPr="00C64BA4">
              <w:rPr>
                <w:rFonts w:eastAsia="Times New Roman" w:cs="Calibri"/>
                <w:b/>
                <w:bCs/>
                <w:color w:val="595959"/>
              </w:rPr>
              <w:t>&lt;60% AMI</w:t>
            </w:r>
          </w:p>
        </w:tc>
        <w:tc>
          <w:tcPr>
            <w:tcW w:w="459" w:type="pct"/>
            <w:tcBorders>
              <w:top w:val="nil"/>
              <w:left w:val="nil"/>
              <w:bottom w:val="single" w:sz="4" w:space="0" w:color="auto"/>
              <w:right w:val="nil"/>
            </w:tcBorders>
            <w:shd w:val="clear" w:color="auto" w:fill="auto"/>
            <w:vAlign w:val="bottom"/>
            <w:hideMark/>
          </w:tcPr>
          <w:p w14:paraId="0AEF204B" w14:textId="77777777" w:rsidR="00522A9D" w:rsidRPr="00C64BA4" w:rsidRDefault="00522A9D" w:rsidP="00206C45">
            <w:pPr>
              <w:spacing w:after="0" w:line="300" w:lineRule="auto"/>
              <w:jc w:val="center"/>
              <w:rPr>
                <w:rFonts w:eastAsia="Times New Roman" w:cs="Calibri"/>
                <w:b/>
                <w:bCs/>
                <w:color w:val="595959"/>
              </w:rPr>
            </w:pPr>
            <w:r w:rsidRPr="00C64BA4">
              <w:rPr>
                <w:rFonts w:eastAsia="Times New Roman" w:cs="Calibri"/>
                <w:b/>
                <w:bCs/>
                <w:color w:val="595959"/>
              </w:rPr>
              <w:t>&lt;80% AMI</w:t>
            </w:r>
          </w:p>
        </w:tc>
        <w:tc>
          <w:tcPr>
            <w:tcW w:w="561" w:type="pct"/>
            <w:tcBorders>
              <w:top w:val="nil"/>
              <w:left w:val="nil"/>
              <w:bottom w:val="single" w:sz="4" w:space="0" w:color="auto"/>
              <w:right w:val="nil"/>
            </w:tcBorders>
            <w:shd w:val="clear" w:color="auto" w:fill="auto"/>
            <w:vAlign w:val="bottom"/>
            <w:hideMark/>
          </w:tcPr>
          <w:p w14:paraId="12B68C61" w14:textId="77777777" w:rsidR="00522A9D" w:rsidRPr="00C64BA4" w:rsidRDefault="00522A9D" w:rsidP="00206C45">
            <w:pPr>
              <w:spacing w:after="0" w:line="300" w:lineRule="auto"/>
              <w:jc w:val="center"/>
              <w:rPr>
                <w:rFonts w:eastAsia="Times New Roman" w:cs="Calibri"/>
                <w:b/>
                <w:bCs/>
                <w:color w:val="595959"/>
              </w:rPr>
            </w:pPr>
            <w:r w:rsidRPr="00C64BA4">
              <w:rPr>
                <w:rFonts w:eastAsia="Times New Roman" w:cs="Calibri"/>
                <w:b/>
                <w:bCs/>
                <w:color w:val="595959"/>
              </w:rPr>
              <w:t>&lt;100% AMI</w:t>
            </w:r>
          </w:p>
        </w:tc>
        <w:tc>
          <w:tcPr>
            <w:tcW w:w="561" w:type="pct"/>
            <w:tcBorders>
              <w:top w:val="nil"/>
              <w:left w:val="nil"/>
              <w:bottom w:val="single" w:sz="4" w:space="0" w:color="auto"/>
              <w:right w:val="nil"/>
            </w:tcBorders>
            <w:shd w:val="clear" w:color="auto" w:fill="auto"/>
            <w:vAlign w:val="bottom"/>
            <w:hideMark/>
          </w:tcPr>
          <w:p w14:paraId="00342262" w14:textId="77777777" w:rsidR="00522A9D" w:rsidRPr="00C64BA4" w:rsidRDefault="00522A9D" w:rsidP="00206C45">
            <w:pPr>
              <w:spacing w:after="0" w:line="300" w:lineRule="auto"/>
              <w:jc w:val="center"/>
              <w:rPr>
                <w:rFonts w:eastAsia="Times New Roman" w:cs="Calibri"/>
                <w:b/>
                <w:bCs/>
                <w:color w:val="595959"/>
              </w:rPr>
            </w:pPr>
            <w:r w:rsidRPr="00C64BA4">
              <w:rPr>
                <w:rFonts w:eastAsia="Times New Roman" w:cs="Calibri"/>
                <w:b/>
                <w:bCs/>
                <w:color w:val="595959"/>
              </w:rPr>
              <w:t>&gt;100% AMI</w:t>
            </w:r>
          </w:p>
        </w:tc>
        <w:tc>
          <w:tcPr>
            <w:tcW w:w="565" w:type="pct"/>
            <w:tcBorders>
              <w:top w:val="nil"/>
              <w:left w:val="nil"/>
              <w:bottom w:val="single" w:sz="4" w:space="0" w:color="auto"/>
              <w:right w:val="nil"/>
            </w:tcBorders>
            <w:shd w:val="clear" w:color="auto" w:fill="auto"/>
            <w:vAlign w:val="bottom"/>
            <w:hideMark/>
          </w:tcPr>
          <w:p w14:paraId="6B17C578" w14:textId="77777777" w:rsidR="00522A9D" w:rsidRPr="00C64BA4" w:rsidRDefault="00522A9D" w:rsidP="00206C45">
            <w:pPr>
              <w:spacing w:after="0" w:line="300" w:lineRule="auto"/>
              <w:jc w:val="center"/>
              <w:rPr>
                <w:rFonts w:eastAsia="Times New Roman" w:cs="Calibri"/>
                <w:b/>
                <w:bCs/>
                <w:color w:val="595959"/>
              </w:rPr>
            </w:pPr>
            <w:r w:rsidRPr="00C64BA4">
              <w:rPr>
                <w:rFonts w:eastAsia="Times New Roman" w:cs="Calibri"/>
                <w:b/>
                <w:bCs/>
                <w:color w:val="595959"/>
              </w:rPr>
              <w:t>&gt;120% AMI</w:t>
            </w:r>
          </w:p>
        </w:tc>
      </w:tr>
      <w:tr w:rsidR="007508EF" w:rsidRPr="00C64BA4" w14:paraId="36D711DF" w14:textId="77777777" w:rsidTr="007508EF">
        <w:trPr>
          <w:trHeight w:val="293"/>
        </w:trPr>
        <w:tc>
          <w:tcPr>
            <w:tcW w:w="725" w:type="pct"/>
            <w:tcBorders>
              <w:top w:val="nil"/>
              <w:left w:val="nil"/>
              <w:bottom w:val="nil"/>
              <w:right w:val="nil"/>
            </w:tcBorders>
            <w:shd w:val="clear" w:color="auto" w:fill="auto"/>
            <w:noWrap/>
            <w:vAlign w:val="center"/>
            <w:hideMark/>
          </w:tcPr>
          <w:p w14:paraId="26CA27B8"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Auburn</w:t>
            </w:r>
          </w:p>
        </w:tc>
        <w:tc>
          <w:tcPr>
            <w:tcW w:w="679" w:type="pct"/>
            <w:tcBorders>
              <w:top w:val="nil"/>
              <w:left w:val="nil"/>
              <w:bottom w:val="single" w:sz="4" w:space="0" w:color="auto"/>
              <w:right w:val="nil"/>
            </w:tcBorders>
            <w:shd w:val="clear" w:color="auto" w:fill="auto"/>
            <w:noWrap/>
            <w:vAlign w:val="center"/>
            <w:hideMark/>
          </w:tcPr>
          <w:p w14:paraId="34628ADF"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1,920</w:t>
            </w:r>
          </w:p>
        </w:tc>
        <w:tc>
          <w:tcPr>
            <w:tcW w:w="477" w:type="pct"/>
            <w:tcBorders>
              <w:top w:val="nil"/>
              <w:left w:val="nil"/>
              <w:bottom w:val="nil"/>
              <w:right w:val="nil"/>
            </w:tcBorders>
            <w:shd w:val="clear" w:color="auto" w:fill="auto"/>
            <w:noWrap/>
            <w:vAlign w:val="center"/>
            <w:hideMark/>
          </w:tcPr>
          <w:p w14:paraId="43765C5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w:t>
            </w:r>
          </w:p>
        </w:tc>
        <w:tc>
          <w:tcPr>
            <w:tcW w:w="482" w:type="pct"/>
            <w:tcBorders>
              <w:top w:val="nil"/>
              <w:left w:val="nil"/>
              <w:bottom w:val="nil"/>
              <w:right w:val="nil"/>
            </w:tcBorders>
            <w:shd w:val="clear" w:color="auto" w:fill="auto"/>
            <w:noWrap/>
            <w:vAlign w:val="center"/>
            <w:hideMark/>
          </w:tcPr>
          <w:p w14:paraId="2EC21CF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7%</w:t>
            </w:r>
          </w:p>
        </w:tc>
        <w:tc>
          <w:tcPr>
            <w:tcW w:w="491" w:type="pct"/>
            <w:tcBorders>
              <w:top w:val="nil"/>
              <w:left w:val="nil"/>
              <w:bottom w:val="nil"/>
              <w:right w:val="nil"/>
            </w:tcBorders>
            <w:shd w:val="clear" w:color="auto" w:fill="auto"/>
            <w:noWrap/>
            <w:vAlign w:val="center"/>
            <w:hideMark/>
          </w:tcPr>
          <w:p w14:paraId="67DE5758"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11%</w:t>
            </w:r>
          </w:p>
        </w:tc>
        <w:tc>
          <w:tcPr>
            <w:tcW w:w="459" w:type="pct"/>
            <w:tcBorders>
              <w:top w:val="nil"/>
              <w:left w:val="nil"/>
              <w:bottom w:val="nil"/>
              <w:right w:val="nil"/>
            </w:tcBorders>
            <w:shd w:val="clear" w:color="auto" w:fill="auto"/>
            <w:noWrap/>
            <w:vAlign w:val="center"/>
            <w:hideMark/>
          </w:tcPr>
          <w:p w14:paraId="57C9B178"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20%</w:t>
            </w:r>
          </w:p>
        </w:tc>
        <w:tc>
          <w:tcPr>
            <w:tcW w:w="561" w:type="pct"/>
            <w:tcBorders>
              <w:top w:val="nil"/>
              <w:left w:val="nil"/>
              <w:bottom w:val="nil"/>
              <w:right w:val="nil"/>
            </w:tcBorders>
            <w:shd w:val="clear" w:color="auto" w:fill="auto"/>
            <w:noWrap/>
            <w:vAlign w:val="center"/>
            <w:hideMark/>
          </w:tcPr>
          <w:p w14:paraId="6FAA3503"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30%</w:t>
            </w:r>
          </w:p>
        </w:tc>
        <w:tc>
          <w:tcPr>
            <w:tcW w:w="561" w:type="pct"/>
            <w:tcBorders>
              <w:top w:val="nil"/>
              <w:left w:val="nil"/>
              <w:bottom w:val="nil"/>
              <w:right w:val="nil"/>
            </w:tcBorders>
            <w:shd w:val="clear" w:color="auto" w:fill="auto"/>
            <w:noWrap/>
            <w:vAlign w:val="center"/>
            <w:hideMark/>
          </w:tcPr>
          <w:p w14:paraId="6FC0ADE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70%</w:t>
            </w:r>
          </w:p>
        </w:tc>
        <w:tc>
          <w:tcPr>
            <w:tcW w:w="565" w:type="pct"/>
            <w:tcBorders>
              <w:top w:val="nil"/>
              <w:left w:val="nil"/>
              <w:bottom w:val="nil"/>
              <w:right w:val="nil"/>
            </w:tcBorders>
            <w:shd w:val="clear" w:color="auto" w:fill="auto"/>
            <w:noWrap/>
            <w:vAlign w:val="center"/>
            <w:hideMark/>
          </w:tcPr>
          <w:p w14:paraId="4DDD1E0F"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57%</w:t>
            </w:r>
          </w:p>
        </w:tc>
      </w:tr>
      <w:tr w:rsidR="007508EF" w:rsidRPr="00C64BA4" w14:paraId="2DE324B6" w14:textId="77777777" w:rsidTr="007508EF">
        <w:trPr>
          <w:trHeight w:val="293"/>
        </w:trPr>
        <w:tc>
          <w:tcPr>
            <w:tcW w:w="725" w:type="pct"/>
            <w:tcBorders>
              <w:top w:val="single" w:sz="4" w:space="0" w:color="auto"/>
              <w:left w:val="nil"/>
              <w:bottom w:val="single" w:sz="4" w:space="0" w:color="auto"/>
              <w:right w:val="nil"/>
            </w:tcBorders>
            <w:shd w:val="clear" w:color="000000" w:fill="E7E6E6"/>
            <w:noWrap/>
            <w:vAlign w:val="center"/>
            <w:hideMark/>
          </w:tcPr>
          <w:p w14:paraId="73D56B7B"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Bedford</w:t>
            </w:r>
          </w:p>
        </w:tc>
        <w:tc>
          <w:tcPr>
            <w:tcW w:w="679" w:type="pct"/>
            <w:tcBorders>
              <w:top w:val="nil"/>
              <w:left w:val="nil"/>
              <w:bottom w:val="single" w:sz="4" w:space="0" w:color="auto"/>
              <w:right w:val="nil"/>
            </w:tcBorders>
            <w:shd w:val="clear" w:color="000000" w:fill="E7E6E6"/>
            <w:noWrap/>
            <w:vAlign w:val="center"/>
            <w:hideMark/>
          </w:tcPr>
          <w:p w14:paraId="5D8934D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7,910</w:t>
            </w:r>
          </w:p>
        </w:tc>
        <w:tc>
          <w:tcPr>
            <w:tcW w:w="477" w:type="pct"/>
            <w:tcBorders>
              <w:top w:val="single" w:sz="4" w:space="0" w:color="auto"/>
              <w:left w:val="nil"/>
              <w:bottom w:val="single" w:sz="4" w:space="0" w:color="auto"/>
              <w:right w:val="nil"/>
            </w:tcBorders>
            <w:shd w:val="clear" w:color="000000" w:fill="E7E6E6"/>
            <w:noWrap/>
            <w:vAlign w:val="center"/>
            <w:hideMark/>
          </w:tcPr>
          <w:p w14:paraId="73BDBA67"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7%</w:t>
            </w:r>
          </w:p>
        </w:tc>
        <w:tc>
          <w:tcPr>
            <w:tcW w:w="482" w:type="pct"/>
            <w:tcBorders>
              <w:top w:val="single" w:sz="4" w:space="0" w:color="auto"/>
              <w:left w:val="nil"/>
              <w:bottom w:val="single" w:sz="4" w:space="0" w:color="auto"/>
              <w:right w:val="nil"/>
            </w:tcBorders>
            <w:shd w:val="clear" w:color="000000" w:fill="E7E6E6"/>
            <w:noWrap/>
            <w:vAlign w:val="center"/>
            <w:hideMark/>
          </w:tcPr>
          <w:p w14:paraId="50A5037E"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12%</w:t>
            </w:r>
          </w:p>
        </w:tc>
        <w:tc>
          <w:tcPr>
            <w:tcW w:w="491" w:type="pct"/>
            <w:tcBorders>
              <w:top w:val="single" w:sz="4" w:space="0" w:color="auto"/>
              <w:left w:val="nil"/>
              <w:bottom w:val="single" w:sz="4" w:space="0" w:color="auto"/>
              <w:right w:val="nil"/>
            </w:tcBorders>
            <w:shd w:val="clear" w:color="000000" w:fill="E7E6E6"/>
            <w:noWrap/>
            <w:vAlign w:val="center"/>
            <w:hideMark/>
          </w:tcPr>
          <w:p w14:paraId="6583DF33"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15%</w:t>
            </w:r>
          </w:p>
        </w:tc>
        <w:tc>
          <w:tcPr>
            <w:tcW w:w="459" w:type="pct"/>
            <w:tcBorders>
              <w:top w:val="single" w:sz="4" w:space="0" w:color="auto"/>
              <w:left w:val="nil"/>
              <w:bottom w:val="single" w:sz="4" w:space="0" w:color="auto"/>
              <w:right w:val="nil"/>
            </w:tcBorders>
            <w:shd w:val="clear" w:color="000000" w:fill="E7E6E6"/>
            <w:noWrap/>
            <w:vAlign w:val="center"/>
            <w:hideMark/>
          </w:tcPr>
          <w:p w14:paraId="0F168CF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23%</w:t>
            </w:r>
          </w:p>
        </w:tc>
        <w:tc>
          <w:tcPr>
            <w:tcW w:w="561" w:type="pct"/>
            <w:tcBorders>
              <w:top w:val="single" w:sz="4" w:space="0" w:color="auto"/>
              <w:left w:val="nil"/>
              <w:bottom w:val="single" w:sz="4" w:space="0" w:color="auto"/>
              <w:right w:val="nil"/>
            </w:tcBorders>
            <w:shd w:val="clear" w:color="000000" w:fill="E7E6E6"/>
            <w:noWrap/>
            <w:vAlign w:val="center"/>
            <w:hideMark/>
          </w:tcPr>
          <w:p w14:paraId="6F2B50C6"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32%</w:t>
            </w:r>
          </w:p>
        </w:tc>
        <w:tc>
          <w:tcPr>
            <w:tcW w:w="561" w:type="pct"/>
            <w:tcBorders>
              <w:top w:val="single" w:sz="4" w:space="0" w:color="auto"/>
              <w:left w:val="nil"/>
              <w:bottom w:val="single" w:sz="4" w:space="0" w:color="auto"/>
              <w:right w:val="nil"/>
            </w:tcBorders>
            <w:shd w:val="clear" w:color="000000" w:fill="E7E6E6"/>
            <w:noWrap/>
            <w:vAlign w:val="center"/>
            <w:hideMark/>
          </w:tcPr>
          <w:p w14:paraId="6BC6A2BB"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68%</w:t>
            </w:r>
          </w:p>
        </w:tc>
        <w:tc>
          <w:tcPr>
            <w:tcW w:w="565" w:type="pct"/>
            <w:tcBorders>
              <w:top w:val="single" w:sz="4" w:space="0" w:color="auto"/>
              <w:left w:val="nil"/>
              <w:bottom w:val="single" w:sz="4" w:space="0" w:color="auto"/>
              <w:right w:val="nil"/>
            </w:tcBorders>
            <w:shd w:val="clear" w:color="000000" w:fill="E7E6E6"/>
            <w:noWrap/>
            <w:vAlign w:val="center"/>
            <w:hideMark/>
          </w:tcPr>
          <w:p w14:paraId="3E5DC1DE"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60%</w:t>
            </w:r>
          </w:p>
        </w:tc>
      </w:tr>
      <w:tr w:rsidR="007508EF" w:rsidRPr="00C64BA4" w14:paraId="46B11351" w14:textId="77777777" w:rsidTr="007508EF">
        <w:trPr>
          <w:trHeight w:val="293"/>
        </w:trPr>
        <w:tc>
          <w:tcPr>
            <w:tcW w:w="725" w:type="pct"/>
            <w:tcBorders>
              <w:top w:val="nil"/>
              <w:left w:val="nil"/>
              <w:bottom w:val="nil"/>
              <w:right w:val="nil"/>
            </w:tcBorders>
            <w:shd w:val="clear" w:color="auto" w:fill="auto"/>
            <w:noWrap/>
            <w:vAlign w:val="center"/>
            <w:hideMark/>
          </w:tcPr>
          <w:p w14:paraId="7E042365"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Candia</w:t>
            </w:r>
          </w:p>
        </w:tc>
        <w:tc>
          <w:tcPr>
            <w:tcW w:w="679" w:type="pct"/>
            <w:tcBorders>
              <w:top w:val="nil"/>
              <w:left w:val="nil"/>
              <w:bottom w:val="single" w:sz="4" w:space="0" w:color="auto"/>
              <w:right w:val="nil"/>
            </w:tcBorders>
            <w:shd w:val="clear" w:color="auto" w:fill="auto"/>
            <w:noWrap/>
            <w:vAlign w:val="center"/>
            <w:hideMark/>
          </w:tcPr>
          <w:p w14:paraId="7FCECC4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1,480</w:t>
            </w:r>
          </w:p>
        </w:tc>
        <w:tc>
          <w:tcPr>
            <w:tcW w:w="477" w:type="pct"/>
            <w:tcBorders>
              <w:top w:val="nil"/>
              <w:left w:val="nil"/>
              <w:bottom w:val="nil"/>
              <w:right w:val="nil"/>
            </w:tcBorders>
            <w:shd w:val="clear" w:color="auto" w:fill="auto"/>
            <w:noWrap/>
            <w:vAlign w:val="center"/>
            <w:hideMark/>
          </w:tcPr>
          <w:p w14:paraId="3B7ECF7A"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12%</w:t>
            </w:r>
          </w:p>
        </w:tc>
        <w:tc>
          <w:tcPr>
            <w:tcW w:w="482" w:type="pct"/>
            <w:tcBorders>
              <w:top w:val="nil"/>
              <w:left w:val="nil"/>
              <w:bottom w:val="nil"/>
              <w:right w:val="nil"/>
            </w:tcBorders>
            <w:shd w:val="clear" w:color="auto" w:fill="auto"/>
            <w:noWrap/>
            <w:vAlign w:val="center"/>
            <w:hideMark/>
          </w:tcPr>
          <w:p w14:paraId="0AEA4A86"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22%</w:t>
            </w:r>
          </w:p>
        </w:tc>
        <w:tc>
          <w:tcPr>
            <w:tcW w:w="491" w:type="pct"/>
            <w:tcBorders>
              <w:top w:val="nil"/>
              <w:left w:val="nil"/>
              <w:bottom w:val="nil"/>
              <w:right w:val="nil"/>
            </w:tcBorders>
            <w:shd w:val="clear" w:color="auto" w:fill="auto"/>
            <w:noWrap/>
            <w:vAlign w:val="center"/>
            <w:hideMark/>
          </w:tcPr>
          <w:p w14:paraId="5939A9EE"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28%</w:t>
            </w:r>
          </w:p>
        </w:tc>
        <w:tc>
          <w:tcPr>
            <w:tcW w:w="459" w:type="pct"/>
            <w:tcBorders>
              <w:top w:val="nil"/>
              <w:left w:val="nil"/>
              <w:bottom w:val="nil"/>
              <w:right w:val="nil"/>
            </w:tcBorders>
            <w:shd w:val="clear" w:color="auto" w:fill="auto"/>
            <w:noWrap/>
            <w:vAlign w:val="center"/>
            <w:hideMark/>
          </w:tcPr>
          <w:p w14:paraId="1438F298"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37%</w:t>
            </w:r>
          </w:p>
        </w:tc>
        <w:tc>
          <w:tcPr>
            <w:tcW w:w="561" w:type="pct"/>
            <w:tcBorders>
              <w:top w:val="nil"/>
              <w:left w:val="nil"/>
              <w:bottom w:val="nil"/>
              <w:right w:val="nil"/>
            </w:tcBorders>
            <w:shd w:val="clear" w:color="auto" w:fill="auto"/>
            <w:noWrap/>
            <w:vAlign w:val="center"/>
            <w:hideMark/>
          </w:tcPr>
          <w:p w14:paraId="67BF709B"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46%</w:t>
            </w:r>
          </w:p>
        </w:tc>
        <w:tc>
          <w:tcPr>
            <w:tcW w:w="561" w:type="pct"/>
            <w:tcBorders>
              <w:top w:val="nil"/>
              <w:left w:val="nil"/>
              <w:bottom w:val="nil"/>
              <w:right w:val="nil"/>
            </w:tcBorders>
            <w:shd w:val="clear" w:color="auto" w:fill="auto"/>
            <w:noWrap/>
            <w:vAlign w:val="center"/>
            <w:hideMark/>
          </w:tcPr>
          <w:p w14:paraId="364FDDC6"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54%</w:t>
            </w:r>
          </w:p>
        </w:tc>
        <w:tc>
          <w:tcPr>
            <w:tcW w:w="565" w:type="pct"/>
            <w:tcBorders>
              <w:top w:val="nil"/>
              <w:left w:val="nil"/>
              <w:bottom w:val="nil"/>
              <w:right w:val="nil"/>
            </w:tcBorders>
            <w:shd w:val="clear" w:color="auto" w:fill="auto"/>
            <w:noWrap/>
            <w:vAlign w:val="center"/>
            <w:hideMark/>
          </w:tcPr>
          <w:p w14:paraId="30FBCB40"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46%</w:t>
            </w:r>
          </w:p>
        </w:tc>
      </w:tr>
      <w:tr w:rsidR="007508EF" w:rsidRPr="00C64BA4" w14:paraId="3D9B36C8" w14:textId="77777777" w:rsidTr="007508EF">
        <w:trPr>
          <w:trHeight w:val="293"/>
        </w:trPr>
        <w:tc>
          <w:tcPr>
            <w:tcW w:w="725" w:type="pct"/>
            <w:tcBorders>
              <w:top w:val="single" w:sz="4" w:space="0" w:color="auto"/>
              <w:left w:val="nil"/>
              <w:bottom w:val="single" w:sz="4" w:space="0" w:color="auto"/>
              <w:right w:val="nil"/>
            </w:tcBorders>
            <w:shd w:val="clear" w:color="000000" w:fill="E7E6E6"/>
            <w:noWrap/>
            <w:vAlign w:val="center"/>
            <w:hideMark/>
          </w:tcPr>
          <w:p w14:paraId="123EE5B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Chester</w:t>
            </w:r>
          </w:p>
        </w:tc>
        <w:tc>
          <w:tcPr>
            <w:tcW w:w="679" w:type="pct"/>
            <w:tcBorders>
              <w:top w:val="nil"/>
              <w:left w:val="nil"/>
              <w:bottom w:val="single" w:sz="4" w:space="0" w:color="auto"/>
              <w:right w:val="nil"/>
            </w:tcBorders>
            <w:shd w:val="clear" w:color="000000" w:fill="E7E6E6"/>
            <w:noWrap/>
            <w:vAlign w:val="center"/>
            <w:hideMark/>
          </w:tcPr>
          <w:p w14:paraId="11FE73E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1,740</w:t>
            </w:r>
          </w:p>
        </w:tc>
        <w:tc>
          <w:tcPr>
            <w:tcW w:w="477" w:type="pct"/>
            <w:tcBorders>
              <w:top w:val="single" w:sz="4" w:space="0" w:color="auto"/>
              <w:left w:val="nil"/>
              <w:bottom w:val="single" w:sz="4" w:space="0" w:color="auto"/>
              <w:right w:val="nil"/>
            </w:tcBorders>
            <w:shd w:val="clear" w:color="000000" w:fill="E7E6E6"/>
            <w:noWrap/>
            <w:vAlign w:val="center"/>
            <w:hideMark/>
          </w:tcPr>
          <w:p w14:paraId="69B1D62F"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w:t>
            </w:r>
          </w:p>
        </w:tc>
        <w:tc>
          <w:tcPr>
            <w:tcW w:w="482" w:type="pct"/>
            <w:tcBorders>
              <w:top w:val="single" w:sz="4" w:space="0" w:color="auto"/>
              <w:left w:val="nil"/>
              <w:bottom w:val="single" w:sz="4" w:space="0" w:color="auto"/>
              <w:right w:val="nil"/>
            </w:tcBorders>
            <w:shd w:val="clear" w:color="000000" w:fill="E7E6E6"/>
            <w:noWrap/>
            <w:vAlign w:val="center"/>
            <w:hideMark/>
          </w:tcPr>
          <w:p w14:paraId="6672C4C7"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10%</w:t>
            </w:r>
          </w:p>
        </w:tc>
        <w:tc>
          <w:tcPr>
            <w:tcW w:w="491" w:type="pct"/>
            <w:tcBorders>
              <w:top w:val="single" w:sz="4" w:space="0" w:color="auto"/>
              <w:left w:val="nil"/>
              <w:bottom w:val="single" w:sz="4" w:space="0" w:color="auto"/>
              <w:right w:val="nil"/>
            </w:tcBorders>
            <w:shd w:val="clear" w:color="000000" w:fill="E7E6E6"/>
            <w:noWrap/>
            <w:vAlign w:val="center"/>
            <w:hideMark/>
          </w:tcPr>
          <w:p w14:paraId="5BF4023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13%</w:t>
            </w:r>
          </w:p>
        </w:tc>
        <w:tc>
          <w:tcPr>
            <w:tcW w:w="459" w:type="pct"/>
            <w:tcBorders>
              <w:top w:val="single" w:sz="4" w:space="0" w:color="auto"/>
              <w:left w:val="nil"/>
              <w:bottom w:val="single" w:sz="4" w:space="0" w:color="auto"/>
              <w:right w:val="nil"/>
            </w:tcBorders>
            <w:shd w:val="clear" w:color="000000" w:fill="E7E6E6"/>
            <w:noWrap/>
            <w:vAlign w:val="center"/>
            <w:hideMark/>
          </w:tcPr>
          <w:p w14:paraId="3B062F2E"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20%</w:t>
            </w:r>
          </w:p>
        </w:tc>
        <w:tc>
          <w:tcPr>
            <w:tcW w:w="561" w:type="pct"/>
            <w:tcBorders>
              <w:top w:val="single" w:sz="4" w:space="0" w:color="auto"/>
              <w:left w:val="nil"/>
              <w:bottom w:val="single" w:sz="4" w:space="0" w:color="auto"/>
              <w:right w:val="nil"/>
            </w:tcBorders>
            <w:shd w:val="clear" w:color="000000" w:fill="E7E6E6"/>
            <w:noWrap/>
            <w:vAlign w:val="center"/>
            <w:hideMark/>
          </w:tcPr>
          <w:p w14:paraId="774CD5D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28%</w:t>
            </w:r>
          </w:p>
        </w:tc>
        <w:tc>
          <w:tcPr>
            <w:tcW w:w="561" w:type="pct"/>
            <w:tcBorders>
              <w:top w:val="single" w:sz="4" w:space="0" w:color="auto"/>
              <w:left w:val="nil"/>
              <w:bottom w:val="single" w:sz="4" w:space="0" w:color="auto"/>
              <w:right w:val="nil"/>
            </w:tcBorders>
            <w:shd w:val="clear" w:color="000000" w:fill="E7E6E6"/>
            <w:noWrap/>
            <w:vAlign w:val="center"/>
            <w:hideMark/>
          </w:tcPr>
          <w:p w14:paraId="59B3B886"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72%</w:t>
            </w:r>
          </w:p>
        </w:tc>
        <w:tc>
          <w:tcPr>
            <w:tcW w:w="565" w:type="pct"/>
            <w:tcBorders>
              <w:top w:val="single" w:sz="4" w:space="0" w:color="auto"/>
              <w:left w:val="nil"/>
              <w:bottom w:val="single" w:sz="4" w:space="0" w:color="auto"/>
              <w:right w:val="nil"/>
            </w:tcBorders>
            <w:shd w:val="clear" w:color="000000" w:fill="E7E6E6"/>
            <w:noWrap/>
            <w:vAlign w:val="center"/>
            <w:hideMark/>
          </w:tcPr>
          <w:p w14:paraId="5EBAC16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64%</w:t>
            </w:r>
          </w:p>
        </w:tc>
      </w:tr>
      <w:tr w:rsidR="007508EF" w:rsidRPr="00C64BA4" w14:paraId="3C6C7A00" w14:textId="77777777" w:rsidTr="007508EF">
        <w:trPr>
          <w:trHeight w:val="293"/>
        </w:trPr>
        <w:tc>
          <w:tcPr>
            <w:tcW w:w="725" w:type="pct"/>
            <w:tcBorders>
              <w:top w:val="nil"/>
              <w:left w:val="nil"/>
              <w:bottom w:val="nil"/>
              <w:right w:val="nil"/>
            </w:tcBorders>
            <w:shd w:val="clear" w:color="auto" w:fill="auto"/>
            <w:noWrap/>
            <w:vAlign w:val="center"/>
            <w:hideMark/>
          </w:tcPr>
          <w:p w14:paraId="06917BBD"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Deerfield</w:t>
            </w:r>
          </w:p>
        </w:tc>
        <w:tc>
          <w:tcPr>
            <w:tcW w:w="679" w:type="pct"/>
            <w:tcBorders>
              <w:top w:val="nil"/>
              <w:left w:val="nil"/>
              <w:bottom w:val="single" w:sz="4" w:space="0" w:color="auto"/>
              <w:right w:val="nil"/>
            </w:tcBorders>
            <w:shd w:val="clear" w:color="auto" w:fill="auto"/>
            <w:noWrap/>
            <w:vAlign w:val="center"/>
            <w:hideMark/>
          </w:tcPr>
          <w:p w14:paraId="1644B66A"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1,650</w:t>
            </w:r>
          </w:p>
        </w:tc>
        <w:tc>
          <w:tcPr>
            <w:tcW w:w="477" w:type="pct"/>
            <w:tcBorders>
              <w:top w:val="nil"/>
              <w:left w:val="nil"/>
              <w:bottom w:val="nil"/>
              <w:right w:val="nil"/>
            </w:tcBorders>
            <w:shd w:val="clear" w:color="auto" w:fill="auto"/>
            <w:noWrap/>
            <w:vAlign w:val="center"/>
            <w:hideMark/>
          </w:tcPr>
          <w:p w14:paraId="6516AF30"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8%</w:t>
            </w:r>
          </w:p>
        </w:tc>
        <w:tc>
          <w:tcPr>
            <w:tcW w:w="482" w:type="pct"/>
            <w:tcBorders>
              <w:top w:val="nil"/>
              <w:left w:val="nil"/>
              <w:bottom w:val="nil"/>
              <w:right w:val="nil"/>
            </w:tcBorders>
            <w:shd w:val="clear" w:color="auto" w:fill="auto"/>
            <w:noWrap/>
            <w:vAlign w:val="center"/>
            <w:hideMark/>
          </w:tcPr>
          <w:p w14:paraId="324BA47F"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19%</w:t>
            </w:r>
          </w:p>
        </w:tc>
        <w:tc>
          <w:tcPr>
            <w:tcW w:w="491" w:type="pct"/>
            <w:tcBorders>
              <w:top w:val="nil"/>
              <w:left w:val="nil"/>
              <w:bottom w:val="nil"/>
              <w:right w:val="nil"/>
            </w:tcBorders>
            <w:shd w:val="clear" w:color="auto" w:fill="auto"/>
            <w:noWrap/>
            <w:vAlign w:val="center"/>
            <w:hideMark/>
          </w:tcPr>
          <w:p w14:paraId="1AF270B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24%</w:t>
            </w:r>
          </w:p>
        </w:tc>
        <w:tc>
          <w:tcPr>
            <w:tcW w:w="459" w:type="pct"/>
            <w:tcBorders>
              <w:top w:val="nil"/>
              <w:left w:val="nil"/>
              <w:bottom w:val="nil"/>
              <w:right w:val="nil"/>
            </w:tcBorders>
            <w:shd w:val="clear" w:color="auto" w:fill="auto"/>
            <w:noWrap/>
            <w:vAlign w:val="center"/>
            <w:hideMark/>
          </w:tcPr>
          <w:p w14:paraId="61DB928B"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31%</w:t>
            </w:r>
          </w:p>
        </w:tc>
        <w:tc>
          <w:tcPr>
            <w:tcW w:w="561" w:type="pct"/>
            <w:tcBorders>
              <w:top w:val="nil"/>
              <w:left w:val="nil"/>
              <w:bottom w:val="nil"/>
              <w:right w:val="nil"/>
            </w:tcBorders>
            <w:shd w:val="clear" w:color="auto" w:fill="auto"/>
            <w:noWrap/>
            <w:vAlign w:val="center"/>
            <w:hideMark/>
          </w:tcPr>
          <w:p w14:paraId="3F91CBD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38%</w:t>
            </w:r>
          </w:p>
        </w:tc>
        <w:tc>
          <w:tcPr>
            <w:tcW w:w="561" w:type="pct"/>
            <w:tcBorders>
              <w:top w:val="nil"/>
              <w:left w:val="nil"/>
              <w:bottom w:val="nil"/>
              <w:right w:val="nil"/>
            </w:tcBorders>
            <w:shd w:val="clear" w:color="auto" w:fill="auto"/>
            <w:noWrap/>
            <w:vAlign w:val="center"/>
            <w:hideMark/>
          </w:tcPr>
          <w:p w14:paraId="5744EB4A"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62%</w:t>
            </w:r>
          </w:p>
        </w:tc>
        <w:tc>
          <w:tcPr>
            <w:tcW w:w="565" w:type="pct"/>
            <w:tcBorders>
              <w:top w:val="nil"/>
              <w:left w:val="nil"/>
              <w:bottom w:val="nil"/>
              <w:right w:val="nil"/>
            </w:tcBorders>
            <w:shd w:val="clear" w:color="auto" w:fill="auto"/>
            <w:noWrap/>
            <w:vAlign w:val="center"/>
            <w:hideMark/>
          </w:tcPr>
          <w:p w14:paraId="0A0351F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53%</w:t>
            </w:r>
          </w:p>
        </w:tc>
      </w:tr>
      <w:tr w:rsidR="007508EF" w:rsidRPr="00C64BA4" w14:paraId="70C6D55E" w14:textId="77777777" w:rsidTr="007508EF">
        <w:trPr>
          <w:trHeight w:val="293"/>
        </w:trPr>
        <w:tc>
          <w:tcPr>
            <w:tcW w:w="725" w:type="pct"/>
            <w:tcBorders>
              <w:top w:val="single" w:sz="4" w:space="0" w:color="auto"/>
              <w:left w:val="nil"/>
              <w:bottom w:val="single" w:sz="4" w:space="0" w:color="auto"/>
              <w:right w:val="nil"/>
            </w:tcBorders>
            <w:shd w:val="clear" w:color="000000" w:fill="E7E6E6"/>
            <w:noWrap/>
            <w:vAlign w:val="center"/>
            <w:hideMark/>
          </w:tcPr>
          <w:p w14:paraId="289122D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Derry</w:t>
            </w:r>
          </w:p>
        </w:tc>
        <w:tc>
          <w:tcPr>
            <w:tcW w:w="679" w:type="pct"/>
            <w:tcBorders>
              <w:top w:val="nil"/>
              <w:left w:val="nil"/>
              <w:bottom w:val="single" w:sz="4" w:space="0" w:color="auto"/>
              <w:right w:val="nil"/>
            </w:tcBorders>
            <w:shd w:val="clear" w:color="000000" w:fill="E7E6E6"/>
            <w:noWrap/>
            <w:vAlign w:val="center"/>
            <w:hideMark/>
          </w:tcPr>
          <w:p w14:paraId="62F2B84B"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12,710</w:t>
            </w:r>
          </w:p>
        </w:tc>
        <w:tc>
          <w:tcPr>
            <w:tcW w:w="477" w:type="pct"/>
            <w:tcBorders>
              <w:top w:val="single" w:sz="4" w:space="0" w:color="auto"/>
              <w:left w:val="nil"/>
              <w:bottom w:val="single" w:sz="4" w:space="0" w:color="auto"/>
              <w:right w:val="nil"/>
            </w:tcBorders>
            <w:shd w:val="clear" w:color="000000" w:fill="E7E6E6"/>
            <w:noWrap/>
            <w:vAlign w:val="center"/>
            <w:hideMark/>
          </w:tcPr>
          <w:p w14:paraId="149510CE"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12%</w:t>
            </w:r>
          </w:p>
        </w:tc>
        <w:tc>
          <w:tcPr>
            <w:tcW w:w="482" w:type="pct"/>
            <w:tcBorders>
              <w:top w:val="single" w:sz="4" w:space="0" w:color="auto"/>
              <w:left w:val="nil"/>
              <w:bottom w:val="single" w:sz="4" w:space="0" w:color="auto"/>
              <w:right w:val="nil"/>
            </w:tcBorders>
            <w:shd w:val="clear" w:color="000000" w:fill="E7E6E6"/>
            <w:noWrap/>
            <w:vAlign w:val="center"/>
            <w:hideMark/>
          </w:tcPr>
          <w:p w14:paraId="35B27678"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23%</w:t>
            </w:r>
          </w:p>
        </w:tc>
        <w:tc>
          <w:tcPr>
            <w:tcW w:w="491" w:type="pct"/>
            <w:tcBorders>
              <w:top w:val="single" w:sz="4" w:space="0" w:color="auto"/>
              <w:left w:val="nil"/>
              <w:bottom w:val="single" w:sz="4" w:space="0" w:color="auto"/>
              <w:right w:val="nil"/>
            </w:tcBorders>
            <w:shd w:val="clear" w:color="000000" w:fill="E7E6E6"/>
            <w:noWrap/>
            <w:vAlign w:val="center"/>
            <w:hideMark/>
          </w:tcPr>
          <w:p w14:paraId="1A77A5F3"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30%</w:t>
            </w:r>
          </w:p>
        </w:tc>
        <w:tc>
          <w:tcPr>
            <w:tcW w:w="459" w:type="pct"/>
            <w:tcBorders>
              <w:top w:val="single" w:sz="4" w:space="0" w:color="auto"/>
              <w:left w:val="nil"/>
              <w:bottom w:val="single" w:sz="4" w:space="0" w:color="auto"/>
              <w:right w:val="nil"/>
            </w:tcBorders>
            <w:shd w:val="clear" w:color="000000" w:fill="E7E6E6"/>
            <w:noWrap/>
            <w:vAlign w:val="center"/>
            <w:hideMark/>
          </w:tcPr>
          <w:p w14:paraId="7B261245"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43%</w:t>
            </w:r>
          </w:p>
        </w:tc>
        <w:tc>
          <w:tcPr>
            <w:tcW w:w="561" w:type="pct"/>
            <w:tcBorders>
              <w:top w:val="single" w:sz="4" w:space="0" w:color="auto"/>
              <w:left w:val="nil"/>
              <w:bottom w:val="single" w:sz="4" w:space="0" w:color="auto"/>
              <w:right w:val="nil"/>
            </w:tcBorders>
            <w:shd w:val="clear" w:color="000000" w:fill="E7E6E6"/>
            <w:noWrap/>
            <w:vAlign w:val="center"/>
            <w:hideMark/>
          </w:tcPr>
          <w:p w14:paraId="7E97EDB4"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53%</w:t>
            </w:r>
          </w:p>
        </w:tc>
        <w:tc>
          <w:tcPr>
            <w:tcW w:w="561" w:type="pct"/>
            <w:tcBorders>
              <w:top w:val="single" w:sz="4" w:space="0" w:color="auto"/>
              <w:left w:val="nil"/>
              <w:bottom w:val="single" w:sz="4" w:space="0" w:color="auto"/>
              <w:right w:val="nil"/>
            </w:tcBorders>
            <w:shd w:val="clear" w:color="000000" w:fill="E7E6E6"/>
            <w:noWrap/>
            <w:vAlign w:val="center"/>
            <w:hideMark/>
          </w:tcPr>
          <w:p w14:paraId="2587105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47%</w:t>
            </w:r>
          </w:p>
        </w:tc>
        <w:tc>
          <w:tcPr>
            <w:tcW w:w="565" w:type="pct"/>
            <w:tcBorders>
              <w:top w:val="single" w:sz="4" w:space="0" w:color="auto"/>
              <w:left w:val="nil"/>
              <w:bottom w:val="single" w:sz="4" w:space="0" w:color="auto"/>
              <w:right w:val="nil"/>
            </w:tcBorders>
            <w:shd w:val="clear" w:color="000000" w:fill="E7E6E6"/>
            <w:noWrap/>
            <w:vAlign w:val="center"/>
            <w:hideMark/>
          </w:tcPr>
          <w:p w14:paraId="498AE6D8"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38%</w:t>
            </w:r>
          </w:p>
        </w:tc>
      </w:tr>
      <w:tr w:rsidR="007508EF" w:rsidRPr="00C64BA4" w14:paraId="674F7637" w14:textId="77777777" w:rsidTr="007508EF">
        <w:trPr>
          <w:trHeight w:val="293"/>
        </w:trPr>
        <w:tc>
          <w:tcPr>
            <w:tcW w:w="725" w:type="pct"/>
            <w:tcBorders>
              <w:top w:val="nil"/>
              <w:left w:val="nil"/>
              <w:bottom w:val="nil"/>
              <w:right w:val="nil"/>
            </w:tcBorders>
            <w:shd w:val="clear" w:color="auto" w:fill="auto"/>
            <w:noWrap/>
            <w:vAlign w:val="center"/>
            <w:hideMark/>
          </w:tcPr>
          <w:p w14:paraId="16F45C61" w14:textId="77777777" w:rsidR="00522A9D" w:rsidRPr="00C64BA4" w:rsidRDefault="00522A9D" w:rsidP="00206C45">
            <w:pPr>
              <w:spacing w:after="0" w:line="300" w:lineRule="auto"/>
              <w:jc w:val="center"/>
              <w:rPr>
                <w:rFonts w:eastAsia="Times New Roman" w:cs="Calibri"/>
                <w:color w:val="000000"/>
              </w:rPr>
            </w:pPr>
            <w:proofErr w:type="spellStart"/>
            <w:r w:rsidRPr="00C64BA4">
              <w:rPr>
                <w:rFonts w:eastAsia="Times New Roman" w:cs="Calibri"/>
                <w:color w:val="000000"/>
              </w:rPr>
              <w:t>Francestown</w:t>
            </w:r>
            <w:proofErr w:type="spellEnd"/>
          </w:p>
        </w:tc>
        <w:tc>
          <w:tcPr>
            <w:tcW w:w="679" w:type="pct"/>
            <w:tcBorders>
              <w:top w:val="nil"/>
              <w:left w:val="nil"/>
              <w:bottom w:val="single" w:sz="4" w:space="0" w:color="auto"/>
              <w:right w:val="nil"/>
            </w:tcBorders>
            <w:shd w:val="clear" w:color="auto" w:fill="auto"/>
            <w:noWrap/>
            <w:vAlign w:val="center"/>
            <w:hideMark/>
          </w:tcPr>
          <w:p w14:paraId="3788B800"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620</w:t>
            </w:r>
          </w:p>
        </w:tc>
        <w:tc>
          <w:tcPr>
            <w:tcW w:w="477" w:type="pct"/>
            <w:tcBorders>
              <w:top w:val="nil"/>
              <w:left w:val="nil"/>
              <w:bottom w:val="nil"/>
              <w:right w:val="nil"/>
            </w:tcBorders>
            <w:shd w:val="clear" w:color="auto" w:fill="auto"/>
            <w:noWrap/>
            <w:vAlign w:val="center"/>
            <w:hideMark/>
          </w:tcPr>
          <w:p w14:paraId="1307ABC6"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7%</w:t>
            </w:r>
          </w:p>
        </w:tc>
        <w:tc>
          <w:tcPr>
            <w:tcW w:w="482" w:type="pct"/>
            <w:tcBorders>
              <w:top w:val="nil"/>
              <w:left w:val="nil"/>
              <w:bottom w:val="nil"/>
              <w:right w:val="nil"/>
            </w:tcBorders>
            <w:shd w:val="clear" w:color="auto" w:fill="auto"/>
            <w:noWrap/>
            <w:vAlign w:val="center"/>
            <w:hideMark/>
          </w:tcPr>
          <w:p w14:paraId="2855814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15%</w:t>
            </w:r>
          </w:p>
        </w:tc>
        <w:tc>
          <w:tcPr>
            <w:tcW w:w="491" w:type="pct"/>
            <w:tcBorders>
              <w:top w:val="nil"/>
              <w:left w:val="nil"/>
              <w:bottom w:val="nil"/>
              <w:right w:val="nil"/>
            </w:tcBorders>
            <w:shd w:val="clear" w:color="auto" w:fill="auto"/>
            <w:noWrap/>
            <w:vAlign w:val="center"/>
            <w:hideMark/>
          </w:tcPr>
          <w:p w14:paraId="734C688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20%</w:t>
            </w:r>
          </w:p>
        </w:tc>
        <w:tc>
          <w:tcPr>
            <w:tcW w:w="459" w:type="pct"/>
            <w:tcBorders>
              <w:top w:val="nil"/>
              <w:left w:val="nil"/>
              <w:bottom w:val="nil"/>
              <w:right w:val="nil"/>
            </w:tcBorders>
            <w:shd w:val="clear" w:color="auto" w:fill="auto"/>
            <w:noWrap/>
            <w:vAlign w:val="center"/>
            <w:hideMark/>
          </w:tcPr>
          <w:p w14:paraId="55534C60"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31%</w:t>
            </w:r>
          </w:p>
        </w:tc>
        <w:tc>
          <w:tcPr>
            <w:tcW w:w="561" w:type="pct"/>
            <w:tcBorders>
              <w:top w:val="nil"/>
              <w:left w:val="nil"/>
              <w:bottom w:val="nil"/>
              <w:right w:val="nil"/>
            </w:tcBorders>
            <w:shd w:val="clear" w:color="auto" w:fill="auto"/>
            <w:noWrap/>
            <w:vAlign w:val="center"/>
            <w:hideMark/>
          </w:tcPr>
          <w:p w14:paraId="77A5DB6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43%</w:t>
            </w:r>
          </w:p>
        </w:tc>
        <w:tc>
          <w:tcPr>
            <w:tcW w:w="561" w:type="pct"/>
            <w:tcBorders>
              <w:top w:val="nil"/>
              <w:left w:val="nil"/>
              <w:bottom w:val="nil"/>
              <w:right w:val="nil"/>
            </w:tcBorders>
            <w:shd w:val="clear" w:color="auto" w:fill="auto"/>
            <w:noWrap/>
            <w:vAlign w:val="center"/>
            <w:hideMark/>
          </w:tcPr>
          <w:p w14:paraId="30DF317F"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57%</w:t>
            </w:r>
          </w:p>
        </w:tc>
        <w:tc>
          <w:tcPr>
            <w:tcW w:w="565" w:type="pct"/>
            <w:tcBorders>
              <w:top w:val="nil"/>
              <w:left w:val="nil"/>
              <w:bottom w:val="nil"/>
              <w:right w:val="nil"/>
            </w:tcBorders>
            <w:shd w:val="clear" w:color="auto" w:fill="auto"/>
            <w:noWrap/>
            <w:vAlign w:val="center"/>
            <w:hideMark/>
          </w:tcPr>
          <w:p w14:paraId="7D7AB3C5"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48%</w:t>
            </w:r>
          </w:p>
        </w:tc>
      </w:tr>
      <w:tr w:rsidR="007508EF" w:rsidRPr="00C64BA4" w14:paraId="6D525295" w14:textId="77777777" w:rsidTr="007508EF">
        <w:trPr>
          <w:trHeight w:val="293"/>
        </w:trPr>
        <w:tc>
          <w:tcPr>
            <w:tcW w:w="725" w:type="pct"/>
            <w:tcBorders>
              <w:top w:val="single" w:sz="4" w:space="0" w:color="auto"/>
              <w:left w:val="nil"/>
              <w:bottom w:val="single" w:sz="4" w:space="0" w:color="auto"/>
              <w:right w:val="nil"/>
            </w:tcBorders>
            <w:shd w:val="clear" w:color="000000" w:fill="E7E6E6"/>
            <w:noWrap/>
            <w:vAlign w:val="center"/>
            <w:hideMark/>
          </w:tcPr>
          <w:p w14:paraId="6E76FA50"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Goffstown</w:t>
            </w:r>
          </w:p>
        </w:tc>
        <w:tc>
          <w:tcPr>
            <w:tcW w:w="679" w:type="pct"/>
            <w:tcBorders>
              <w:top w:val="nil"/>
              <w:left w:val="nil"/>
              <w:bottom w:val="single" w:sz="4" w:space="0" w:color="auto"/>
              <w:right w:val="nil"/>
            </w:tcBorders>
            <w:shd w:val="clear" w:color="000000" w:fill="E7E6E6"/>
            <w:noWrap/>
            <w:vAlign w:val="center"/>
            <w:hideMark/>
          </w:tcPr>
          <w:p w14:paraId="656DC333"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6,290</w:t>
            </w:r>
          </w:p>
        </w:tc>
        <w:tc>
          <w:tcPr>
            <w:tcW w:w="477" w:type="pct"/>
            <w:tcBorders>
              <w:top w:val="single" w:sz="4" w:space="0" w:color="auto"/>
              <w:left w:val="nil"/>
              <w:bottom w:val="single" w:sz="4" w:space="0" w:color="auto"/>
              <w:right w:val="nil"/>
            </w:tcBorders>
            <w:shd w:val="clear" w:color="000000" w:fill="E7E6E6"/>
            <w:noWrap/>
            <w:vAlign w:val="center"/>
            <w:hideMark/>
          </w:tcPr>
          <w:p w14:paraId="3EE66A5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12%</w:t>
            </w:r>
          </w:p>
        </w:tc>
        <w:tc>
          <w:tcPr>
            <w:tcW w:w="482" w:type="pct"/>
            <w:tcBorders>
              <w:top w:val="single" w:sz="4" w:space="0" w:color="auto"/>
              <w:left w:val="nil"/>
              <w:bottom w:val="single" w:sz="4" w:space="0" w:color="auto"/>
              <w:right w:val="nil"/>
            </w:tcBorders>
            <w:shd w:val="clear" w:color="000000" w:fill="E7E6E6"/>
            <w:noWrap/>
            <w:vAlign w:val="center"/>
            <w:hideMark/>
          </w:tcPr>
          <w:p w14:paraId="288AA49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22%</w:t>
            </w:r>
          </w:p>
        </w:tc>
        <w:tc>
          <w:tcPr>
            <w:tcW w:w="491" w:type="pct"/>
            <w:tcBorders>
              <w:top w:val="single" w:sz="4" w:space="0" w:color="auto"/>
              <w:left w:val="nil"/>
              <w:bottom w:val="single" w:sz="4" w:space="0" w:color="auto"/>
              <w:right w:val="nil"/>
            </w:tcBorders>
            <w:shd w:val="clear" w:color="000000" w:fill="E7E6E6"/>
            <w:noWrap/>
            <w:vAlign w:val="center"/>
            <w:hideMark/>
          </w:tcPr>
          <w:p w14:paraId="69D9CB10"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27%</w:t>
            </w:r>
          </w:p>
        </w:tc>
        <w:tc>
          <w:tcPr>
            <w:tcW w:w="459" w:type="pct"/>
            <w:tcBorders>
              <w:top w:val="single" w:sz="4" w:space="0" w:color="auto"/>
              <w:left w:val="nil"/>
              <w:bottom w:val="single" w:sz="4" w:space="0" w:color="auto"/>
              <w:right w:val="nil"/>
            </w:tcBorders>
            <w:shd w:val="clear" w:color="000000" w:fill="E7E6E6"/>
            <w:noWrap/>
            <w:vAlign w:val="center"/>
            <w:hideMark/>
          </w:tcPr>
          <w:p w14:paraId="63500F35"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39%</w:t>
            </w:r>
          </w:p>
        </w:tc>
        <w:tc>
          <w:tcPr>
            <w:tcW w:w="561" w:type="pct"/>
            <w:tcBorders>
              <w:top w:val="single" w:sz="4" w:space="0" w:color="auto"/>
              <w:left w:val="nil"/>
              <w:bottom w:val="single" w:sz="4" w:space="0" w:color="auto"/>
              <w:right w:val="nil"/>
            </w:tcBorders>
            <w:shd w:val="clear" w:color="000000" w:fill="E7E6E6"/>
            <w:noWrap/>
            <w:vAlign w:val="center"/>
            <w:hideMark/>
          </w:tcPr>
          <w:p w14:paraId="116461C3"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49%</w:t>
            </w:r>
          </w:p>
        </w:tc>
        <w:tc>
          <w:tcPr>
            <w:tcW w:w="561" w:type="pct"/>
            <w:tcBorders>
              <w:top w:val="single" w:sz="4" w:space="0" w:color="auto"/>
              <w:left w:val="nil"/>
              <w:bottom w:val="single" w:sz="4" w:space="0" w:color="auto"/>
              <w:right w:val="nil"/>
            </w:tcBorders>
            <w:shd w:val="clear" w:color="000000" w:fill="E7E6E6"/>
            <w:noWrap/>
            <w:vAlign w:val="center"/>
            <w:hideMark/>
          </w:tcPr>
          <w:p w14:paraId="530732D5"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51%</w:t>
            </w:r>
          </w:p>
        </w:tc>
        <w:tc>
          <w:tcPr>
            <w:tcW w:w="565" w:type="pct"/>
            <w:tcBorders>
              <w:top w:val="single" w:sz="4" w:space="0" w:color="auto"/>
              <w:left w:val="nil"/>
              <w:bottom w:val="single" w:sz="4" w:space="0" w:color="auto"/>
              <w:right w:val="nil"/>
            </w:tcBorders>
            <w:shd w:val="clear" w:color="000000" w:fill="E7E6E6"/>
            <w:noWrap/>
            <w:vAlign w:val="center"/>
            <w:hideMark/>
          </w:tcPr>
          <w:p w14:paraId="5635E9A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41%</w:t>
            </w:r>
          </w:p>
        </w:tc>
      </w:tr>
      <w:tr w:rsidR="007508EF" w:rsidRPr="00C64BA4" w14:paraId="727E7312" w14:textId="77777777" w:rsidTr="007508EF">
        <w:trPr>
          <w:trHeight w:val="293"/>
        </w:trPr>
        <w:tc>
          <w:tcPr>
            <w:tcW w:w="725" w:type="pct"/>
            <w:tcBorders>
              <w:top w:val="nil"/>
              <w:left w:val="nil"/>
              <w:bottom w:val="nil"/>
              <w:right w:val="nil"/>
            </w:tcBorders>
            <w:shd w:val="clear" w:color="auto" w:fill="auto"/>
            <w:noWrap/>
            <w:vAlign w:val="center"/>
            <w:hideMark/>
          </w:tcPr>
          <w:p w14:paraId="0A371BF0"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Hooksett</w:t>
            </w:r>
          </w:p>
        </w:tc>
        <w:tc>
          <w:tcPr>
            <w:tcW w:w="679" w:type="pct"/>
            <w:tcBorders>
              <w:top w:val="nil"/>
              <w:left w:val="nil"/>
              <w:bottom w:val="single" w:sz="4" w:space="0" w:color="auto"/>
              <w:right w:val="nil"/>
            </w:tcBorders>
            <w:shd w:val="clear" w:color="auto" w:fill="auto"/>
            <w:noWrap/>
            <w:vAlign w:val="center"/>
            <w:hideMark/>
          </w:tcPr>
          <w:p w14:paraId="7F3778C3"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5,160</w:t>
            </w:r>
          </w:p>
        </w:tc>
        <w:tc>
          <w:tcPr>
            <w:tcW w:w="477" w:type="pct"/>
            <w:tcBorders>
              <w:top w:val="nil"/>
              <w:left w:val="nil"/>
              <w:bottom w:val="nil"/>
              <w:right w:val="nil"/>
            </w:tcBorders>
            <w:shd w:val="clear" w:color="auto" w:fill="auto"/>
            <w:noWrap/>
            <w:vAlign w:val="center"/>
            <w:hideMark/>
          </w:tcPr>
          <w:p w14:paraId="0E20C1F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10%</w:t>
            </w:r>
          </w:p>
        </w:tc>
        <w:tc>
          <w:tcPr>
            <w:tcW w:w="482" w:type="pct"/>
            <w:tcBorders>
              <w:top w:val="nil"/>
              <w:left w:val="nil"/>
              <w:bottom w:val="nil"/>
              <w:right w:val="nil"/>
            </w:tcBorders>
            <w:shd w:val="clear" w:color="auto" w:fill="auto"/>
            <w:noWrap/>
            <w:vAlign w:val="center"/>
            <w:hideMark/>
          </w:tcPr>
          <w:p w14:paraId="19BE9ED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21%</w:t>
            </w:r>
          </w:p>
        </w:tc>
        <w:tc>
          <w:tcPr>
            <w:tcW w:w="491" w:type="pct"/>
            <w:tcBorders>
              <w:top w:val="nil"/>
              <w:left w:val="nil"/>
              <w:bottom w:val="nil"/>
              <w:right w:val="nil"/>
            </w:tcBorders>
            <w:shd w:val="clear" w:color="auto" w:fill="auto"/>
            <w:noWrap/>
            <w:vAlign w:val="center"/>
            <w:hideMark/>
          </w:tcPr>
          <w:p w14:paraId="40DF693B"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28%</w:t>
            </w:r>
          </w:p>
        </w:tc>
        <w:tc>
          <w:tcPr>
            <w:tcW w:w="459" w:type="pct"/>
            <w:tcBorders>
              <w:top w:val="nil"/>
              <w:left w:val="nil"/>
              <w:bottom w:val="nil"/>
              <w:right w:val="nil"/>
            </w:tcBorders>
            <w:shd w:val="clear" w:color="auto" w:fill="auto"/>
            <w:noWrap/>
            <w:vAlign w:val="center"/>
            <w:hideMark/>
          </w:tcPr>
          <w:p w14:paraId="55D4C3D7"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42%</w:t>
            </w:r>
          </w:p>
        </w:tc>
        <w:tc>
          <w:tcPr>
            <w:tcW w:w="561" w:type="pct"/>
            <w:tcBorders>
              <w:top w:val="nil"/>
              <w:left w:val="nil"/>
              <w:bottom w:val="nil"/>
              <w:right w:val="nil"/>
            </w:tcBorders>
            <w:shd w:val="clear" w:color="auto" w:fill="auto"/>
            <w:noWrap/>
            <w:vAlign w:val="center"/>
            <w:hideMark/>
          </w:tcPr>
          <w:p w14:paraId="5E69ECEA"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53%</w:t>
            </w:r>
          </w:p>
        </w:tc>
        <w:tc>
          <w:tcPr>
            <w:tcW w:w="561" w:type="pct"/>
            <w:tcBorders>
              <w:top w:val="nil"/>
              <w:left w:val="nil"/>
              <w:bottom w:val="nil"/>
              <w:right w:val="nil"/>
            </w:tcBorders>
            <w:shd w:val="clear" w:color="auto" w:fill="auto"/>
            <w:noWrap/>
            <w:vAlign w:val="center"/>
            <w:hideMark/>
          </w:tcPr>
          <w:p w14:paraId="20B2B6B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47%</w:t>
            </w:r>
          </w:p>
        </w:tc>
        <w:tc>
          <w:tcPr>
            <w:tcW w:w="565" w:type="pct"/>
            <w:tcBorders>
              <w:top w:val="nil"/>
              <w:left w:val="nil"/>
              <w:bottom w:val="nil"/>
              <w:right w:val="nil"/>
            </w:tcBorders>
            <w:shd w:val="clear" w:color="auto" w:fill="auto"/>
            <w:noWrap/>
            <w:vAlign w:val="center"/>
            <w:hideMark/>
          </w:tcPr>
          <w:p w14:paraId="03190917"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37%</w:t>
            </w:r>
          </w:p>
        </w:tc>
      </w:tr>
      <w:tr w:rsidR="007508EF" w:rsidRPr="00C64BA4" w14:paraId="7641B087" w14:textId="77777777" w:rsidTr="007508EF">
        <w:trPr>
          <w:trHeight w:val="293"/>
        </w:trPr>
        <w:tc>
          <w:tcPr>
            <w:tcW w:w="725" w:type="pct"/>
            <w:tcBorders>
              <w:top w:val="single" w:sz="4" w:space="0" w:color="auto"/>
              <w:left w:val="nil"/>
              <w:bottom w:val="single" w:sz="4" w:space="0" w:color="auto"/>
              <w:right w:val="nil"/>
            </w:tcBorders>
            <w:shd w:val="clear" w:color="000000" w:fill="E7E6E6"/>
            <w:noWrap/>
            <w:vAlign w:val="center"/>
            <w:hideMark/>
          </w:tcPr>
          <w:p w14:paraId="781170D3"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Londonderry</w:t>
            </w:r>
          </w:p>
        </w:tc>
        <w:tc>
          <w:tcPr>
            <w:tcW w:w="679" w:type="pct"/>
            <w:tcBorders>
              <w:top w:val="nil"/>
              <w:left w:val="nil"/>
              <w:bottom w:val="single" w:sz="4" w:space="0" w:color="auto"/>
              <w:right w:val="nil"/>
            </w:tcBorders>
            <w:shd w:val="clear" w:color="000000" w:fill="E7E6E6"/>
            <w:noWrap/>
            <w:vAlign w:val="center"/>
            <w:hideMark/>
          </w:tcPr>
          <w:p w14:paraId="5022462A"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9,570</w:t>
            </w:r>
          </w:p>
        </w:tc>
        <w:tc>
          <w:tcPr>
            <w:tcW w:w="477" w:type="pct"/>
            <w:tcBorders>
              <w:top w:val="single" w:sz="4" w:space="0" w:color="auto"/>
              <w:left w:val="nil"/>
              <w:bottom w:val="single" w:sz="4" w:space="0" w:color="auto"/>
              <w:right w:val="nil"/>
            </w:tcBorders>
            <w:shd w:val="clear" w:color="000000" w:fill="E7E6E6"/>
            <w:noWrap/>
            <w:vAlign w:val="center"/>
            <w:hideMark/>
          </w:tcPr>
          <w:p w14:paraId="4DEA884E"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7%</w:t>
            </w:r>
          </w:p>
        </w:tc>
        <w:tc>
          <w:tcPr>
            <w:tcW w:w="482" w:type="pct"/>
            <w:tcBorders>
              <w:top w:val="single" w:sz="4" w:space="0" w:color="auto"/>
              <w:left w:val="nil"/>
              <w:bottom w:val="single" w:sz="4" w:space="0" w:color="auto"/>
              <w:right w:val="nil"/>
            </w:tcBorders>
            <w:shd w:val="clear" w:color="000000" w:fill="E7E6E6"/>
            <w:noWrap/>
            <w:vAlign w:val="center"/>
            <w:hideMark/>
          </w:tcPr>
          <w:p w14:paraId="397C0A6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16%</w:t>
            </w:r>
          </w:p>
        </w:tc>
        <w:tc>
          <w:tcPr>
            <w:tcW w:w="491" w:type="pct"/>
            <w:tcBorders>
              <w:top w:val="single" w:sz="4" w:space="0" w:color="auto"/>
              <w:left w:val="nil"/>
              <w:bottom w:val="single" w:sz="4" w:space="0" w:color="auto"/>
              <w:right w:val="nil"/>
            </w:tcBorders>
            <w:shd w:val="clear" w:color="000000" w:fill="E7E6E6"/>
            <w:noWrap/>
            <w:vAlign w:val="center"/>
            <w:hideMark/>
          </w:tcPr>
          <w:p w14:paraId="66A6F03F"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21%</w:t>
            </w:r>
          </w:p>
        </w:tc>
        <w:tc>
          <w:tcPr>
            <w:tcW w:w="459" w:type="pct"/>
            <w:tcBorders>
              <w:top w:val="single" w:sz="4" w:space="0" w:color="auto"/>
              <w:left w:val="nil"/>
              <w:bottom w:val="single" w:sz="4" w:space="0" w:color="auto"/>
              <w:right w:val="nil"/>
            </w:tcBorders>
            <w:shd w:val="clear" w:color="000000" w:fill="E7E6E6"/>
            <w:noWrap/>
            <w:vAlign w:val="center"/>
            <w:hideMark/>
          </w:tcPr>
          <w:p w14:paraId="2D5B85E4"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31%</w:t>
            </w:r>
          </w:p>
        </w:tc>
        <w:tc>
          <w:tcPr>
            <w:tcW w:w="561" w:type="pct"/>
            <w:tcBorders>
              <w:top w:val="single" w:sz="4" w:space="0" w:color="auto"/>
              <w:left w:val="nil"/>
              <w:bottom w:val="single" w:sz="4" w:space="0" w:color="auto"/>
              <w:right w:val="nil"/>
            </w:tcBorders>
            <w:shd w:val="clear" w:color="000000" w:fill="E7E6E6"/>
            <w:noWrap/>
            <w:vAlign w:val="center"/>
            <w:hideMark/>
          </w:tcPr>
          <w:p w14:paraId="2B2C4FF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40%</w:t>
            </w:r>
          </w:p>
        </w:tc>
        <w:tc>
          <w:tcPr>
            <w:tcW w:w="561" w:type="pct"/>
            <w:tcBorders>
              <w:top w:val="single" w:sz="4" w:space="0" w:color="auto"/>
              <w:left w:val="nil"/>
              <w:bottom w:val="single" w:sz="4" w:space="0" w:color="auto"/>
              <w:right w:val="nil"/>
            </w:tcBorders>
            <w:shd w:val="clear" w:color="000000" w:fill="E7E6E6"/>
            <w:noWrap/>
            <w:vAlign w:val="center"/>
            <w:hideMark/>
          </w:tcPr>
          <w:p w14:paraId="5E04DC9F"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60%</w:t>
            </w:r>
          </w:p>
        </w:tc>
        <w:tc>
          <w:tcPr>
            <w:tcW w:w="565" w:type="pct"/>
            <w:tcBorders>
              <w:top w:val="single" w:sz="4" w:space="0" w:color="auto"/>
              <w:left w:val="nil"/>
              <w:bottom w:val="single" w:sz="4" w:space="0" w:color="auto"/>
              <w:right w:val="nil"/>
            </w:tcBorders>
            <w:shd w:val="clear" w:color="000000" w:fill="E7E6E6"/>
            <w:noWrap/>
            <w:vAlign w:val="center"/>
            <w:hideMark/>
          </w:tcPr>
          <w:p w14:paraId="7B909F7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51%</w:t>
            </w:r>
          </w:p>
        </w:tc>
      </w:tr>
      <w:tr w:rsidR="007508EF" w:rsidRPr="00C64BA4" w14:paraId="76ADD4EE" w14:textId="77777777" w:rsidTr="007508EF">
        <w:trPr>
          <w:trHeight w:val="293"/>
        </w:trPr>
        <w:tc>
          <w:tcPr>
            <w:tcW w:w="725" w:type="pct"/>
            <w:tcBorders>
              <w:top w:val="nil"/>
              <w:left w:val="nil"/>
              <w:bottom w:val="nil"/>
              <w:right w:val="nil"/>
            </w:tcBorders>
            <w:shd w:val="clear" w:color="auto" w:fill="auto"/>
            <w:noWrap/>
            <w:vAlign w:val="center"/>
            <w:hideMark/>
          </w:tcPr>
          <w:p w14:paraId="511E1C42"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Manchester</w:t>
            </w:r>
          </w:p>
        </w:tc>
        <w:tc>
          <w:tcPr>
            <w:tcW w:w="679" w:type="pct"/>
            <w:tcBorders>
              <w:top w:val="nil"/>
              <w:left w:val="nil"/>
              <w:bottom w:val="single" w:sz="4" w:space="0" w:color="auto"/>
              <w:right w:val="nil"/>
            </w:tcBorders>
            <w:shd w:val="clear" w:color="auto" w:fill="auto"/>
            <w:noWrap/>
            <w:vAlign w:val="center"/>
            <w:hideMark/>
          </w:tcPr>
          <w:p w14:paraId="0B2EFB8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47,240</w:t>
            </w:r>
          </w:p>
        </w:tc>
        <w:tc>
          <w:tcPr>
            <w:tcW w:w="477" w:type="pct"/>
            <w:tcBorders>
              <w:top w:val="nil"/>
              <w:left w:val="nil"/>
              <w:bottom w:val="nil"/>
              <w:right w:val="nil"/>
            </w:tcBorders>
            <w:shd w:val="clear" w:color="auto" w:fill="auto"/>
            <w:noWrap/>
            <w:vAlign w:val="center"/>
            <w:hideMark/>
          </w:tcPr>
          <w:p w14:paraId="24732A14"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18%</w:t>
            </w:r>
          </w:p>
        </w:tc>
        <w:tc>
          <w:tcPr>
            <w:tcW w:w="482" w:type="pct"/>
            <w:tcBorders>
              <w:top w:val="nil"/>
              <w:left w:val="nil"/>
              <w:bottom w:val="nil"/>
              <w:right w:val="nil"/>
            </w:tcBorders>
            <w:shd w:val="clear" w:color="auto" w:fill="auto"/>
            <w:noWrap/>
            <w:vAlign w:val="center"/>
            <w:hideMark/>
          </w:tcPr>
          <w:p w14:paraId="71220D2A"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34%</w:t>
            </w:r>
          </w:p>
        </w:tc>
        <w:tc>
          <w:tcPr>
            <w:tcW w:w="491" w:type="pct"/>
            <w:tcBorders>
              <w:top w:val="nil"/>
              <w:left w:val="nil"/>
              <w:bottom w:val="nil"/>
              <w:right w:val="nil"/>
            </w:tcBorders>
            <w:shd w:val="clear" w:color="auto" w:fill="auto"/>
            <w:noWrap/>
            <w:vAlign w:val="center"/>
            <w:hideMark/>
          </w:tcPr>
          <w:p w14:paraId="4260048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41%</w:t>
            </w:r>
          </w:p>
        </w:tc>
        <w:tc>
          <w:tcPr>
            <w:tcW w:w="459" w:type="pct"/>
            <w:tcBorders>
              <w:top w:val="nil"/>
              <w:left w:val="nil"/>
              <w:bottom w:val="nil"/>
              <w:right w:val="nil"/>
            </w:tcBorders>
            <w:shd w:val="clear" w:color="auto" w:fill="auto"/>
            <w:noWrap/>
            <w:vAlign w:val="center"/>
            <w:hideMark/>
          </w:tcPr>
          <w:p w14:paraId="789AD468"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55%</w:t>
            </w:r>
          </w:p>
        </w:tc>
        <w:tc>
          <w:tcPr>
            <w:tcW w:w="561" w:type="pct"/>
            <w:tcBorders>
              <w:top w:val="nil"/>
              <w:left w:val="nil"/>
              <w:bottom w:val="nil"/>
              <w:right w:val="nil"/>
            </w:tcBorders>
            <w:shd w:val="clear" w:color="auto" w:fill="auto"/>
            <w:noWrap/>
            <w:vAlign w:val="center"/>
            <w:hideMark/>
          </w:tcPr>
          <w:p w14:paraId="66D3956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66%</w:t>
            </w:r>
          </w:p>
        </w:tc>
        <w:tc>
          <w:tcPr>
            <w:tcW w:w="561" w:type="pct"/>
            <w:tcBorders>
              <w:top w:val="nil"/>
              <w:left w:val="nil"/>
              <w:bottom w:val="nil"/>
              <w:right w:val="nil"/>
            </w:tcBorders>
            <w:shd w:val="clear" w:color="auto" w:fill="auto"/>
            <w:noWrap/>
            <w:vAlign w:val="center"/>
            <w:hideMark/>
          </w:tcPr>
          <w:p w14:paraId="5E17D242"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34%</w:t>
            </w:r>
          </w:p>
        </w:tc>
        <w:tc>
          <w:tcPr>
            <w:tcW w:w="565" w:type="pct"/>
            <w:tcBorders>
              <w:top w:val="nil"/>
              <w:left w:val="nil"/>
              <w:bottom w:val="nil"/>
              <w:right w:val="nil"/>
            </w:tcBorders>
            <w:shd w:val="clear" w:color="auto" w:fill="auto"/>
            <w:noWrap/>
            <w:vAlign w:val="center"/>
            <w:hideMark/>
          </w:tcPr>
          <w:p w14:paraId="52EA0425"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25%</w:t>
            </w:r>
          </w:p>
        </w:tc>
      </w:tr>
      <w:tr w:rsidR="007508EF" w:rsidRPr="00C64BA4" w14:paraId="1CD2C544" w14:textId="77777777" w:rsidTr="007508EF">
        <w:trPr>
          <w:trHeight w:val="293"/>
        </w:trPr>
        <w:tc>
          <w:tcPr>
            <w:tcW w:w="725" w:type="pct"/>
            <w:tcBorders>
              <w:top w:val="single" w:sz="4" w:space="0" w:color="auto"/>
              <w:left w:val="nil"/>
              <w:bottom w:val="single" w:sz="4" w:space="0" w:color="auto"/>
              <w:right w:val="nil"/>
            </w:tcBorders>
            <w:shd w:val="clear" w:color="000000" w:fill="E7E6E6"/>
            <w:noWrap/>
            <w:vAlign w:val="center"/>
            <w:hideMark/>
          </w:tcPr>
          <w:p w14:paraId="05CEB855"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New Boston</w:t>
            </w:r>
          </w:p>
        </w:tc>
        <w:tc>
          <w:tcPr>
            <w:tcW w:w="679" w:type="pct"/>
            <w:tcBorders>
              <w:top w:val="nil"/>
              <w:left w:val="nil"/>
              <w:bottom w:val="single" w:sz="4" w:space="0" w:color="auto"/>
              <w:right w:val="nil"/>
            </w:tcBorders>
            <w:shd w:val="clear" w:color="000000" w:fill="E7E6E6"/>
            <w:noWrap/>
            <w:vAlign w:val="center"/>
            <w:hideMark/>
          </w:tcPr>
          <w:p w14:paraId="668250BF"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2,120</w:t>
            </w:r>
          </w:p>
        </w:tc>
        <w:tc>
          <w:tcPr>
            <w:tcW w:w="477" w:type="pct"/>
            <w:tcBorders>
              <w:top w:val="single" w:sz="4" w:space="0" w:color="auto"/>
              <w:left w:val="nil"/>
              <w:bottom w:val="single" w:sz="4" w:space="0" w:color="auto"/>
              <w:right w:val="nil"/>
            </w:tcBorders>
            <w:shd w:val="clear" w:color="000000" w:fill="E7E6E6"/>
            <w:noWrap/>
            <w:vAlign w:val="center"/>
            <w:hideMark/>
          </w:tcPr>
          <w:p w14:paraId="30608E3F"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w:t>
            </w:r>
          </w:p>
        </w:tc>
        <w:tc>
          <w:tcPr>
            <w:tcW w:w="482" w:type="pct"/>
            <w:tcBorders>
              <w:top w:val="single" w:sz="4" w:space="0" w:color="auto"/>
              <w:left w:val="nil"/>
              <w:bottom w:val="single" w:sz="4" w:space="0" w:color="auto"/>
              <w:right w:val="nil"/>
            </w:tcBorders>
            <w:shd w:val="clear" w:color="000000" w:fill="E7E6E6"/>
            <w:noWrap/>
            <w:vAlign w:val="center"/>
            <w:hideMark/>
          </w:tcPr>
          <w:p w14:paraId="033DDF15"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10%</w:t>
            </w:r>
          </w:p>
        </w:tc>
        <w:tc>
          <w:tcPr>
            <w:tcW w:w="491" w:type="pct"/>
            <w:tcBorders>
              <w:top w:val="single" w:sz="4" w:space="0" w:color="auto"/>
              <w:left w:val="nil"/>
              <w:bottom w:val="single" w:sz="4" w:space="0" w:color="auto"/>
              <w:right w:val="nil"/>
            </w:tcBorders>
            <w:shd w:val="clear" w:color="000000" w:fill="E7E6E6"/>
            <w:noWrap/>
            <w:vAlign w:val="center"/>
            <w:hideMark/>
          </w:tcPr>
          <w:p w14:paraId="77A3D416"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12%</w:t>
            </w:r>
          </w:p>
        </w:tc>
        <w:tc>
          <w:tcPr>
            <w:tcW w:w="459" w:type="pct"/>
            <w:tcBorders>
              <w:top w:val="single" w:sz="4" w:space="0" w:color="auto"/>
              <w:left w:val="nil"/>
              <w:bottom w:val="single" w:sz="4" w:space="0" w:color="auto"/>
              <w:right w:val="nil"/>
            </w:tcBorders>
            <w:shd w:val="clear" w:color="000000" w:fill="E7E6E6"/>
            <w:noWrap/>
            <w:vAlign w:val="center"/>
            <w:hideMark/>
          </w:tcPr>
          <w:p w14:paraId="630C3752"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19%</w:t>
            </w:r>
          </w:p>
        </w:tc>
        <w:tc>
          <w:tcPr>
            <w:tcW w:w="561" w:type="pct"/>
            <w:tcBorders>
              <w:top w:val="single" w:sz="4" w:space="0" w:color="auto"/>
              <w:left w:val="nil"/>
              <w:bottom w:val="single" w:sz="4" w:space="0" w:color="auto"/>
              <w:right w:val="nil"/>
            </w:tcBorders>
            <w:shd w:val="clear" w:color="000000" w:fill="E7E6E6"/>
            <w:noWrap/>
            <w:vAlign w:val="center"/>
            <w:hideMark/>
          </w:tcPr>
          <w:p w14:paraId="66B321C6"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31%</w:t>
            </w:r>
          </w:p>
        </w:tc>
        <w:tc>
          <w:tcPr>
            <w:tcW w:w="561" w:type="pct"/>
            <w:tcBorders>
              <w:top w:val="single" w:sz="4" w:space="0" w:color="auto"/>
              <w:left w:val="nil"/>
              <w:bottom w:val="single" w:sz="4" w:space="0" w:color="auto"/>
              <w:right w:val="nil"/>
            </w:tcBorders>
            <w:shd w:val="clear" w:color="000000" w:fill="E7E6E6"/>
            <w:noWrap/>
            <w:vAlign w:val="center"/>
            <w:hideMark/>
          </w:tcPr>
          <w:p w14:paraId="012392B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69%</w:t>
            </w:r>
          </w:p>
        </w:tc>
        <w:tc>
          <w:tcPr>
            <w:tcW w:w="565" w:type="pct"/>
            <w:tcBorders>
              <w:top w:val="single" w:sz="4" w:space="0" w:color="auto"/>
              <w:left w:val="nil"/>
              <w:bottom w:val="single" w:sz="4" w:space="0" w:color="auto"/>
              <w:right w:val="nil"/>
            </w:tcBorders>
            <w:shd w:val="clear" w:color="000000" w:fill="E7E6E6"/>
            <w:noWrap/>
            <w:vAlign w:val="center"/>
            <w:hideMark/>
          </w:tcPr>
          <w:p w14:paraId="4CC0D5B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58%</w:t>
            </w:r>
          </w:p>
        </w:tc>
      </w:tr>
      <w:tr w:rsidR="007508EF" w:rsidRPr="00C64BA4" w14:paraId="69FD8532" w14:textId="77777777" w:rsidTr="007508EF">
        <w:trPr>
          <w:trHeight w:val="293"/>
        </w:trPr>
        <w:tc>
          <w:tcPr>
            <w:tcW w:w="725" w:type="pct"/>
            <w:tcBorders>
              <w:top w:val="nil"/>
              <w:left w:val="nil"/>
              <w:bottom w:val="single" w:sz="4" w:space="0" w:color="auto"/>
              <w:right w:val="nil"/>
            </w:tcBorders>
            <w:shd w:val="clear" w:color="auto" w:fill="auto"/>
            <w:noWrap/>
            <w:vAlign w:val="center"/>
            <w:hideMark/>
          </w:tcPr>
          <w:p w14:paraId="5CE6781A" w14:textId="77777777" w:rsidR="00522A9D" w:rsidRPr="00C64BA4" w:rsidRDefault="00522A9D" w:rsidP="00206C45">
            <w:pPr>
              <w:spacing w:after="0" w:line="300" w:lineRule="auto"/>
              <w:jc w:val="center"/>
              <w:rPr>
                <w:rFonts w:eastAsia="Times New Roman" w:cs="Calibri"/>
                <w:color w:val="000000"/>
              </w:rPr>
            </w:pPr>
            <w:proofErr w:type="spellStart"/>
            <w:r w:rsidRPr="00C64BA4">
              <w:rPr>
                <w:rFonts w:eastAsia="Times New Roman" w:cs="Calibri"/>
                <w:color w:val="000000"/>
              </w:rPr>
              <w:t>Weare</w:t>
            </w:r>
            <w:proofErr w:type="spellEnd"/>
          </w:p>
        </w:tc>
        <w:tc>
          <w:tcPr>
            <w:tcW w:w="679" w:type="pct"/>
            <w:tcBorders>
              <w:top w:val="nil"/>
              <w:left w:val="nil"/>
              <w:bottom w:val="single" w:sz="4" w:space="0" w:color="auto"/>
              <w:right w:val="nil"/>
            </w:tcBorders>
            <w:shd w:val="clear" w:color="auto" w:fill="auto"/>
            <w:noWrap/>
            <w:vAlign w:val="center"/>
            <w:hideMark/>
          </w:tcPr>
          <w:p w14:paraId="109A5258"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3,280</w:t>
            </w:r>
          </w:p>
        </w:tc>
        <w:tc>
          <w:tcPr>
            <w:tcW w:w="477" w:type="pct"/>
            <w:tcBorders>
              <w:top w:val="nil"/>
              <w:left w:val="nil"/>
              <w:bottom w:val="nil"/>
              <w:right w:val="nil"/>
            </w:tcBorders>
            <w:shd w:val="clear" w:color="auto" w:fill="auto"/>
            <w:noWrap/>
            <w:vAlign w:val="center"/>
            <w:hideMark/>
          </w:tcPr>
          <w:p w14:paraId="0B55A5BB"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13%</w:t>
            </w:r>
          </w:p>
        </w:tc>
        <w:tc>
          <w:tcPr>
            <w:tcW w:w="482" w:type="pct"/>
            <w:tcBorders>
              <w:top w:val="nil"/>
              <w:left w:val="nil"/>
              <w:bottom w:val="nil"/>
              <w:right w:val="nil"/>
            </w:tcBorders>
            <w:shd w:val="clear" w:color="auto" w:fill="auto"/>
            <w:noWrap/>
            <w:vAlign w:val="center"/>
            <w:hideMark/>
          </w:tcPr>
          <w:p w14:paraId="6FC3AD67"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19%</w:t>
            </w:r>
          </w:p>
        </w:tc>
        <w:tc>
          <w:tcPr>
            <w:tcW w:w="491" w:type="pct"/>
            <w:tcBorders>
              <w:top w:val="nil"/>
              <w:left w:val="nil"/>
              <w:bottom w:val="nil"/>
              <w:right w:val="nil"/>
            </w:tcBorders>
            <w:shd w:val="clear" w:color="auto" w:fill="auto"/>
            <w:noWrap/>
            <w:vAlign w:val="center"/>
            <w:hideMark/>
          </w:tcPr>
          <w:p w14:paraId="40E04AA5"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24%</w:t>
            </w:r>
          </w:p>
        </w:tc>
        <w:tc>
          <w:tcPr>
            <w:tcW w:w="459" w:type="pct"/>
            <w:tcBorders>
              <w:top w:val="nil"/>
              <w:left w:val="nil"/>
              <w:bottom w:val="nil"/>
              <w:right w:val="nil"/>
            </w:tcBorders>
            <w:shd w:val="clear" w:color="auto" w:fill="auto"/>
            <w:noWrap/>
            <w:vAlign w:val="center"/>
            <w:hideMark/>
          </w:tcPr>
          <w:p w14:paraId="779C6A17"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31%</w:t>
            </w:r>
          </w:p>
        </w:tc>
        <w:tc>
          <w:tcPr>
            <w:tcW w:w="561" w:type="pct"/>
            <w:tcBorders>
              <w:top w:val="nil"/>
              <w:left w:val="nil"/>
              <w:bottom w:val="nil"/>
              <w:right w:val="nil"/>
            </w:tcBorders>
            <w:shd w:val="clear" w:color="auto" w:fill="auto"/>
            <w:noWrap/>
            <w:vAlign w:val="center"/>
            <w:hideMark/>
          </w:tcPr>
          <w:p w14:paraId="469EDF8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45%</w:t>
            </w:r>
          </w:p>
        </w:tc>
        <w:tc>
          <w:tcPr>
            <w:tcW w:w="561" w:type="pct"/>
            <w:tcBorders>
              <w:top w:val="nil"/>
              <w:left w:val="nil"/>
              <w:bottom w:val="nil"/>
              <w:right w:val="nil"/>
            </w:tcBorders>
            <w:shd w:val="clear" w:color="auto" w:fill="auto"/>
            <w:noWrap/>
            <w:vAlign w:val="center"/>
            <w:hideMark/>
          </w:tcPr>
          <w:p w14:paraId="57F1281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55%</w:t>
            </w:r>
          </w:p>
        </w:tc>
        <w:tc>
          <w:tcPr>
            <w:tcW w:w="565" w:type="pct"/>
            <w:tcBorders>
              <w:top w:val="nil"/>
              <w:left w:val="nil"/>
              <w:bottom w:val="nil"/>
              <w:right w:val="nil"/>
            </w:tcBorders>
            <w:shd w:val="clear" w:color="auto" w:fill="auto"/>
            <w:noWrap/>
            <w:vAlign w:val="center"/>
            <w:hideMark/>
          </w:tcPr>
          <w:p w14:paraId="599CA89D"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43%</w:t>
            </w:r>
          </w:p>
        </w:tc>
      </w:tr>
      <w:tr w:rsidR="007508EF" w:rsidRPr="00C64BA4" w14:paraId="26F15B09" w14:textId="77777777" w:rsidTr="007508EF">
        <w:trPr>
          <w:trHeight w:val="310"/>
        </w:trPr>
        <w:tc>
          <w:tcPr>
            <w:tcW w:w="725" w:type="pct"/>
            <w:tcBorders>
              <w:top w:val="nil"/>
              <w:left w:val="nil"/>
              <w:bottom w:val="single" w:sz="4" w:space="0" w:color="auto"/>
              <w:right w:val="nil"/>
            </w:tcBorders>
            <w:shd w:val="clear" w:color="000000" w:fill="E7E6E6"/>
            <w:noWrap/>
            <w:vAlign w:val="center"/>
            <w:hideMark/>
          </w:tcPr>
          <w:p w14:paraId="3DEBBA2A"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Windham</w:t>
            </w:r>
          </w:p>
        </w:tc>
        <w:tc>
          <w:tcPr>
            <w:tcW w:w="679" w:type="pct"/>
            <w:tcBorders>
              <w:top w:val="nil"/>
              <w:left w:val="nil"/>
              <w:bottom w:val="single" w:sz="4" w:space="0" w:color="auto"/>
              <w:right w:val="nil"/>
            </w:tcBorders>
            <w:shd w:val="clear" w:color="000000" w:fill="E7E6E6"/>
            <w:noWrap/>
            <w:vAlign w:val="center"/>
            <w:hideMark/>
          </w:tcPr>
          <w:p w14:paraId="17519F6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5,020</w:t>
            </w:r>
          </w:p>
        </w:tc>
        <w:tc>
          <w:tcPr>
            <w:tcW w:w="477" w:type="pct"/>
            <w:tcBorders>
              <w:top w:val="single" w:sz="4" w:space="0" w:color="auto"/>
              <w:left w:val="nil"/>
              <w:bottom w:val="single" w:sz="4" w:space="0" w:color="auto"/>
              <w:right w:val="nil"/>
            </w:tcBorders>
            <w:shd w:val="clear" w:color="000000" w:fill="E7E6E6"/>
            <w:noWrap/>
            <w:vAlign w:val="center"/>
            <w:hideMark/>
          </w:tcPr>
          <w:p w14:paraId="315DB49F"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6%</w:t>
            </w:r>
          </w:p>
        </w:tc>
        <w:tc>
          <w:tcPr>
            <w:tcW w:w="482" w:type="pct"/>
            <w:tcBorders>
              <w:top w:val="single" w:sz="4" w:space="0" w:color="auto"/>
              <w:left w:val="nil"/>
              <w:bottom w:val="single" w:sz="4" w:space="0" w:color="auto"/>
              <w:right w:val="nil"/>
            </w:tcBorders>
            <w:shd w:val="clear" w:color="000000" w:fill="E7E6E6"/>
            <w:noWrap/>
            <w:vAlign w:val="center"/>
            <w:hideMark/>
          </w:tcPr>
          <w:p w14:paraId="72E70F0D"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10%</w:t>
            </w:r>
          </w:p>
        </w:tc>
        <w:tc>
          <w:tcPr>
            <w:tcW w:w="491" w:type="pct"/>
            <w:tcBorders>
              <w:top w:val="single" w:sz="4" w:space="0" w:color="auto"/>
              <w:left w:val="nil"/>
              <w:bottom w:val="single" w:sz="4" w:space="0" w:color="auto"/>
              <w:right w:val="nil"/>
            </w:tcBorders>
            <w:shd w:val="clear" w:color="000000" w:fill="E7E6E6"/>
            <w:noWrap/>
            <w:vAlign w:val="center"/>
            <w:hideMark/>
          </w:tcPr>
          <w:p w14:paraId="25395704"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13%</w:t>
            </w:r>
          </w:p>
        </w:tc>
        <w:tc>
          <w:tcPr>
            <w:tcW w:w="459" w:type="pct"/>
            <w:tcBorders>
              <w:top w:val="single" w:sz="4" w:space="0" w:color="auto"/>
              <w:left w:val="nil"/>
              <w:bottom w:val="single" w:sz="4" w:space="0" w:color="auto"/>
              <w:right w:val="nil"/>
            </w:tcBorders>
            <w:shd w:val="clear" w:color="000000" w:fill="E7E6E6"/>
            <w:noWrap/>
            <w:vAlign w:val="center"/>
            <w:hideMark/>
          </w:tcPr>
          <w:p w14:paraId="23CC0082"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20%</w:t>
            </w:r>
          </w:p>
        </w:tc>
        <w:tc>
          <w:tcPr>
            <w:tcW w:w="561" w:type="pct"/>
            <w:tcBorders>
              <w:top w:val="single" w:sz="4" w:space="0" w:color="auto"/>
              <w:left w:val="nil"/>
              <w:bottom w:val="single" w:sz="4" w:space="0" w:color="auto"/>
              <w:right w:val="nil"/>
            </w:tcBorders>
            <w:shd w:val="clear" w:color="000000" w:fill="E7E6E6"/>
            <w:noWrap/>
            <w:vAlign w:val="center"/>
            <w:hideMark/>
          </w:tcPr>
          <w:p w14:paraId="643C3CB6"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27%</w:t>
            </w:r>
          </w:p>
        </w:tc>
        <w:tc>
          <w:tcPr>
            <w:tcW w:w="561" w:type="pct"/>
            <w:tcBorders>
              <w:top w:val="single" w:sz="4" w:space="0" w:color="auto"/>
              <w:left w:val="nil"/>
              <w:bottom w:val="single" w:sz="4" w:space="0" w:color="auto"/>
              <w:right w:val="nil"/>
            </w:tcBorders>
            <w:shd w:val="clear" w:color="000000" w:fill="E7E6E6"/>
            <w:noWrap/>
            <w:vAlign w:val="center"/>
            <w:hideMark/>
          </w:tcPr>
          <w:p w14:paraId="75F208E0"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73%</w:t>
            </w:r>
          </w:p>
        </w:tc>
        <w:tc>
          <w:tcPr>
            <w:tcW w:w="565" w:type="pct"/>
            <w:tcBorders>
              <w:top w:val="single" w:sz="4" w:space="0" w:color="auto"/>
              <w:left w:val="nil"/>
              <w:bottom w:val="single" w:sz="4" w:space="0" w:color="auto"/>
              <w:right w:val="nil"/>
            </w:tcBorders>
            <w:shd w:val="clear" w:color="000000" w:fill="E7E6E6"/>
            <w:noWrap/>
            <w:vAlign w:val="center"/>
            <w:hideMark/>
          </w:tcPr>
          <w:p w14:paraId="614B75C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67%</w:t>
            </w:r>
          </w:p>
        </w:tc>
      </w:tr>
      <w:tr w:rsidR="007508EF" w:rsidRPr="00C64BA4" w14:paraId="3AFA7178" w14:textId="77777777" w:rsidTr="007508EF">
        <w:trPr>
          <w:trHeight w:val="293"/>
        </w:trPr>
        <w:tc>
          <w:tcPr>
            <w:tcW w:w="725" w:type="pct"/>
            <w:tcBorders>
              <w:top w:val="nil"/>
              <w:left w:val="nil"/>
              <w:bottom w:val="nil"/>
              <w:right w:val="nil"/>
            </w:tcBorders>
            <w:shd w:val="clear" w:color="auto" w:fill="auto"/>
            <w:noWrap/>
            <w:vAlign w:val="bottom"/>
            <w:hideMark/>
          </w:tcPr>
          <w:p w14:paraId="143E2DA8"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SNHPC</w:t>
            </w:r>
          </w:p>
        </w:tc>
        <w:tc>
          <w:tcPr>
            <w:tcW w:w="679" w:type="pct"/>
            <w:tcBorders>
              <w:top w:val="nil"/>
              <w:left w:val="nil"/>
              <w:bottom w:val="single" w:sz="4" w:space="0" w:color="auto"/>
              <w:right w:val="nil"/>
            </w:tcBorders>
            <w:shd w:val="clear" w:color="auto" w:fill="auto"/>
            <w:noWrap/>
            <w:vAlign w:val="center"/>
            <w:hideMark/>
          </w:tcPr>
          <w:p w14:paraId="306A4127"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106,710</w:t>
            </w:r>
          </w:p>
        </w:tc>
        <w:tc>
          <w:tcPr>
            <w:tcW w:w="477" w:type="pct"/>
            <w:tcBorders>
              <w:top w:val="nil"/>
              <w:left w:val="nil"/>
              <w:bottom w:val="nil"/>
              <w:right w:val="nil"/>
            </w:tcBorders>
            <w:shd w:val="clear" w:color="auto" w:fill="auto"/>
            <w:noWrap/>
            <w:vAlign w:val="center"/>
            <w:hideMark/>
          </w:tcPr>
          <w:p w14:paraId="775234B4"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13%</w:t>
            </w:r>
          </w:p>
        </w:tc>
        <w:tc>
          <w:tcPr>
            <w:tcW w:w="482" w:type="pct"/>
            <w:tcBorders>
              <w:top w:val="nil"/>
              <w:left w:val="nil"/>
              <w:bottom w:val="nil"/>
              <w:right w:val="nil"/>
            </w:tcBorders>
            <w:shd w:val="clear" w:color="auto" w:fill="auto"/>
            <w:noWrap/>
            <w:vAlign w:val="center"/>
            <w:hideMark/>
          </w:tcPr>
          <w:p w14:paraId="27BCDECB"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25%</w:t>
            </w:r>
          </w:p>
        </w:tc>
        <w:tc>
          <w:tcPr>
            <w:tcW w:w="491" w:type="pct"/>
            <w:tcBorders>
              <w:top w:val="nil"/>
              <w:left w:val="nil"/>
              <w:bottom w:val="nil"/>
              <w:right w:val="nil"/>
            </w:tcBorders>
            <w:shd w:val="clear" w:color="auto" w:fill="auto"/>
            <w:noWrap/>
            <w:vAlign w:val="center"/>
            <w:hideMark/>
          </w:tcPr>
          <w:p w14:paraId="13BBDFE6"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31%</w:t>
            </w:r>
          </w:p>
        </w:tc>
        <w:tc>
          <w:tcPr>
            <w:tcW w:w="459" w:type="pct"/>
            <w:tcBorders>
              <w:top w:val="nil"/>
              <w:left w:val="nil"/>
              <w:bottom w:val="nil"/>
              <w:right w:val="nil"/>
            </w:tcBorders>
            <w:shd w:val="clear" w:color="auto" w:fill="auto"/>
            <w:noWrap/>
            <w:vAlign w:val="center"/>
            <w:hideMark/>
          </w:tcPr>
          <w:p w14:paraId="29893F57"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42%</w:t>
            </w:r>
          </w:p>
        </w:tc>
        <w:tc>
          <w:tcPr>
            <w:tcW w:w="561" w:type="pct"/>
            <w:tcBorders>
              <w:top w:val="nil"/>
              <w:left w:val="nil"/>
              <w:bottom w:val="nil"/>
              <w:right w:val="nil"/>
            </w:tcBorders>
            <w:shd w:val="clear" w:color="auto" w:fill="auto"/>
            <w:noWrap/>
            <w:vAlign w:val="center"/>
            <w:hideMark/>
          </w:tcPr>
          <w:p w14:paraId="114FBCB5"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53%</w:t>
            </w:r>
          </w:p>
        </w:tc>
        <w:tc>
          <w:tcPr>
            <w:tcW w:w="561" w:type="pct"/>
            <w:tcBorders>
              <w:top w:val="nil"/>
              <w:left w:val="nil"/>
              <w:bottom w:val="nil"/>
              <w:right w:val="nil"/>
            </w:tcBorders>
            <w:shd w:val="clear" w:color="auto" w:fill="auto"/>
            <w:noWrap/>
            <w:vAlign w:val="center"/>
            <w:hideMark/>
          </w:tcPr>
          <w:p w14:paraId="3B0725E6"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47%</w:t>
            </w:r>
          </w:p>
        </w:tc>
        <w:tc>
          <w:tcPr>
            <w:tcW w:w="565" w:type="pct"/>
            <w:tcBorders>
              <w:top w:val="nil"/>
              <w:left w:val="nil"/>
              <w:bottom w:val="nil"/>
              <w:right w:val="nil"/>
            </w:tcBorders>
            <w:shd w:val="clear" w:color="auto" w:fill="auto"/>
            <w:noWrap/>
            <w:vAlign w:val="center"/>
            <w:hideMark/>
          </w:tcPr>
          <w:p w14:paraId="1C45C099"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38%</w:t>
            </w:r>
          </w:p>
        </w:tc>
      </w:tr>
      <w:tr w:rsidR="007508EF" w:rsidRPr="00C64BA4" w14:paraId="1A4B7B56" w14:textId="77777777" w:rsidTr="007508EF">
        <w:trPr>
          <w:trHeight w:val="293"/>
        </w:trPr>
        <w:tc>
          <w:tcPr>
            <w:tcW w:w="725" w:type="pct"/>
            <w:tcBorders>
              <w:top w:val="single" w:sz="4" w:space="0" w:color="auto"/>
              <w:left w:val="nil"/>
              <w:bottom w:val="nil"/>
              <w:right w:val="nil"/>
            </w:tcBorders>
            <w:shd w:val="clear" w:color="000000" w:fill="E7E6E6"/>
            <w:noWrap/>
            <w:vAlign w:val="bottom"/>
            <w:hideMark/>
          </w:tcPr>
          <w:p w14:paraId="34DFD1CD"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NH</w:t>
            </w:r>
          </w:p>
        </w:tc>
        <w:tc>
          <w:tcPr>
            <w:tcW w:w="679" w:type="pct"/>
            <w:tcBorders>
              <w:top w:val="nil"/>
              <w:left w:val="nil"/>
              <w:bottom w:val="nil"/>
              <w:right w:val="nil"/>
            </w:tcBorders>
            <w:shd w:val="clear" w:color="000000" w:fill="E7E6E6"/>
            <w:noWrap/>
            <w:vAlign w:val="center"/>
            <w:hideMark/>
          </w:tcPr>
          <w:p w14:paraId="09806AB6"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539,120</w:t>
            </w:r>
          </w:p>
        </w:tc>
        <w:tc>
          <w:tcPr>
            <w:tcW w:w="477" w:type="pct"/>
            <w:tcBorders>
              <w:top w:val="single" w:sz="4" w:space="0" w:color="auto"/>
              <w:left w:val="nil"/>
              <w:bottom w:val="nil"/>
              <w:right w:val="nil"/>
            </w:tcBorders>
            <w:shd w:val="clear" w:color="000000" w:fill="E7E6E6"/>
            <w:noWrap/>
            <w:vAlign w:val="center"/>
            <w:hideMark/>
          </w:tcPr>
          <w:p w14:paraId="1E8A754D"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15%</w:t>
            </w:r>
          </w:p>
        </w:tc>
        <w:tc>
          <w:tcPr>
            <w:tcW w:w="482" w:type="pct"/>
            <w:tcBorders>
              <w:top w:val="single" w:sz="4" w:space="0" w:color="auto"/>
              <w:left w:val="nil"/>
              <w:bottom w:val="nil"/>
              <w:right w:val="nil"/>
            </w:tcBorders>
            <w:shd w:val="clear" w:color="000000" w:fill="E7E6E6"/>
            <w:noWrap/>
            <w:vAlign w:val="center"/>
            <w:hideMark/>
          </w:tcPr>
          <w:p w14:paraId="40C2D2C1"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28%</w:t>
            </w:r>
          </w:p>
        </w:tc>
        <w:tc>
          <w:tcPr>
            <w:tcW w:w="491" w:type="pct"/>
            <w:tcBorders>
              <w:top w:val="single" w:sz="4" w:space="0" w:color="auto"/>
              <w:left w:val="nil"/>
              <w:bottom w:val="nil"/>
              <w:right w:val="nil"/>
            </w:tcBorders>
            <w:shd w:val="clear" w:color="000000" w:fill="E7E6E6"/>
            <w:noWrap/>
            <w:vAlign w:val="center"/>
            <w:hideMark/>
          </w:tcPr>
          <w:p w14:paraId="0D1C1068"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34%</w:t>
            </w:r>
          </w:p>
        </w:tc>
        <w:tc>
          <w:tcPr>
            <w:tcW w:w="459" w:type="pct"/>
            <w:tcBorders>
              <w:top w:val="single" w:sz="4" w:space="0" w:color="auto"/>
              <w:left w:val="nil"/>
              <w:bottom w:val="nil"/>
              <w:right w:val="nil"/>
            </w:tcBorders>
            <w:shd w:val="clear" w:color="000000" w:fill="E7E6E6"/>
            <w:noWrap/>
            <w:vAlign w:val="center"/>
            <w:hideMark/>
          </w:tcPr>
          <w:p w14:paraId="08AE148A"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47%</w:t>
            </w:r>
          </w:p>
        </w:tc>
        <w:tc>
          <w:tcPr>
            <w:tcW w:w="561" w:type="pct"/>
            <w:tcBorders>
              <w:top w:val="single" w:sz="4" w:space="0" w:color="auto"/>
              <w:left w:val="nil"/>
              <w:bottom w:val="nil"/>
              <w:right w:val="nil"/>
            </w:tcBorders>
            <w:shd w:val="clear" w:color="000000" w:fill="E7E6E6"/>
            <w:noWrap/>
            <w:vAlign w:val="center"/>
            <w:hideMark/>
          </w:tcPr>
          <w:p w14:paraId="1956B2CC"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58%</w:t>
            </w:r>
          </w:p>
        </w:tc>
        <w:tc>
          <w:tcPr>
            <w:tcW w:w="561" w:type="pct"/>
            <w:tcBorders>
              <w:top w:val="single" w:sz="4" w:space="0" w:color="auto"/>
              <w:left w:val="nil"/>
              <w:bottom w:val="nil"/>
              <w:right w:val="nil"/>
            </w:tcBorders>
            <w:shd w:val="clear" w:color="000000" w:fill="E7E6E6"/>
            <w:noWrap/>
            <w:vAlign w:val="center"/>
            <w:hideMark/>
          </w:tcPr>
          <w:p w14:paraId="2E160C95"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42%</w:t>
            </w:r>
          </w:p>
        </w:tc>
        <w:tc>
          <w:tcPr>
            <w:tcW w:w="565" w:type="pct"/>
            <w:tcBorders>
              <w:top w:val="single" w:sz="4" w:space="0" w:color="auto"/>
              <w:left w:val="nil"/>
              <w:bottom w:val="nil"/>
              <w:right w:val="nil"/>
            </w:tcBorders>
            <w:shd w:val="clear" w:color="000000" w:fill="E7E6E6"/>
            <w:noWrap/>
            <w:vAlign w:val="center"/>
            <w:hideMark/>
          </w:tcPr>
          <w:p w14:paraId="1EED8D1E" w14:textId="77777777" w:rsidR="00522A9D" w:rsidRPr="00C64BA4" w:rsidRDefault="00522A9D" w:rsidP="00206C45">
            <w:pPr>
              <w:spacing w:after="0" w:line="300" w:lineRule="auto"/>
              <w:jc w:val="center"/>
              <w:rPr>
                <w:rFonts w:eastAsia="Times New Roman" w:cs="Calibri"/>
                <w:color w:val="000000"/>
              </w:rPr>
            </w:pPr>
            <w:r w:rsidRPr="00C64BA4">
              <w:rPr>
                <w:rFonts w:eastAsia="Times New Roman" w:cs="Calibri"/>
                <w:color w:val="000000"/>
              </w:rPr>
              <w:t>33%</w:t>
            </w:r>
          </w:p>
        </w:tc>
      </w:tr>
      <w:tr w:rsidR="00522A9D" w:rsidRPr="00C64BA4" w14:paraId="6687D5F5" w14:textId="77777777" w:rsidTr="007508EF">
        <w:trPr>
          <w:trHeight w:val="297"/>
        </w:trPr>
        <w:tc>
          <w:tcPr>
            <w:tcW w:w="5000" w:type="pct"/>
            <w:gridSpan w:val="9"/>
            <w:tcBorders>
              <w:top w:val="nil"/>
              <w:left w:val="nil"/>
              <w:bottom w:val="nil"/>
              <w:right w:val="nil"/>
            </w:tcBorders>
            <w:shd w:val="clear" w:color="auto" w:fill="auto"/>
            <w:noWrap/>
            <w:vAlign w:val="bottom"/>
            <w:hideMark/>
          </w:tcPr>
          <w:p w14:paraId="5CC75800" w14:textId="77777777" w:rsidR="00522A9D" w:rsidRPr="00C64BA4" w:rsidRDefault="00522A9D"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AMI determined by HUD Fair Market Rent Area value for a four-person household. 5-Year American Community Survey.</w:t>
            </w:r>
          </w:p>
        </w:tc>
      </w:tr>
      <w:tr w:rsidR="00522A9D" w:rsidRPr="00C64BA4" w14:paraId="0FEDC9AC" w14:textId="77777777" w:rsidTr="007508EF">
        <w:trPr>
          <w:trHeight w:val="51"/>
        </w:trPr>
        <w:tc>
          <w:tcPr>
            <w:tcW w:w="5000" w:type="pct"/>
            <w:gridSpan w:val="9"/>
            <w:tcBorders>
              <w:top w:val="nil"/>
              <w:left w:val="nil"/>
              <w:bottom w:val="nil"/>
              <w:right w:val="nil"/>
            </w:tcBorders>
            <w:shd w:val="clear" w:color="auto" w:fill="auto"/>
            <w:noWrap/>
            <w:vAlign w:val="bottom"/>
            <w:hideMark/>
          </w:tcPr>
          <w:p w14:paraId="04280FAB" w14:textId="77777777" w:rsidR="00522A9D" w:rsidRPr="00C64BA4" w:rsidRDefault="00522A9D"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Sources: NH Housing Finance Authority; US Census Bureau.</w:t>
            </w:r>
          </w:p>
        </w:tc>
      </w:tr>
    </w:tbl>
    <w:p w14:paraId="6DA62C4E" w14:textId="77777777" w:rsidR="00520322" w:rsidRPr="00C64BA4" w:rsidRDefault="00520322" w:rsidP="00206C45">
      <w:pPr>
        <w:spacing w:line="300" w:lineRule="auto"/>
        <w:rPr>
          <w:highlight w:val="yellow"/>
        </w:rPr>
      </w:pPr>
    </w:p>
    <w:p w14:paraId="4AB6E7C6" w14:textId="77777777" w:rsidR="0085651B" w:rsidRDefault="0085651B" w:rsidP="0085651B">
      <w:pPr>
        <w:pStyle w:val="Body"/>
        <w:keepNext/>
        <w:jc w:val="center"/>
      </w:pPr>
      <w:r>
        <w:rPr>
          <w:noProof/>
        </w:rPr>
        <w:lastRenderedPageBreak/>
        <w:drawing>
          <wp:inline distT="0" distB="0" distL="0" distR="0" wp14:anchorId="157BE95A" wp14:editId="467B552B">
            <wp:extent cx="4572000" cy="2743200"/>
            <wp:effectExtent l="0" t="0" r="0" b="0"/>
            <wp:docPr id="45" name="Chart 45">
              <a:extLst xmlns:a="http://schemas.openxmlformats.org/drawingml/2006/main">
                <a:ext uri="{FF2B5EF4-FFF2-40B4-BE49-F238E27FC236}">
                  <a16:creationId xmlns:a16="http://schemas.microsoft.com/office/drawing/2014/main" id="{B2BDBA2B-E96E-0FE2-479C-C8D19A27D7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5C39465" w14:textId="42A8E8D5" w:rsidR="0085651B" w:rsidRDefault="0085651B" w:rsidP="0085651B">
      <w:pPr>
        <w:pStyle w:val="Caption"/>
        <w:jc w:val="center"/>
      </w:pPr>
      <w:bookmarkStart w:id="146" w:name="_Toc128137873"/>
      <w:r>
        <w:t xml:space="preserve">Figure </w:t>
      </w:r>
      <w:r w:rsidR="0062538A">
        <w:fldChar w:fldCharType="begin"/>
      </w:r>
      <w:r w:rsidR="0062538A">
        <w:instrText xml:space="preserve"> SEQ Figure \* ARABIC </w:instrText>
      </w:r>
      <w:r w:rsidR="0062538A">
        <w:fldChar w:fldCharType="separate"/>
      </w:r>
      <w:r w:rsidR="00E75682">
        <w:rPr>
          <w:noProof/>
        </w:rPr>
        <w:t>14</w:t>
      </w:r>
      <w:r w:rsidR="0062538A">
        <w:rPr>
          <w:noProof/>
        </w:rPr>
        <w:fldChar w:fldCharType="end"/>
      </w:r>
      <w:r>
        <w:t>: Percent</w:t>
      </w:r>
      <w:r w:rsidR="00D874FE">
        <w:t>age</w:t>
      </w:r>
      <w:r>
        <w:t xml:space="preserve"> of Households by Area Median Income (AMI) in the SNHPC Region</w:t>
      </w:r>
      <w:bookmarkEnd w:id="146"/>
    </w:p>
    <w:p w14:paraId="430B275F" w14:textId="77777777" w:rsidR="001B0A46" w:rsidRDefault="001B0A46" w:rsidP="001B0A46">
      <w:pPr>
        <w:keepNext/>
        <w:jc w:val="center"/>
      </w:pPr>
      <w:r>
        <w:rPr>
          <w:noProof/>
        </w:rPr>
        <w:drawing>
          <wp:inline distT="0" distB="0" distL="0" distR="0" wp14:anchorId="51B98FD5" wp14:editId="3ECDDE26">
            <wp:extent cx="4572000" cy="2743200"/>
            <wp:effectExtent l="0" t="0" r="0" b="0"/>
            <wp:docPr id="46" name="Chart 46">
              <a:extLst xmlns:a="http://schemas.openxmlformats.org/drawingml/2006/main">
                <a:ext uri="{FF2B5EF4-FFF2-40B4-BE49-F238E27FC236}">
                  <a16:creationId xmlns:a16="http://schemas.microsoft.com/office/drawing/2014/main" id="{5735A534-D088-0078-7E8D-D0A748E725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FF781E9" w14:textId="13AF0DA5" w:rsidR="0085651B" w:rsidRPr="0085651B" w:rsidRDefault="001B0A46" w:rsidP="001B0A46">
      <w:pPr>
        <w:pStyle w:val="Caption"/>
        <w:jc w:val="center"/>
      </w:pPr>
      <w:bookmarkStart w:id="147" w:name="_Toc128137874"/>
      <w:r>
        <w:t xml:space="preserve">Figure </w:t>
      </w:r>
      <w:r w:rsidR="0062538A">
        <w:fldChar w:fldCharType="begin"/>
      </w:r>
      <w:r w:rsidR="0062538A">
        <w:instrText xml:space="preserve"> SEQ Figure \* ARABIC </w:instrText>
      </w:r>
      <w:r w:rsidR="0062538A">
        <w:fldChar w:fldCharType="separate"/>
      </w:r>
      <w:r w:rsidR="00E75682">
        <w:rPr>
          <w:noProof/>
        </w:rPr>
        <w:t>15</w:t>
      </w:r>
      <w:r w:rsidR="0062538A">
        <w:rPr>
          <w:noProof/>
        </w:rPr>
        <w:fldChar w:fldCharType="end"/>
      </w:r>
      <w:r>
        <w:t xml:space="preserve">: </w:t>
      </w:r>
      <w:r w:rsidRPr="006C706A">
        <w:t>P</w:t>
      </w:r>
      <w:r w:rsidR="00DD6A4A">
        <w:t>ercent</w:t>
      </w:r>
      <w:r w:rsidR="00D874FE">
        <w:t>age</w:t>
      </w:r>
      <w:r w:rsidR="00DD6A4A">
        <w:t xml:space="preserve"> of Households by Area Median Income (AMI) in NH</w:t>
      </w:r>
      <w:bookmarkEnd w:id="147"/>
    </w:p>
    <w:p w14:paraId="753AEE84" w14:textId="4B4F2176" w:rsidR="0036422F" w:rsidRPr="00C64BA4" w:rsidRDefault="00032AC8" w:rsidP="00206C45">
      <w:pPr>
        <w:pStyle w:val="Heading4"/>
        <w:spacing w:line="300" w:lineRule="auto"/>
      </w:pPr>
      <w:r w:rsidRPr="00C64BA4">
        <w:t>Affordability in the SNHPC Region</w:t>
      </w:r>
    </w:p>
    <w:p w14:paraId="6DD83A6A" w14:textId="3BDE07BE" w:rsidR="00D116B7" w:rsidRDefault="00032AC8" w:rsidP="00206C45">
      <w:pPr>
        <w:spacing w:line="300" w:lineRule="auto"/>
        <w:jc w:val="both"/>
      </w:pPr>
      <w:r w:rsidRPr="00C64BA4">
        <w:t>Both home prices and rent have increased at a higher rate than incomes in the SNHPC region. What does this mean for the working</w:t>
      </w:r>
      <w:r w:rsidR="009C6FCD">
        <w:t xml:space="preserve"> </w:t>
      </w:r>
      <w:r w:rsidRPr="00C64BA4">
        <w:t>person in our region? To get a better understanding of this question of affordability, Root Policy</w:t>
      </w:r>
      <w:r w:rsidR="00D116B7">
        <w:t xml:space="preserve"> Research</w:t>
      </w:r>
      <w:r w:rsidRPr="00C64BA4">
        <w:t xml:space="preserve"> conducted an analysis to see if the median rent and </w:t>
      </w:r>
      <w:r w:rsidR="003D5BFB">
        <w:t xml:space="preserve">median </w:t>
      </w:r>
      <w:r w:rsidRPr="00C64BA4">
        <w:t>home price</w:t>
      </w:r>
      <w:r w:rsidR="00D116B7">
        <w:t>s</w:t>
      </w:r>
      <w:r w:rsidRPr="00C64BA4">
        <w:t xml:space="preserve"> are affordable to typical occupations in the SNHPC region. </w:t>
      </w:r>
      <w:r w:rsidR="00482E22" w:rsidRPr="00C64BA4">
        <w:t xml:space="preserve">Occupations ranged from entry-level to </w:t>
      </w:r>
      <w:r w:rsidR="00030B7E" w:rsidRPr="00C64BA4">
        <w:t>experienced</w:t>
      </w:r>
      <w:r w:rsidR="00482E22" w:rsidRPr="00C64BA4">
        <w:t xml:space="preserve"> jobs in service and </w:t>
      </w:r>
      <w:r w:rsidR="00030B7E" w:rsidRPr="00C64BA4">
        <w:t xml:space="preserve">skilled </w:t>
      </w:r>
      <w:r w:rsidR="00482E22" w:rsidRPr="00C64BA4">
        <w:t>labor sectors.</w:t>
      </w:r>
      <w:r w:rsidR="00D116B7">
        <w:t xml:space="preserve"> Median </w:t>
      </w:r>
      <w:r w:rsidR="00446098">
        <w:t xml:space="preserve">gross </w:t>
      </w:r>
      <w:r w:rsidR="00D116B7">
        <w:t>rent figures for each region were supplied to Root Policy Research by N</w:t>
      </w:r>
      <w:r w:rsidR="009A3464">
        <w:t>HHFA</w:t>
      </w:r>
      <w:r w:rsidR="00696874">
        <w:t>. The median gross rent for the SNHPC region was $1,510</w:t>
      </w:r>
      <w:r w:rsidR="00D116B7">
        <w:t>. Wage figures were provided by NH Employment Security</w:t>
      </w:r>
      <w:r w:rsidR="00C7427D">
        <w:t xml:space="preserve"> (NHES)</w:t>
      </w:r>
      <w:r w:rsidR="00D116B7">
        <w:t xml:space="preserve"> and reflect official income for real individuals.</w:t>
      </w:r>
    </w:p>
    <w:p w14:paraId="2CFB1EB7" w14:textId="6B9CD027" w:rsidR="005D5A64" w:rsidRPr="007953AD" w:rsidRDefault="00D116B7" w:rsidP="00206C45">
      <w:pPr>
        <w:spacing w:line="300" w:lineRule="auto"/>
        <w:jc w:val="both"/>
      </w:pPr>
      <w:r w:rsidRPr="00273C95">
        <w:t>The following table</w:t>
      </w:r>
      <w:r w:rsidR="00446098" w:rsidRPr="00273C95">
        <w:t xml:space="preserve"> considers whether a single-earner household would be paying 30% or more of their wages on gross rent. If a household paid 30% or more, they would be considered housing cost burdened and the median rent would be considered unaffordable.</w:t>
      </w:r>
      <w:r w:rsidR="00446098">
        <w:t xml:space="preserve"> Results are broken down by occupation as well by</w:t>
      </w:r>
      <w:r w:rsidR="006E3078">
        <w:t xml:space="preserve"> </w:t>
      </w:r>
      <w:r w:rsidR="006E3078">
        <w:lastRenderedPageBreak/>
        <w:t xml:space="preserve">wage income level. </w:t>
      </w:r>
      <w:r w:rsidR="00C7427D">
        <w:t>NHES</w:t>
      </w:r>
      <w:r w:rsidR="006E3078">
        <w:t xml:space="preserve"> defines an entry level wage as the average of the lower third of </w:t>
      </w:r>
      <w:r w:rsidR="007953AD">
        <w:t xml:space="preserve">the </w:t>
      </w:r>
      <w:r w:rsidR="006E3078">
        <w:t>population in question. An experience</w:t>
      </w:r>
      <w:r w:rsidR="007953AD">
        <w:t>d wage is the average of the upper two-thirds</w:t>
      </w:r>
      <w:r w:rsidR="006E3078">
        <w:t xml:space="preserve"> </w:t>
      </w:r>
      <w:r w:rsidR="007953AD">
        <w:t>of the population. The difference between wage</w:t>
      </w:r>
      <w:r w:rsidR="009A3464">
        <w:t>s</w:t>
      </w:r>
      <w:r w:rsidR="007953AD">
        <w:t xml:space="preserve"> and the maximum gross rent a household could</w:t>
      </w:r>
      <w:r w:rsidR="009A3464">
        <w:t xml:space="preserve"> afford to</w:t>
      </w:r>
      <w:r w:rsidR="007953AD">
        <w:t xml:space="preserve"> pay is also listed with a negative value signifying that median rent is higher.</w:t>
      </w:r>
      <w:r w:rsidR="003F21F7">
        <w:t xml:space="preserve"> </w:t>
      </w:r>
    </w:p>
    <w:p w14:paraId="02D2B1F5" w14:textId="6155FC7B" w:rsidR="00A47CCA" w:rsidRDefault="00A47CCA" w:rsidP="00274AAD">
      <w:pPr>
        <w:pStyle w:val="Caption"/>
        <w:keepNext/>
        <w:keepLines/>
        <w:spacing w:line="300" w:lineRule="auto"/>
      </w:pPr>
      <w:bookmarkStart w:id="148" w:name="_Toc128137918"/>
      <w:r>
        <w:t xml:space="preserve">Table </w:t>
      </w:r>
      <w:r w:rsidR="0062538A">
        <w:fldChar w:fldCharType="begin"/>
      </w:r>
      <w:r w:rsidR="0062538A">
        <w:instrText xml:space="preserve"> SEQ Table \* ARABIC </w:instrText>
      </w:r>
      <w:r w:rsidR="0062538A">
        <w:fldChar w:fldCharType="separate"/>
      </w:r>
      <w:r w:rsidR="008B512A">
        <w:rPr>
          <w:noProof/>
        </w:rPr>
        <w:t>27</w:t>
      </w:r>
      <w:r w:rsidR="0062538A">
        <w:rPr>
          <w:noProof/>
        </w:rPr>
        <w:fldChar w:fldCharType="end"/>
      </w:r>
      <w:r>
        <w:t xml:space="preserve">: </w:t>
      </w:r>
      <w:r w:rsidR="00A801D2">
        <w:t xml:space="preserve">Rental </w:t>
      </w:r>
      <w:r w:rsidRPr="00786EE7">
        <w:t>Affordability by Occupation (Southern New Hampshire Planning Commission)</w:t>
      </w:r>
      <w:bookmarkEnd w:id="148"/>
    </w:p>
    <w:tbl>
      <w:tblPr>
        <w:tblW w:w="9080" w:type="dxa"/>
        <w:tblLook w:val="04A0" w:firstRow="1" w:lastRow="0" w:firstColumn="1" w:lastColumn="0" w:noHBand="0" w:noVBand="1"/>
      </w:tblPr>
      <w:tblGrid>
        <w:gridCol w:w="2560"/>
        <w:gridCol w:w="1000"/>
        <w:gridCol w:w="1142"/>
        <w:gridCol w:w="960"/>
        <w:gridCol w:w="1142"/>
        <w:gridCol w:w="1340"/>
        <w:gridCol w:w="1142"/>
      </w:tblGrid>
      <w:tr w:rsidR="005D5A64" w:rsidRPr="00BF6329" w14:paraId="2F6B1C22" w14:textId="77777777" w:rsidTr="00743E3F">
        <w:trPr>
          <w:trHeight w:val="315"/>
        </w:trPr>
        <w:tc>
          <w:tcPr>
            <w:tcW w:w="9080" w:type="dxa"/>
            <w:gridSpan w:val="7"/>
            <w:tcBorders>
              <w:top w:val="nil"/>
              <w:left w:val="nil"/>
              <w:bottom w:val="nil"/>
              <w:right w:val="nil"/>
            </w:tcBorders>
            <w:shd w:val="clear" w:color="auto" w:fill="auto"/>
            <w:noWrap/>
            <w:vAlign w:val="bottom"/>
            <w:hideMark/>
          </w:tcPr>
          <w:p w14:paraId="2C360503" w14:textId="07121B7F" w:rsidR="005D5A64" w:rsidRPr="00BF6329" w:rsidRDefault="00A801D2" w:rsidP="00743E3F">
            <w:pPr>
              <w:spacing w:after="0" w:line="240" w:lineRule="auto"/>
              <w:rPr>
                <w:rFonts w:ascii="Tw Cen MT" w:eastAsia="Times New Roman" w:hAnsi="Tw Cen MT" w:cs="Calibri"/>
                <w:b/>
                <w:bCs/>
                <w:color w:val="595959"/>
              </w:rPr>
            </w:pPr>
            <w:r>
              <w:rPr>
                <w:rFonts w:ascii="Tw Cen MT" w:eastAsia="Times New Roman" w:hAnsi="Tw Cen MT" w:cs="Calibri"/>
                <w:b/>
                <w:bCs/>
                <w:color w:val="595959"/>
              </w:rPr>
              <w:t xml:space="preserve">Rental </w:t>
            </w:r>
            <w:r w:rsidR="005D5A64" w:rsidRPr="00BF6329">
              <w:rPr>
                <w:rFonts w:ascii="Tw Cen MT" w:eastAsia="Times New Roman" w:hAnsi="Tw Cen MT" w:cs="Calibri"/>
                <w:b/>
                <w:bCs/>
                <w:color w:val="595959"/>
              </w:rPr>
              <w:t>Affordability by Occupation (Southern New Hampshire Planning Commission)</w:t>
            </w:r>
          </w:p>
        </w:tc>
      </w:tr>
      <w:tr w:rsidR="005D5A64" w:rsidRPr="00BF6329" w14:paraId="15FE2C2A" w14:textId="77777777" w:rsidTr="00743E3F">
        <w:trPr>
          <w:trHeight w:val="315"/>
        </w:trPr>
        <w:tc>
          <w:tcPr>
            <w:tcW w:w="2560" w:type="dxa"/>
            <w:tcBorders>
              <w:top w:val="nil"/>
              <w:left w:val="nil"/>
              <w:bottom w:val="nil"/>
              <w:right w:val="nil"/>
            </w:tcBorders>
            <w:shd w:val="clear" w:color="auto" w:fill="auto"/>
            <w:noWrap/>
            <w:vAlign w:val="bottom"/>
            <w:hideMark/>
          </w:tcPr>
          <w:p w14:paraId="3B23083D" w14:textId="77777777" w:rsidR="005D5A64" w:rsidRPr="00BF6329" w:rsidRDefault="005D5A64" w:rsidP="00743E3F">
            <w:pPr>
              <w:spacing w:after="0" w:line="240" w:lineRule="auto"/>
              <w:rPr>
                <w:rFonts w:ascii="Tw Cen MT" w:eastAsia="Times New Roman" w:hAnsi="Tw Cen MT" w:cs="Calibri"/>
                <w:b/>
                <w:bCs/>
                <w:color w:val="595959"/>
              </w:rPr>
            </w:pPr>
          </w:p>
        </w:tc>
        <w:tc>
          <w:tcPr>
            <w:tcW w:w="1000" w:type="dxa"/>
            <w:tcBorders>
              <w:top w:val="nil"/>
              <w:left w:val="nil"/>
              <w:bottom w:val="nil"/>
              <w:right w:val="nil"/>
            </w:tcBorders>
            <w:shd w:val="clear" w:color="auto" w:fill="auto"/>
            <w:noWrap/>
            <w:vAlign w:val="bottom"/>
            <w:hideMark/>
          </w:tcPr>
          <w:p w14:paraId="49FFD55D"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bottom"/>
            <w:hideMark/>
          </w:tcPr>
          <w:p w14:paraId="76A93C61"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557E4F25"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080" w:type="dxa"/>
            <w:tcBorders>
              <w:top w:val="nil"/>
              <w:left w:val="nil"/>
              <w:bottom w:val="nil"/>
              <w:right w:val="nil"/>
            </w:tcBorders>
            <w:shd w:val="clear" w:color="auto" w:fill="auto"/>
            <w:noWrap/>
            <w:vAlign w:val="bottom"/>
            <w:hideMark/>
          </w:tcPr>
          <w:p w14:paraId="69AF2CA9"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340" w:type="dxa"/>
            <w:tcBorders>
              <w:top w:val="nil"/>
              <w:left w:val="nil"/>
              <w:bottom w:val="nil"/>
              <w:right w:val="nil"/>
            </w:tcBorders>
            <w:shd w:val="clear" w:color="auto" w:fill="auto"/>
            <w:noWrap/>
            <w:vAlign w:val="bottom"/>
            <w:hideMark/>
          </w:tcPr>
          <w:p w14:paraId="005130A8"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080" w:type="dxa"/>
            <w:tcBorders>
              <w:top w:val="nil"/>
              <w:left w:val="nil"/>
              <w:bottom w:val="nil"/>
              <w:right w:val="nil"/>
            </w:tcBorders>
            <w:shd w:val="clear" w:color="auto" w:fill="auto"/>
            <w:noWrap/>
            <w:vAlign w:val="bottom"/>
            <w:hideMark/>
          </w:tcPr>
          <w:p w14:paraId="45C447AA" w14:textId="77777777" w:rsidR="005D5A64" w:rsidRPr="00BF6329" w:rsidRDefault="005D5A64" w:rsidP="00743E3F">
            <w:pPr>
              <w:spacing w:after="0" w:line="240" w:lineRule="auto"/>
              <w:rPr>
                <w:rFonts w:ascii="Times New Roman" w:eastAsia="Times New Roman" w:hAnsi="Times New Roman" w:cs="Times New Roman"/>
                <w:sz w:val="20"/>
                <w:szCs w:val="20"/>
              </w:rPr>
            </w:pPr>
          </w:p>
        </w:tc>
      </w:tr>
      <w:tr w:rsidR="005D5A64" w:rsidRPr="00BF6329" w14:paraId="2D5F4779" w14:textId="77777777" w:rsidTr="00EC181C">
        <w:trPr>
          <w:trHeight w:val="900"/>
        </w:trPr>
        <w:tc>
          <w:tcPr>
            <w:tcW w:w="2560" w:type="dxa"/>
            <w:tcBorders>
              <w:top w:val="nil"/>
              <w:left w:val="nil"/>
              <w:bottom w:val="nil"/>
              <w:right w:val="nil"/>
            </w:tcBorders>
            <w:shd w:val="clear" w:color="auto" w:fill="auto"/>
            <w:noWrap/>
            <w:vAlign w:val="bottom"/>
            <w:hideMark/>
          </w:tcPr>
          <w:p w14:paraId="52F0FC3B"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000" w:type="dxa"/>
            <w:tcBorders>
              <w:top w:val="nil"/>
              <w:left w:val="nil"/>
              <w:bottom w:val="single" w:sz="4" w:space="0" w:color="FFFFFF" w:themeColor="background1"/>
              <w:right w:val="nil"/>
            </w:tcBorders>
            <w:shd w:val="clear" w:color="auto" w:fill="595959" w:themeFill="text1" w:themeFillTint="A6"/>
            <w:vAlign w:val="bottom"/>
            <w:hideMark/>
          </w:tcPr>
          <w:p w14:paraId="02094D63" w14:textId="77777777" w:rsidR="005D5A64" w:rsidRPr="00EC181C" w:rsidRDefault="005D5A64" w:rsidP="00743E3F">
            <w:pPr>
              <w:spacing w:after="0" w:line="240" w:lineRule="auto"/>
              <w:jc w:val="center"/>
              <w:rPr>
                <w:rFonts w:ascii="Tw Cen MT" w:eastAsia="Times New Roman" w:hAnsi="Tw Cen MT" w:cs="Calibri"/>
                <w:b/>
                <w:bCs/>
                <w:color w:val="FFFFFF" w:themeColor="background1"/>
              </w:rPr>
            </w:pPr>
            <w:r w:rsidRPr="00EC181C">
              <w:rPr>
                <w:rFonts w:ascii="Tw Cen MT" w:eastAsia="Times New Roman" w:hAnsi="Tw Cen MT" w:cs="Calibri"/>
                <w:b/>
                <w:bCs/>
                <w:color w:val="FFFFFF" w:themeColor="background1"/>
              </w:rPr>
              <w:t>Median Rent (2022)</w:t>
            </w:r>
          </w:p>
        </w:tc>
        <w:tc>
          <w:tcPr>
            <w:tcW w:w="1060" w:type="dxa"/>
            <w:tcBorders>
              <w:top w:val="nil"/>
              <w:left w:val="nil"/>
              <w:bottom w:val="nil"/>
              <w:right w:val="nil"/>
            </w:tcBorders>
            <w:shd w:val="clear" w:color="auto" w:fill="auto"/>
            <w:vAlign w:val="bottom"/>
            <w:hideMark/>
          </w:tcPr>
          <w:p w14:paraId="39EA7C4C" w14:textId="77777777" w:rsidR="005D5A64" w:rsidRPr="00BF6329" w:rsidRDefault="005D5A64" w:rsidP="00743E3F">
            <w:pPr>
              <w:spacing w:after="0" w:line="240" w:lineRule="auto"/>
              <w:jc w:val="center"/>
              <w:rPr>
                <w:rFonts w:ascii="Tw Cen MT" w:eastAsia="Times New Roman" w:hAnsi="Tw Cen MT" w:cs="Calibri"/>
                <w:b/>
                <w:bCs/>
                <w:color w:val="595959"/>
              </w:rPr>
            </w:pPr>
          </w:p>
        </w:tc>
        <w:tc>
          <w:tcPr>
            <w:tcW w:w="960" w:type="dxa"/>
            <w:tcBorders>
              <w:top w:val="nil"/>
              <w:left w:val="nil"/>
              <w:bottom w:val="nil"/>
              <w:right w:val="nil"/>
            </w:tcBorders>
            <w:shd w:val="clear" w:color="auto" w:fill="auto"/>
            <w:noWrap/>
            <w:vAlign w:val="bottom"/>
            <w:hideMark/>
          </w:tcPr>
          <w:p w14:paraId="73AF4554" w14:textId="77777777" w:rsidR="005D5A64" w:rsidRPr="00BF6329" w:rsidRDefault="005D5A64" w:rsidP="00743E3F">
            <w:pPr>
              <w:spacing w:after="0" w:line="240" w:lineRule="auto"/>
              <w:jc w:val="center"/>
              <w:rPr>
                <w:rFonts w:ascii="Times New Roman" w:eastAsia="Times New Roman" w:hAnsi="Times New Roman" w:cs="Times New Roman"/>
                <w:sz w:val="20"/>
                <w:szCs w:val="20"/>
              </w:rPr>
            </w:pPr>
          </w:p>
        </w:tc>
        <w:tc>
          <w:tcPr>
            <w:tcW w:w="1080" w:type="dxa"/>
            <w:tcBorders>
              <w:top w:val="nil"/>
              <w:left w:val="nil"/>
              <w:bottom w:val="nil"/>
              <w:right w:val="nil"/>
            </w:tcBorders>
            <w:shd w:val="clear" w:color="auto" w:fill="auto"/>
            <w:noWrap/>
            <w:vAlign w:val="bottom"/>
            <w:hideMark/>
          </w:tcPr>
          <w:p w14:paraId="26039091"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340" w:type="dxa"/>
            <w:tcBorders>
              <w:top w:val="nil"/>
              <w:left w:val="nil"/>
              <w:bottom w:val="nil"/>
              <w:right w:val="nil"/>
            </w:tcBorders>
            <w:shd w:val="clear" w:color="auto" w:fill="auto"/>
            <w:noWrap/>
            <w:vAlign w:val="bottom"/>
            <w:hideMark/>
          </w:tcPr>
          <w:p w14:paraId="71CDD7A0"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080" w:type="dxa"/>
            <w:tcBorders>
              <w:top w:val="nil"/>
              <w:left w:val="nil"/>
              <w:bottom w:val="nil"/>
              <w:right w:val="nil"/>
            </w:tcBorders>
            <w:shd w:val="clear" w:color="auto" w:fill="auto"/>
            <w:noWrap/>
            <w:vAlign w:val="bottom"/>
            <w:hideMark/>
          </w:tcPr>
          <w:p w14:paraId="00D603E0" w14:textId="77777777" w:rsidR="005D5A64" w:rsidRPr="00BF6329" w:rsidRDefault="005D5A64" w:rsidP="00743E3F">
            <w:pPr>
              <w:spacing w:after="0" w:line="240" w:lineRule="auto"/>
              <w:rPr>
                <w:rFonts w:ascii="Times New Roman" w:eastAsia="Times New Roman" w:hAnsi="Times New Roman" w:cs="Times New Roman"/>
                <w:sz w:val="20"/>
                <w:szCs w:val="20"/>
              </w:rPr>
            </w:pPr>
          </w:p>
        </w:tc>
      </w:tr>
      <w:tr w:rsidR="005D5A64" w:rsidRPr="00BF6329" w14:paraId="2C4A7C9D" w14:textId="77777777" w:rsidTr="00EC181C">
        <w:trPr>
          <w:trHeight w:val="315"/>
        </w:trPr>
        <w:tc>
          <w:tcPr>
            <w:tcW w:w="2560" w:type="dxa"/>
            <w:tcBorders>
              <w:top w:val="nil"/>
              <w:left w:val="nil"/>
              <w:bottom w:val="nil"/>
              <w:right w:val="nil"/>
            </w:tcBorders>
            <w:shd w:val="clear" w:color="auto" w:fill="auto"/>
            <w:noWrap/>
            <w:vAlign w:val="bottom"/>
            <w:hideMark/>
          </w:tcPr>
          <w:p w14:paraId="3B45AF0C"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000" w:type="dxa"/>
            <w:tcBorders>
              <w:top w:val="single" w:sz="4" w:space="0" w:color="FFFFFF" w:themeColor="background1"/>
              <w:left w:val="nil"/>
              <w:bottom w:val="nil"/>
              <w:right w:val="nil"/>
            </w:tcBorders>
            <w:shd w:val="clear" w:color="auto" w:fill="595959" w:themeFill="text1" w:themeFillTint="A6"/>
            <w:noWrap/>
            <w:vAlign w:val="bottom"/>
            <w:hideMark/>
          </w:tcPr>
          <w:p w14:paraId="7B592647" w14:textId="77777777" w:rsidR="005D5A64" w:rsidRPr="00EC181C" w:rsidRDefault="005D5A64" w:rsidP="00743E3F">
            <w:pPr>
              <w:spacing w:after="0" w:line="240" w:lineRule="auto"/>
              <w:jc w:val="center"/>
              <w:rPr>
                <w:rFonts w:ascii="Tw Cen MT" w:eastAsia="Times New Roman" w:hAnsi="Tw Cen MT" w:cs="Calibri"/>
                <w:color w:val="FFFFFF" w:themeColor="background1"/>
              </w:rPr>
            </w:pPr>
            <w:r w:rsidRPr="00EC181C">
              <w:rPr>
                <w:rFonts w:ascii="Tw Cen MT" w:eastAsia="Times New Roman" w:hAnsi="Tw Cen MT" w:cs="Calibri"/>
                <w:color w:val="FFFFFF" w:themeColor="background1"/>
              </w:rPr>
              <w:t xml:space="preserve">$1,510 </w:t>
            </w:r>
          </w:p>
        </w:tc>
        <w:tc>
          <w:tcPr>
            <w:tcW w:w="1060" w:type="dxa"/>
            <w:tcBorders>
              <w:top w:val="nil"/>
              <w:left w:val="nil"/>
              <w:bottom w:val="nil"/>
              <w:right w:val="nil"/>
            </w:tcBorders>
            <w:shd w:val="clear" w:color="auto" w:fill="auto"/>
            <w:noWrap/>
            <w:vAlign w:val="bottom"/>
            <w:hideMark/>
          </w:tcPr>
          <w:p w14:paraId="261E5BE5" w14:textId="77777777" w:rsidR="005D5A64" w:rsidRPr="00BF6329" w:rsidRDefault="005D5A64" w:rsidP="00743E3F">
            <w:pPr>
              <w:spacing w:after="0" w:line="240" w:lineRule="auto"/>
              <w:jc w:val="center"/>
              <w:rPr>
                <w:rFonts w:ascii="Tw Cen MT" w:eastAsia="Times New Roman" w:hAnsi="Tw Cen MT" w:cs="Calibri"/>
              </w:rPr>
            </w:pPr>
          </w:p>
        </w:tc>
        <w:tc>
          <w:tcPr>
            <w:tcW w:w="960" w:type="dxa"/>
            <w:tcBorders>
              <w:top w:val="nil"/>
              <w:left w:val="nil"/>
              <w:bottom w:val="nil"/>
              <w:right w:val="nil"/>
            </w:tcBorders>
            <w:shd w:val="clear" w:color="auto" w:fill="auto"/>
            <w:noWrap/>
            <w:vAlign w:val="bottom"/>
            <w:hideMark/>
          </w:tcPr>
          <w:p w14:paraId="75B81B75" w14:textId="77777777" w:rsidR="005D5A64" w:rsidRPr="00BF6329" w:rsidRDefault="005D5A64" w:rsidP="00743E3F">
            <w:pPr>
              <w:spacing w:after="0" w:line="240" w:lineRule="auto"/>
              <w:jc w:val="center"/>
              <w:rPr>
                <w:rFonts w:ascii="Times New Roman" w:eastAsia="Times New Roman" w:hAnsi="Times New Roman" w:cs="Times New Roman"/>
                <w:sz w:val="20"/>
                <w:szCs w:val="20"/>
              </w:rPr>
            </w:pPr>
          </w:p>
        </w:tc>
        <w:tc>
          <w:tcPr>
            <w:tcW w:w="1080" w:type="dxa"/>
            <w:tcBorders>
              <w:top w:val="nil"/>
              <w:left w:val="nil"/>
              <w:bottom w:val="nil"/>
              <w:right w:val="nil"/>
            </w:tcBorders>
            <w:shd w:val="clear" w:color="auto" w:fill="auto"/>
            <w:noWrap/>
            <w:vAlign w:val="bottom"/>
            <w:hideMark/>
          </w:tcPr>
          <w:p w14:paraId="33024B58"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340" w:type="dxa"/>
            <w:tcBorders>
              <w:top w:val="nil"/>
              <w:left w:val="nil"/>
              <w:bottom w:val="nil"/>
              <w:right w:val="nil"/>
            </w:tcBorders>
            <w:shd w:val="clear" w:color="auto" w:fill="auto"/>
            <w:noWrap/>
            <w:vAlign w:val="bottom"/>
            <w:hideMark/>
          </w:tcPr>
          <w:p w14:paraId="7A1141E9"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080" w:type="dxa"/>
            <w:tcBorders>
              <w:top w:val="nil"/>
              <w:left w:val="nil"/>
              <w:bottom w:val="nil"/>
              <w:right w:val="nil"/>
            </w:tcBorders>
            <w:shd w:val="clear" w:color="auto" w:fill="auto"/>
            <w:noWrap/>
            <w:vAlign w:val="bottom"/>
            <w:hideMark/>
          </w:tcPr>
          <w:p w14:paraId="031A8AC6" w14:textId="77777777" w:rsidR="005D5A64" w:rsidRPr="00BF6329" w:rsidRDefault="005D5A64" w:rsidP="00743E3F">
            <w:pPr>
              <w:spacing w:after="0" w:line="240" w:lineRule="auto"/>
              <w:rPr>
                <w:rFonts w:ascii="Times New Roman" w:eastAsia="Times New Roman" w:hAnsi="Times New Roman" w:cs="Times New Roman"/>
                <w:sz w:val="20"/>
                <w:szCs w:val="20"/>
              </w:rPr>
            </w:pPr>
          </w:p>
        </w:tc>
      </w:tr>
      <w:tr w:rsidR="005D5A64" w:rsidRPr="00BF6329" w14:paraId="2C2D4D14" w14:textId="77777777" w:rsidTr="00743E3F">
        <w:trPr>
          <w:trHeight w:val="80"/>
        </w:trPr>
        <w:tc>
          <w:tcPr>
            <w:tcW w:w="2560" w:type="dxa"/>
            <w:tcBorders>
              <w:top w:val="nil"/>
              <w:left w:val="nil"/>
              <w:bottom w:val="nil"/>
              <w:right w:val="nil"/>
            </w:tcBorders>
            <w:shd w:val="clear" w:color="auto" w:fill="auto"/>
            <w:noWrap/>
            <w:vAlign w:val="bottom"/>
            <w:hideMark/>
          </w:tcPr>
          <w:p w14:paraId="409B4CBC"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000" w:type="dxa"/>
            <w:tcBorders>
              <w:top w:val="nil"/>
              <w:left w:val="nil"/>
              <w:bottom w:val="nil"/>
              <w:right w:val="nil"/>
            </w:tcBorders>
            <w:shd w:val="clear" w:color="auto" w:fill="auto"/>
            <w:noWrap/>
            <w:vAlign w:val="bottom"/>
            <w:hideMark/>
          </w:tcPr>
          <w:p w14:paraId="20DB8D88"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bottom"/>
            <w:hideMark/>
          </w:tcPr>
          <w:p w14:paraId="21D16DF4"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960" w:type="dxa"/>
            <w:tcBorders>
              <w:top w:val="nil"/>
              <w:left w:val="nil"/>
              <w:bottom w:val="nil"/>
              <w:right w:val="nil"/>
            </w:tcBorders>
            <w:shd w:val="clear" w:color="auto" w:fill="auto"/>
            <w:noWrap/>
            <w:vAlign w:val="bottom"/>
            <w:hideMark/>
          </w:tcPr>
          <w:p w14:paraId="7A73F16B"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080" w:type="dxa"/>
            <w:tcBorders>
              <w:top w:val="nil"/>
              <w:left w:val="nil"/>
              <w:bottom w:val="nil"/>
              <w:right w:val="nil"/>
            </w:tcBorders>
            <w:shd w:val="clear" w:color="auto" w:fill="auto"/>
            <w:noWrap/>
            <w:vAlign w:val="bottom"/>
            <w:hideMark/>
          </w:tcPr>
          <w:p w14:paraId="4D019686"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340" w:type="dxa"/>
            <w:tcBorders>
              <w:top w:val="nil"/>
              <w:left w:val="nil"/>
              <w:bottom w:val="nil"/>
              <w:right w:val="nil"/>
            </w:tcBorders>
            <w:shd w:val="clear" w:color="auto" w:fill="auto"/>
            <w:noWrap/>
            <w:vAlign w:val="bottom"/>
            <w:hideMark/>
          </w:tcPr>
          <w:p w14:paraId="50F867DF"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1080" w:type="dxa"/>
            <w:tcBorders>
              <w:top w:val="nil"/>
              <w:left w:val="nil"/>
              <w:bottom w:val="nil"/>
              <w:right w:val="nil"/>
            </w:tcBorders>
            <w:shd w:val="clear" w:color="auto" w:fill="auto"/>
            <w:noWrap/>
            <w:vAlign w:val="bottom"/>
            <w:hideMark/>
          </w:tcPr>
          <w:p w14:paraId="64B5C401" w14:textId="77777777" w:rsidR="005D5A64" w:rsidRPr="00BF6329" w:rsidRDefault="005D5A64" w:rsidP="00743E3F">
            <w:pPr>
              <w:spacing w:after="0" w:line="240" w:lineRule="auto"/>
              <w:rPr>
                <w:rFonts w:ascii="Times New Roman" w:eastAsia="Times New Roman" w:hAnsi="Times New Roman" w:cs="Times New Roman"/>
                <w:sz w:val="20"/>
                <w:szCs w:val="20"/>
              </w:rPr>
            </w:pPr>
          </w:p>
        </w:tc>
      </w:tr>
      <w:tr w:rsidR="005D5A64" w:rsidRPr="00BF6329" w14:paraId="41ABE3EF" w14:textId="77777777" w:rsidTr="00743E3F">
        <w:trPr>
          <w:trHeight w:val="660"/>
        </w:trPr>
        <w:tc>
          <w:tcPr>
            <w:tcW w:w="2560" w:type="dxa"/>
            <w:tcBorders>
              <w:top w:val="nil"/>
              <w:left w:val="nil"/>
              <w:bottom w:val="nil"/>
              <w:right w:val="nil"/>
            </w:tcBorders>
            <w:shd w:val="clear" w:color="auto" w:fill="auto"/>
            <w:noWrap/>
            <w:vAlign w:val="bottom"/>
            <w:hideMark/>
          </w:tcPr>
          <w:p w14:paraId="60F2D5A0" w14:textId="77777777" w:rsidR="005D5A64" w:rsidRPr="00BF6329" w:rsidRDefault="005D5A64" w:rsidP="00743E3F">
            <w:pPr>
              <w:spacing w:after="0" w:line="240" w:lineRule="auto"/>
              <w:rPr>
                <w:rFonts w:ascii="Times New Roman" w:eastAsia="Times New Roman" w:hAnsi="Times New Roman" w:cs="Times New Roman"/>
                <w:sz w:val="20"/>
                <w:szCs w:val="20"/>
              </w:rPr>
            </w:pPr>
          </w:p>
        </w:tc>
        <w:tc>
          <w:tcPr>
            <w:tcW w:w="6520" w:type="dxa"/>
            <w:gridSpan w:val="6"/>
            <w:tcBorders>
              <w:top w:val="nil"/>
              <w:left w:val="nil"/>
              <w:bottom w:val="nil"/>
              <w:right w:val="nil"/>
            </w:tcBorders>
            <w:shd w:val="clear" w:color="auto" w:fill="auto"/>
            <w:noWrap/>
            <w:vAlign w:val="bottom"/>
            <w:hideMark/>
          </w:tcPr>
          <w:p w14:paraId="5EFA4167" w14:textId="77777777" w:rsidR="005D5A64" w:rsidRPr="00BF6329" w:rsidRDefault="005D5A64" w:rsidP="00743E3F">
            <w:pPr>
              <w:spacing w:after="0" w:line="240" w:lineRule="auto"/>
              <w:jc w:val="center"/>
              <w:rPr>
                <w:rFonts w:ascii="Tw Cen MT" w:eastAsia="Times New Roman" w:hAnsi="Tw Cen MT" w:cs="Calibri"/>
                <w:b/>
                <w:bCs/>
                <w:color w:val="808080"/>
              </w:rPr>
            </w:pPr>
            <w:r w:rsidRPr="00BF6329">
              <w:rPr>
                <w:rFonts w:ascii="Tw Cen MT" w:eastAsia="Times New Roman" w:hAnsi="Tw Cen MT" w:cs="Calibri"/>
                <w:b/>
                <w:bCs/>
                <w:color w:val="808080"/>
              </w:rPr>
              <w:t>Is the Median Rent Affordable to...?</w:t>
            </w:r>
          </w:p>
        </w:tc>
      </w:tr>
      <w:tr w:rsidR="005D5A64" w:rsidRPr="00BF6329" w14:paraId="6DECF603" w14:textId="77777777" w:rsidTr="00743E3F">
        <w:trPr>
          <w:trHeight w:val="885"/>
        </w:trPr>
        <w:tc>
          <w:tcPr>
            <w:tcW w:w="2560" w:type="dxa"/>
            <w:tcBorders>
              <w:top w:val="nil"/>
              <w:left w:val="nil"/>
              <w:bottom w:val="single" w:sz="4" w:space="0" w:color="auto"/>
              <w:right w:val="nil"/>
            </w:tcBorders>
            <w:shd w:val="clear" w:color="auto" w:fill="auto"/>
            <w:noWrap/>
            <w:vAlign w:val="bottom"/>
            <w:hideMark/>
          </w:tcPr>
          <w:p w14:paraId="7A5427A7" w14:textId="77777777" w:rsidR="005D5A64" w:rsidRPr="00BF6329" w:rsidRDefault="005D5A64" w:rsidP="00743E3F">
            <w:pPr>
              <w:spacing w:after="0" w:line="240" w:lineRule="auto"/>
              <w:rPr>
                <w:rFonts w:ascii="Tw Cen MT" w:eastAsia="Times New Roman" w:hAnsi="Tw Cen MT" w:cs="Calibri"/>
              </w:rPr>
            </w:pPr>
            <w:r w:rsidRPr="00BF6329">
              <w:rPr>
                <w:rFonts w:ascii="Tw Cen MT" w:eastAsia="Times New Roman" w:hAnsi="Tw Cen MT" w:cs="Calibri"/>
              </w:rPr>
              <w:t> </w:t>
            </w:r>
          </w:p>
        </w:tc>
        <w:tc>
          <w:tcPr>
            <w:tcW w:w="1000" w:type="dxa"/>
            <w:tcBorders>
              <w:top w:val="nil"/>
              <w:left w:val="single" w:sz="4" w:space="0" w:color="auto"/>
              <w:bottom w:val="single" w:sz="4" w:space="0" w:color="auto"/>
              <w:right w:val="nil"/>
            </w:tcBorders>
            <w:shd w:val="clear" w:color="auto" w:fill="auto"/>
            <w:vAlign w:val="center"/>
            <w:hideMark/>
          </w:tcPr>
          <w:p w14:paraId="09823E16" w14:textId="77777777" w:rsidR="005D5A64" w:rsidRPr="00BF6329" w:rsidRDefault="005D5A64" w:rsidP="00743E3F">
            <w:pPr>
              <w:spacing w:after="0" w:line="240" w:lineRule="auto"/>
              <w:jc w:val="center"/>
              <w:rPr>
                <w:rFonts w:ascii="Tw Cen MT" w:eastAsia="Times New Roman" w:hAnsi="Tw Cen MT" w:cs="Calibri"/>
                <w:b/>
                <w:bCs/>
                <w:color w:val="808080"/>
              </w:rPr>
            </w:pPr>
            <w:r w:rsidRPr="00BF6329">
              <w:rPr>
                <w:rFonts w:ascii="Tw Cen MT" w:eastAsia="Times New Roman" w:hAnsi="Tw Cen MT" w:cs="Calibri"/>
                <w:b/>
                <w:bCs/>
                <w:color w:val="808080"/>
              </w:rPr>
              <w:t>Entry Level Wage</w:t>
            </w:r>
          </w:p>
        </w:tc>
        <w:tc>
          <w:tcPr>
            <w:tcW w:w="1060" w:type="dxa"/>
            <w:tcBorders>
              <w:top w:val="nil"/>
              <w:left w:val="nil"/>
              <w:bottom w:val="single" w:sz="4" w:space="0" w:color="auto"/>
              <w:right w:val="nil"/>
            </w:tcBorders>
            <w:shd w:val="clear" w:color="auto" w:fill="auto"/>
            <w:vAlign w:val="bottom"/>
            <w:hideMark/>
          </w:tcPr>
          <w:p w14:paraId="649494C0" w14:textId="77777777" w:rsidR="005D5A64" w:rsidRPr="00BF6329" w:rsidRDefault="005D5A64" w:rsidP="00743E3F">
            <w:pPr>
              <w:spacing w:after="0" w:line="240" w:lineRule="auto"/>
              <w:jc w:val="center"/>
              <w:rPr>
                <w:rFonts w:ascii="Tw Cen MT" w:eastAsia="Times New Roman" w:hAnsi="Tw Cen MT" w:cs="Calibri"/>
                <w:b/>
                <w:bCs/>
                <w:color w:val="808080"/>
              </w:rPr>
            </w:pPr>
            <w:r w:rsidRPr="00BF6329">
              <w:rPr>
                <w:rFonts w:ascii="Tw Cen MT" w:eastAsia="Times New Roman" w:hAnsi="Tw Cen MT" w:cs="Calibri"/>
                <w:b/>
                <w:bCs/>
                <w:color w:val="808080"/>
              </w:rPr>
              <w:t>Cost Difference</w:t>
            </w:r>
          </w:p>
        </w:tc>
        <w:tc>
          <w:tcPr>
            <w:tcW w:w="960" w:type="dxa"/>
            <w:tcBorders>
              <w:top w:val="nil"/>
              <w:left w:val="single" w:sz="4" w:space="0" w:color="auto"/>
              <w:bottom w:val="single" w:sz="4" w:space="0" w:color="auto"/>
              <w:right w:val="nil"/>
            </w:tcBorders>
            <w:shd w:val="clear" w:color="auto" w:fill="auto"/>
            <w:vAlign w:val="center"/>
            <w:hideMark/>
          </w:tcPr>
          <w:p w14:paraId="331B83E2" w14:textId="77777777" w:rsidR="005D5A64" w:rsidRPr="00BF6329" w:rsidRDefault="005D5A64" w:rsidP="00743E3F">
            <w:pPr>
              <w:spacing w:after="0" w:line="240" w:lineRule="auto"/>
              <w:jc w:val="center"/>
              <w:rPr>
                <w:rFonts w:ascii="Tw Cen MT" w:eastAsia="Times New Roman" w:hAnsi="Tw Cen MT" w:cs="Calibri"/>
                <w:b/>
                <w:bCs/>
                <w:color w:val="808080"/>
              </w:rPr>
            </w:pPr>
            <w:r w:rsidRPr="00BF6329">
              <w:rPr>
                <w:rFonts w:ascii="Tw Cen MT" w:eastAsia="Times New Roman" w:hAnsi="Tw Cen MT" w:cs="Calibri"/>
                <w:b/>
                <w:bCs/>
                <w:color w:val="808080"/>
              </w:rPr>
              <w:t xml:space="preserve">Median Wage </w:t>
            </w:r>
          </w:p>
        </w:tc>
        <w:tc>
          <w:tcPr>
            <w:tcW w:w="1080" w:type="dxa"/>
            <w:tcBorders>
              <w:top w:val="nil"/>
              <w:left w:val="nil"/>
              <w:bottom w:val="single" w:sz="4" w:space="0" w:color="auto"/>
              <w:right w:val="nil"/>
            </w:tcBorders>
            <w:shd w:val="clear" w:color="auto" w:fill="auto"/>
            <w:vAlign w:val="bottom"/>
            <w:hideMark/>
          </w:tcPr>
          <w:p w14:paraId="419F51CA" w14:textId="77777777" w:rsidR="005D5A64" w:rsidRPr="00BF6329" w:rsidRDefault="005D5A64" w:rsidP="00743E3F">
            <w:pPr>
              <w:spacing w:after="0" w:line="240" w:lineRule="auto"/>
              <w:jc w:val="center"/>
              <w:rPr>
                <w:rFonts w:ascii="Tw Cen MT" w:eastAsia="Times New Roman" w:hAnsi="Tw Cen MT" w:cs="Calibri"/>
                <w:b/>
                <w:bCs/>
                <w:color w:val="808080"/>
              </w:rPr>
            </w:pPr>
            <w:r w:rsidRPr="00BF6329">
              <w:rPr>
                <w:rFonts w:ascii="Tw Cen MT" w:eastAsia="Times New Roman" w:hAnsi="Tw Cen MT" w:cs="Calibri"/>
                <w:b/>
                <w:bCs/>
                <w:color w:val="808080"/>
              </w:rPr>
              <w:t>Cost Difference</w:t>
            </w:r>
          </w:p>
        </w:tc>
        <w:tc>
          <w:tcPr>
            <w:tcW w:w="1340" w:type="dxa"/>
            <w:tcBorders>
              <w:top w:val="nil"/>
              <w:left w:val="single" w:sz="4" w:space="0" w:color="auto"/>
              <w:bottom w:val="single" w:sz="4" w:space="0" w:color="auto"/>
              <w:right w:val="nil"/>
            </w:tcBorders>
            <w:shd w:val="clear" w:color="auto" w:fill="auto"/>
            <w:vAlign w:val="center"/>
            <w:hideMark/>
          </w:tcPr>
          <w:p w14:paraId="18118050" w14:textId="77777777" w:rsidR="005D5A64" w:rsidRPr="00BF6329" w:rsidRDefault="005D5A64" w:rsidP="00743E3F">
            <w:pPr>
              <w:spacing w:after="0" w:line="240" w:lineRule="auto"/>
              <w:jc w:val="center"/>
              <w:rPr>
                <w:rFonts w:ascii="Tw Cen MT" w:eastAsia="Times New Roman" w:hAnsi="Tw Cen MT" w:cs="Calibri"/>
                <w:b/>
                <w:bCs/>
                <w:color w:val="808080"/>
              </w:rPr>
            </w:pPr>
            <w:r w:rsidRPr="00BF6329">
              <w:rPr>
                <w:rFonts w:ascii="Tw Cen MT" w:eastAsia="Times New Roman" w:hAnsi="Tw Cen MT" w:cs="Calibri"/>
                <w:b/>
                <w:bCs/>
                <w:color w:val="808080"/>
              </w:rPr>
              <w:t>Experienced Wage</w:t>
            </w:r>
          </w:p>
        </w:tc>
        <w:tc>
          <w:tcPr>
            <w:tcW w:w="1080" w:type="dxa"/>
            <w:tcBorders>
              <w:top w:val="nil"/>
              <w:left w:val="nil"/>
              <w:bottom w:val="single" w:sz="4" w:space="0" w:color="auto"/>
              <w:right w:val="nil"/>
            </w:tcBorders>
            <w:shd w:val="clear" w:color="auto" w:fill="auto"/>
            <w:vAlign w:val="bottom"/>
            <w:hideMark/>
          </w:tcPr>
          <w:p w14:paraId="72742CF0" w14:textId="77777777" w:rsidR="005D5A64" w:rsidRPr="00BF6329" w:rsidRDefault="005D5A64" w:rsidP="00743E3F">
            <w:pPr>
              <w:spacing w:after="0" w:line="240" w:lineRule="auto"/>
              <w:jc w:val="center"/>
              <w:rPr>
                <w:rFonts w:ascii="Tw Cen MT" w:eastAsia="Times New Roman" w:hAnsi="Tw Cen MT" w:cs="Calibri"/>
                <w:b/>
                <w:bCs/>
                <w:color w:val="808080"/>
              </w:rPr>
            </w:pPr>
            <w:r w:rsidRPr="00BF6329">
              <w:rPr>
                <w:rFonts w:ascii="Tw Cen MT" w:eastAsia="Times New Roman" w:hAnsi="Tw Cen MT" w:cs="Calibri"/>
                <w:b/>
                <w:bCs/>
                <w:color w:val="808080"/>
              </w:rPr>
              <w:t>Cost Difference</w:t>
            </w:r>
          </w:p>
        </w:tc>
      </w:tr>
      <w:tr w:rsidR="005D5A64" w:rsidRPr="00BF6329" w14:paraId="1D1A9B30" w14:textId="77777777" w:rsidTr="00743E3F">
        <w:trPr>
          <w:trHeight w:val="107"/>
        </w:trPr>
        <w:tc>
          <w:tcPr>
            <w:tcW w:w="2560" w:type="dxa"/>
            <w:tcBorders>
              <w:top w:val="nil"/>
              <w:left w:val="nil"/>
              <w:bottom w:val="nil"/>
              <w:right w:val="nil"/>
            </w:tcBorders>
            <w:shd w:val="clear" w:color="auto" w:fill="auto"/>
            <w:vAlign w:val="center"/>
            <w:hideMark/>
          </w:tcPr>
          <w:p w14:paraId="36A6B0A0"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Assemblers &amp; Fabricators</w:t>
            </w:r>
          </w:p>
        </w:tc>
        <w:tc>
          <w:tcPr>
            <w:tcW w:w="1000" w:type="dxa"/>
            <w:tcBorders>
              <w:top w:val="nil"/>
              <w:left w:val="single" w:sz="4" w:space="0" w:color="auto"/>
              <w:bottom w:val="nil"/>
              <w:right w:val="nil"/>
            </w:tcBorders>
            <w:shd w:val="clear" w:color="auto" w:fill="auto"/>
            <w:noWrap/>
            <w:vAlign w:val="center"/>
            <w:hideMark/>
          </w:tcPr>
          <w:p w14:paraId="33D2B461"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nil"/>
              <w:left w:val="nil"/>
              <w:bottom w:val="nil"/>
              <w:right w:val="nil"/>
            </w:tcBorders>
            <w:shd w:val="clear" w:color="auto" w:fill="auto"/>
            <w:noWrap/>
            <w:vAlign w:val="center"/>
            <w:hideMark/>
          </w:tcPr>
          <w:p w14:paraId="355EC74E"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-$710</w:t>
            </w:r>
          </w:p>
        </w:tc>
        <w:tc>
          <w:tcPr>
            <w:tcW w:w="960" w:type="dxa"/>
            <w:tcBorders>
              <w:top w:val="nil"/>
              <w:left w:val="single" w:sz="4" w:space="0" w:color="auto"/>
              <w:bottom w:val="nil"/>
              <w:right w:val="nil"/>
            </w:tcBorders>
            <w:shd w:val="clear" w:color="auto" w:fill="auto"/>
            <w:noWrap/>
            <w:vAlign w:val="center"/>
            <w:hideMark/>
          </w:tcPr>
          <w:p w14:paraId="1010BB8E"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6CF7DD3F"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-$480</w:t>
            </w:r>
          </w:p>
        </w:tc>
        <w:tc>
          <w:tcPr>
            <w:tcW w:w="1340" w:type="dxa"/>
            <w:tcBorders>
              <w:top w:val="nil"/>
              <w:left w:val="single" w:sz="4" w:space="0" w:color="auto"/>
              <w:bottom w:val="nil"/>
              <w:right w:val="nil"/>
            </w:tcBorders>
            <w:shd w:val="clear" w:color="auto" w:fill="auto"/>
            <w:noWrap/>
            <w:vAlign w:val="center"/>
            <w:hideMark/>
          </w:tcPr>
          <w:p w14:paraId="7BEFAF99"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35306835"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-$300</w:t>
            </w:r>
          </w:p>
        </w:tc>
      </w:tr>
      <w:tr w:rsidR="005D5A64" w:rsidRPr="00BF6329" w14:paraId="7DB888A0" w14:textId="77777777" w:rsidTr="00743E3F">
        <w:trPr>
          <w:trHeight w:val="70"/>
        </w:trPr>
        <w:tc>
          <w:tcPr>
            <w:tcW w:w="2560" w:type="dxa"/>
            <w:tcBorders>
              <w:top w:val="single" w:sz="4" w:space="0" w:color="auto"/>
              <w:left w:val="nil"/>
              <w:bottom w:val="single" w:sz="4" w:space="0" w:color="auto"/>
              <w:right w:val="nil"/>
            </w:tcBorders>
            <w:shd w:val="clear" w:color="000000" w:fill="E7E6E6"/>
            <w:vAlign w:val="center"/>
            <w:hideMark/>
          </w:tcPr>
          <w:p w14:paraId="20C0436D"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Cashiers</w:t>
            </w:r>
          </w:p>
        </w:tc>
        <w:tc>
          <w:tcPr>
            <w:tcW w:w="1000" w:type="dxa"/>
            <w:tcBorders>
              <w:top w:val="single" w:sz="4" w:space="0" w:color="auto"/>
              <w:left w:val="single" w:sz="4" w:space="0" w:color="auto"/>
              <w:bottom w:val="single" w:sz="4" w:space="0" w:color="auto"/>
              <w:right w:val="nil"/>
            </w:tcBorders>
            <w:shd w:val="clear" w:color="000000" w:fill="E7E6E6"/>
            <w:noWrap/>
            <w:vAlign w:val="center"/>
            <w:hideMark/>
          </w:tcPr>
          <w:p w14:paraId="0AE76EEA"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single" w:sz="4" w:space="0" w:color="auto"/>
              <w:left w:val="nil"/>
              <w:bottom w:val="single" w:sz="4" w:space="0" w:color="auto"/>
              <w:right w:val="nil"/>
            </w:tcBorders>
            <w:shd w:val="clear" w:color="000000" w:fill="E7E6E6"/>
            <w:noWrap/>
            <w:vAlign w:val="center"/>
            <w:hideMark/>
          </w:tcPr>
          <w:p w14:paraId="6B96B0F7"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-$920</w:t>
            </w:r>
          </w:p>
        </w:tc>
        <w:tc>
          <w:tcPr>
            <w:tcW w:w="960" w:type="dxa"/>
            <w:tcBorders>
              <w:top w:val="single" w:sz="4" w:space="0" w:color="auto"/>
              <w:left w:val="single" w:sz="4" w:space="0" w:color="auto"/>
              <w:bottom w:val="single" w:sz="4" w:space="0" w:color="auto"/>
              <w:right w:val="nil"/>
            </w:tcBorders>
            <w:shd w:val="clear" w:color="000000" w:fill="E7E6E6"/>
            <w:noWrap/>
            <w:vAlign w:val="center"/>
            <w:hideMark/>
          </w:tcPr>
          <w:p w14:paraId="0F0FE925"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single" w:sz="4" w:space="0" w:color="auto"/>
              <w:left w:val="nil"/>
              <w:bottom w:val="single" w:sz="4" w:space="0" w:color="auto"/>
              <w:right w:val="nil"/>
            </w:tcBorders>
            <w:shd w:val="clear" w:color="000000" w:fill="E7E6E6"/>
            <w:noWrap/>
            <w:vAlign w:val="center"/>
            <w:hideMark/>
          </w:tcPr>
          <w:p w14:paraId="706FFC31"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-$850</w:t>
            </w:r>
          </w:p>
        </w:tc>
        <w:tc>
          <w:tcPr>
            <w:tcW w:w="1340" w:type="dxa"/>
            <w:tcBorders>
              <w:top w:val="single" w:sz="4" w:space="0" w:color="auto"/>
              <w:left w:val="single" w:sz="4" w:space="0" w:color="auto"/>
              <w:bottom w:val="single" w:sz="4" w:space="0" w:color="auto"/>
              <w:right w:val="nil"/>
            </w:tcBorders>
            <w:shd w:val="clear" w:color="000000" w:fill="E7E6E6"/>
            <w:noWrap/>
            <w:vAlign w:val="center"/>
            <w:hideMark/>
          </w:tcPr>
          <w:p w14:paraId="132AD625"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single" w:sz="4" w:space="0" w:color="auto"/>
              <w:left w:val="nil"/>
              <w:bottom w:val="single" w:sz="4" w:space="0" w:color="auto"/>
              <w:right w:val="nil"/>
            </w:tcBorders>
            <w:shd w:val="clear" w:color="000000" w:fill="E7E6E6"/>
            <w:noWrap/>
            <w:vAlign w:val="center"/>
            <w:hideMark/>
          </w:tcPr>
          <w:p w14:paraId="6D66041C"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-$750</w:t>
            </w:r>
          </w:p>
        </w:tc>
      </w:tr>
      <w:tr w:rsidR="005D5A64" w:rsidRPr="00BF6329" w14:paraId="0F5C7345" w14:textId="77777777" w:rsidTr="00743E3F">
        <w:trPr>
          <w:trHeight w:val="70"/>
        </w:trPr>
        <w:tc>
          <w:tcPr>
            <w:tcW w:w="2560" w:type="dxa"/>
            <w:tcBorders>
              <w:top w:val="nil"/>
              <w:left w:val="nil"/>
              <w:bottom w:val="nil"/>
              <w:right w:val="nil"/>
            </w:tcBorders>
            <w:shd w:val="clear" w:color="auto" w:fill="auto"/>
            <w:vAlign w:val="center"/>
            <w:hideMark/>
          </w:tcPr>
          <w:p w14:paraId="2B5E560A"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Childcare Workers</w:t>
            </w:r>
          </w:p>
        </w:tc>
        <w:tc>
          <w:tcPr>
            <w:tcW w:w="1000" w:type="dxa"/>
            <w:tcBorders>
              <w:top w:val="nil"/>
              <w:left w:val="single" w:sz="4" w:space="0" w:color="auto"/>
              <w:bottom w:val="nil"/>
              <w:right w:val="nil"/>
            </w:tcBorders>
            <w:shd w:val="clear" w:color="auto" w:fill="auto"/>
            <w:noWrap/>
            <w:vAlign w:val="center"/>
            <w:hideMark/>
          </w:tcPr>
          <w:p w14:paraId="5D179778"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nil"/>
              <w:left w:val="nil"/>
              <w:bottom w:val="nil"/>
              <w:right w:val="nil"/>
            </w:tcBorders>
            <w:shd w:val="clear" w:color="auto" w:fill="auto"/>
            <w:noWrap/>
            <w:vAlign w:val="center"/>
            <w:hideMark/>
          </w:tcPr>
          <w:p w14:paraId="6D1ACEA0"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-$1,010</w:t>
            </w:r>
          </w:p>
        </w:tc>
        <w:tc>
          <w:tcPr>
            <w:tcW w:w="960" w:type="dxa"/>
            <w:tcBorders>
              <w:top w:val="nil"/>
              <w:left w:val="single" w:sz="4" w:space="0" w:color="auto"/>
              <w:bottom w:val="nil"/>
              <w:right w:val="nil"/>
            </w:tcBorders>
            <w:shd w:val="clear" w:color="auto" w:fill="auto"/>
            <w:noWrap/>
            <w:vAlign w:val="center"/>
            <w:hideMark/>
          </w:tcPr>
          <w:p w14:paraId="3875CFE1"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1AB4B90A"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-$890</w:t>
            </w:r>
          </w:p>
        </w:tc>
        <w:tc>
          <w:tcPr>
            <w:tcW w:w="1340" w:type="dxa"/>
            <w:tcBorders>
              <w:top w:val="nil"/>
              <w:left w:val="single" w:sz="4" w:space="0" w:color="auto"/>
              <w:bottom w:val="nil"/>
              <w:right w:val="nil"/>
            </w:tcBorders>
            <w:shd w:val="clear" w:color="auto" w:fill="auto"/>
            <w:noWrap/>
            <w:vAlign w:val="center"/>
            <w:hideMark/>
          </w:tcPr>
          <w:p w14:paraId="222B875B"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7AF475E9"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-$780</w:t>
            </w:r>
          </w:p>
        </w:tc>
      </w:tr>
      <w:tr w:rsidR="005D5A64" w:rsidRPr="00BF6329" w14:paraId="6047BF18" w14:textId="77777777" w:rsidTr="00743E3F">
        <w:trPr>
          <w:trHeight w:val="70"/>
        </w:trPr>
        <w:tc>
          <w:tcPr>
            <w:tcW w:w="2560" w:type="dxa"/>
            <w:tcBorders>
              <w:top w:val="single" w:sz="4" w:space="0" w:color="auto"/>
              <w:left w:val="nil"/>
              <w:bottom w:val="single" w:sz="4" w:space="0" w:color="auto"/>
              <w:right w:val="nil"/>
            </w:tcBorders>
            <w:shd w:val="clear" w:color="000000" w:fill="E7E6E6"/>
            <w:vAlign w:val="center"/>
            <w:hideMark/>
          </w:tcPr>
          <w:p w14:paraId="68BEC8D9"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Construction Laborers</w:t>
            </w:r>
          </w:p>
        </w:tc>
        <w:tc>
          <w:tcPr>
            <w:tcW w:w="1000" w:type="dxa"/>
            <w:tcBorders>
              <w:top w:val="single" w:sz="4" w:space="0" w:color="auto"/>
              <w:left w:val="single" w:sz="4" w:space="0" w:color="auto"/>
              <w:bottom w:val="single" w:sz="4" w:space="0" w:color="auto"/>
              <w:right w:val="nil"/>
            </w:tcBorders>
            <w:shd w:val="clear" w:color="000000" w:fill="E7E6E6"/>
            <w:noWrap/>
            <w:vAlign w:val="center"/>
            <w:hideMark/>
          </w:tcPr>
          <w:p w14:paraId="7A2C222B"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single" w:sz="4" w:space="0" w:color="auto"/>
              <w:left w:val="nil"/>
              <w:bottom w:val="single" w:sz="4" w:space="0" w:color="auto"/>
              <w:right w:val="nil"/>
            </w:tcBorders>
            <w:shd w:val="clear" w:color="000000" w:fill="E7E6E6"/>
            <w:noWrap/>
            <w:vAlign w:val="center"/>
            <w:hideMark/>
          </w:tcPr>
          <w:p w14:paraId="0A27B6B2"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-$590</w:t>
            </w:r>
          </w:p>
        </w:tc>
        <w:tc>
          <w:tcPr>
            <w:tcW w:w="960" w:type="dxa"/>
            <w:tcBorders>
              <w:top w:val="single" w:sz="4" w:space="0" w:color="auto"/>
              <w:left w:val="single" w:sz="4" w:space="0" w:color="auto"/>
              <w:bottom w:val="single" w:sz="4" w:space="0" w:color="auto"/>
              <w:right w:val="nil"/>
            </w:tcBorders>
            <w:shd w:val="clear" w:color="000000" w:fill="E7E6E6"/>
            <w:noWrap/>
            <w:vAlign w:val="center"/>
            <w:hideMark/>
          </w:tcPr>
          <w:p w14:paraId="309893DF"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single" w:sz="4" w:space="0" w:color="auto"/>
              <w:left w:val="nil"/>
              <w:bottom w:val="single" w:sz="4" w:space="0" w:color="auto"/>
              <w:right w:val="nil"/>
            </w:tcBorders>
            <w:shd w:val="clear" w:color="000000" w:fill="E7E6E6"/>
            <w:noWrap/>
            <w:vAlign w:val="center"/>
            <w:hideMark/>
          </w:tcPr>
          <w:p w14:paraId="686D973E"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-$410</w:t>
            </w:r>
          </w:p>
        </w:tc>
        <w:tc>
          <w:tcPr>
            <w:tcW w:w="1340" w:type="dxa"/>
            <w:tcBorders>
              <w:top w:val="single" w:sz="4" w:space="0" w:color="auto"/>
              <w:left w:val="single" w:sz="4" w:space="0" w:color="auto"/>
              <w:bottom w:val="single" w:sz="4" w:space="0" w:color="auto"/>
              <w:right w:val="nil"/>
            </w:tcBorders>
            <w:shd w:val="clear" w:color="000000" w:fill="E7E6E6"/>
            <w:noWrap/>
            <w:vAlign w:val="center"/>
            <w:hideMark/>
          </w:tcPr>
          <w:p w14:paraId="4F501F6E"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single" w:sz="4" w:space="0" w:color="auto"/>
              <w:left w:val="nil"/>
              <w:bottom w:val="single" w:sz="4" w:space="0" w:color="auto"/>
              <w:right w:val="nil"/>
            </w:tcBorders>
            <w:shd w:val="clear" w:color="000000" w:fill="E7E6E6"/>
            <w:noWrap/>
            <w:vAlign w:val="center"/>
            <w:hideMark/>
          </w:tcPr>
          <w:p w14:paraId="4FD2AD1B"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-$230</w:t>
            </w:r>
          </w:p>
        </w:tc>
      </w:tr>
      <w:tr w:rsidR="005D5A64" w:rsidRPr="00BF6329" w14:paraId="61B7A047" w14:textId="77777777" w:rsidTr="00743E3F">
        <w:trPr>
          <w:trHeight w:val="70"/>
        </w:trPr>
        <w:tc>
          <w:tcPr>
            <w:tcW w:w="2560" w:type="dxa"/>
            <w:tcBorders>
              <w:top w:val="nil"/>
              <w:left w:val="nil"/>
              <w:bottom w:val="nil"/>
              <w:right w:val="nil"/>
            </w:tcBorders>
            <w:shd w:val="clear" w:color="auto" w:fill="auto"/>
            <w:vAlign w:val="center"/>
            <w:hideMark/>
          </w:tcPr>
          <w:p w14:paraId="3B7AF734"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Electricians</w:t>
            </w:r>
          </w:p>
        </w:tc>
        <w:tc>
          <w:tcPr>
            <w:tcW w:w="1000" w:type="dxa"/>
            <w:tcBorders>
              <w:top w:val="nil"/>
              <w:left w:val="single" w:sz="4" w:space="0" w:color="auto"/>
              <w:bottom w:val="nil"/>
              <w:right w:val="nil"/>
            </w:tcBorders>
            <w:shd w:val="clear" w:color="auto" w:fill="auto"/>
            <w:noWrap/>
            <w:vAlign w:val="center"/>
            <w:hideMark/>
          </w:tcPr>
          <w:p w14:paraId="776A468D"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nil"/>
              <w:left w:val="nil"/>
              <w:bottom w:val="nil"/>
              <w:right w:val="nil"/>
            </w:tcBorders>
            <w:shd w:val="clear" w:color="auto" w:fill="auto"/>
            <w:noWrap/>
            <w:vAlign w:val="center"/>
            <w:hideMark/>
          </w:tcPr>
          <w:p w14:paraId="4321860F"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-$440</w:t>
            </w:r>
          </w:p>
        </w:tc>
        <w:tc>
          <w:tcPr>
            <w:tcW w:w="960" w:type="dxa"/>
            <w:tcBorders>
              <w:top w:val="nil"/>
              <w:left w:val="single" w:sz="4" w:space="0" w:color="auto"/>
              <w:bottom w:val="nil"/>
              <w:right w:val="nil"/>
            </w:tcBorders>
            <w:shd w:val="clear" w:color="auto" w:fill="auto"/>
            <w:noWrap/>
            <w:vAlign w:val="center"/>
            <w:hideMark/>
          </w:tcPr>
          <w:p w14:paraId="7820CA95"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Yes</w:t>
            </w:r>
          </w:p>
        </w:tc>
        <w:tc>
          <w:tcPr>
            <w:tcW w:w="1080" w:type="dxa"/>
            <w:tcBorders>
              <w:top w:val="nil"/>
              <w:left w:val="nil"/>
              <w:bottom w:val="nil"/>
              <w:right w:val="nil"/>
            </w:tcBorders>
            <w:shd w:val="clear" w:color="auto" w:fill="auto"/>
            <w:noWrap/>
            <w:vAlign w:val="center"/>
            <w:hideMark/>
          </w:tcPr>
          <w:p w14:paraId="1D08ADDE"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$130</w:t>
            </w:r>
          </w:p>
        </w:tc>
        <w:tc>
          <w:tcPr>
            <w:tcW w:w="1340" w:type="dxa"/>
            <w:tcBorders>
              <w:top w:val="nil"/>
              <w:left w:val="single" w:sz="4" w:space="0" w:color="auto"/>
              <w:bottom w:val="nil"/>
              <w:right w:val="nil"/>
            </w:tcBorders>
            <w:shd w:val="clear" w:color="auto" w:fill="auto"/>
            <w:noWrap/>
            <w:vAlign w:val="center"/>
            <w:hideMark/>
          </w:tcPr>
          <w:p w14:paraId="7102DB50"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Yes</w:t>
            </w:r>
          </w:p>
        </w:tc>
        <w:tc>
          <w:tcPr>
            <w:tcW w:w="1080" w:type="dxa"/>
            <w:tcBorders>
              <w:top w:val="nil"/>
              <w:left w:val="nil"/>
              <w:bottom w:val="nil"/>
              <w:right w:val="nil"/>
            </w:tcBorders>
            <w:shd w:val="clear" w:color="auto" w:fill="auto"/>
            <w:noWrap/>
            <w:vAlign w:val="center"/>
            <w:hideMark/>
          </w:tcPr>
          <w:p w14:paraId="15A478B6"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$440</w:t>
            </w:r>
          </w:p>
        </w:tc>
      </w:tr>
      <w:tr w:rsidR="005D5A64" w:rsidRPr="00BF6329" w14:paraId="724D8564" w14:textId="77777777" w:rsidTr="00743E3F">
        <w:trPr>
          <w:trHeight w:val="70"/>
        </w:trPr>
        <w:tc>
          <w:tcPr>
            <w:tcW w:w="2560" w:type="dxa"/>
            <w:tcBorders>
              <w:top w:val="single" w:sz="4" w:space="0" w:color="auto"/>
              <w:left w:val="nil"/>
              <w:bottom w:val="single" w:sz="4" w:space="0" w:color="auto"/>
              <w:right w:val="nil"/>
            </w:tcBorders>
            <w:shd w:val="clear" w:color="000000" w:fill="E7E6E6"/>
            <w:vAlign w:val="center"/>
            <w:hideMark/>
          </w:tcPr>
          <w:p w14:paraId="5C8CAC8B"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Engineers</w:t>
            </w:r>
          </w:p>
        </w:tc>
        <w:tc>
          <w:tcPr>
            <w:tcW w:w="1000" w:type="dxa"/>
            <w:tcBorders>
              <w:top w:val="single" w:sz="4" w:space="0" w:color="auto"/>
              <w:left w:val="single" w:sz="4" w:space="0" w:color="auto"/>
              <w:bottom w:val="single" w:sz="4" w:space="0" w:color="auto"/>
              <w:right w:val="nil"/>
            </w:tcBorders>
            <w:shd w:val="clear" w:color="000000" w:fill="E7E6E6"/>
            <w:noWrap/>
            <w:vAlign w:val="center"/>
            <w:hideMark/>
          </w:tcPr>
          <w:p w14:paraId="1BC427CA"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Yes</w:t>
            </w:r>
          </w:p>
        </w:tc>
        <w:tc>
          <w:tcPr>
            <w:tcW w:w="1060" w:type="dxa"/>
            <w:tcBorders>
              <w:top w:val="single" w:sz="4" w:space="0" w:color="auto"/>
              <w:left w:val="nil"/>
              <w:bottom w:val="single" w:sz="4" w:space="0" w:color="auto"/>
              <w:right w:val="nil"/>
            </w:tcBorders>
            <w:shd w:val="clear" w:color="000000" w:fill="E7E6E6"/>
            <w:noWrap/>
            <w:vAlign w:val="center"/>
            <w:hideMark/>
          </w:tcPr>
          <w:p w14:paraId="4F373B4F"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$250</w:t>
            </w:r>
          </w:p>
        </w:tc>
        <w:tc>
          <w:tcPr>
            <w:tcW w:w="960" w:type="dxa"/>
            <w:tcBorders>
              <w:top w:val="single" w:sz="4" w:space="0" w:color="auto"/>
              <w:left w:val="single" w:sz="4" w:space="0" w:color="auto"/>
              <w:bottom w:val="single" w:sz="4" w:space="0" w:color="auto"/>
              <w:right w:val="nil"/>
            </w:tcBorders>
            <w:shd w:val="clear" w:color="000000" w:fill="E7E6E6"/>
            <w:noWrap/>
            <w:vAlign w:val="center"/>
            <w:hideMark/>
          </w:tcPr>
          <w:p w14:paraId="14EB381E"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Yes</w:t>
            </w:r>
          </w:p>
        </w:tc>
        <w:tc>
          <w:tcPr>
            <w:tcW w:w="1080" w:type="dxa"/>
            <w:tcBorders>
              <w:top w:val="single" w:sz="4" w:space="0" w:color="auto"/>
              <w:left w:val="nil"/>
              <w:bottom w:val="single" w:sz="4" w:space="0" w:color="auto"/>
              <w:right w:val="nil"/>
            </w:tcBorders>
            <w:shd w:val="clear" w:color="000000" w:fill="E7E6E6"/>
            <w:noWrap/>
            <w:vAlign w:val="center"/>
            <w:hideMark/>
          </w:tcPr>
          <w:p w14:paraId="1ED49863"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$1,050</w:t>
            </w:r>
          </w:p>
        </w:tc>
        <w:tc>
          <w:tcPr>
            <w:tcW w:w="1340" w:type="dxa"/>
            <w:tcBorders>
              <w:top w:val="single" w:sz="4" w:space="0" w:color="auto"/>
              <w:left w:val="single" w:sz="4" w:space="0" w:color="auto"/>
              <w:bottom w:val="single" w:sz="4" w:space="0" w:color="auto"/>
              <w:right w:val="nil"/>
            </w:tcBorders>
            <w:shd w:val="clear" w:color="000000" w:fill="E7E6E6"/>
            <w:noWrap/>
            <w:vAlign w:val="center"/>
            <w:hideMark/>
          </w:tcPr>
          <w:p w14:paraId="5CE6DE5D"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Yes</w:t>
            </w:r>
          </w:p>
        </w:tc>
        <w:tc>
          <w:tcPr>
            <w:tcW w:w="1080" w:type="dxa"/>
            <w:tcBorders>
              <w:top w:val="single" w:sz="4" w:space="0" w:color="auto"/>
              <w:left w:val="nil"/>
              <w:bottom w:val="single" w:sz="4" w:space="0" w:color="auto"/>
              <w:right w:val="nil"/>
            </w:tcBorders>
            <w:shd w:val="clear" w:color="000000" w:fill="E7E6E6"/>
            <w:noWrap/>
            <w:vAlign w:val="center"/>
            <w:hideMark/>
          </w:tcPr>
          <w:p w14:paraId="1FED6BCE"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$1,650</w:t>
            </w:r>
          </w:p>
        </w:tc>
      </w:tr>
      <w:tr w:rsidR="005D5A64" w:rsidRPr="00BF6329" w14:paraId="349499DD" w14:textId="77777777" w:rsidTr="00743E3F">
        <w:trPr>
          <w:trHeight w:val="70"/>
        </w:trPr>
        <w:tc>
          <w:tcPr>
            <w:tcW w:w="2560" w:type="dxa"/>
            <w:tcBorders>
              <w:top w:val="nil"/>
              <w:left w:val="nil"/>
              <w:bottom w:val="nil"/>
              <w:right w:val="nil"/>
            </w:tcBorders>
            <w:shd w:val="clear" w:color="auto" w:fill="auto"/>
            <w:vAlign w:val="center"/>
            <w:hideMark/>
          </w:tcPr>
          <w:p w14:paraId="23033914"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Fast Food &amp; Counter Workers</w:t>
            </w:r>
          </w:p>
        </w:tc>
        <w:tc>
          <w:tcPr>
            <w:tcW w:w="1000" w:type="dxa"/>
            <w:tcBorders>
              <w:top w:val="nil"/>
              <w:left w:val="single" w:sz="4" w:space="0" w:color="auto"/>
              <w:bottom w:val="nil"/>
              <w:right w:val="nil"/>
            </w:tcBorders>
            <w:shd w:val="clear" w:color="auto" w:fill="auto"/>
            <w:noWrap/>
            <w:vAlign w:val="center"/>
            <w:hideMark/>
          </w:tcPr>
          <w:p w14:paraId="4DB16F89"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nil"/>
              <w:left w:val="nil"/>
              <w:bottom w:val="nil"/>
              <w:right w:val="nil"/>
            </w:tcBorders>
            <w:shd w:val="clear" w:color="auto" w:fill="auto"/>
            <w:noWrap/>
            <w:vAlign w:val="center"/>
            <w:hideMark/>
          </w:tcPr>
          <w:p w14:paraId="2B10A83F"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-$930</w:t>
            </w:r>
          </w:p>
        </w:tc>
        <w:tc>
          <w:tcPr>
            <w:tcW w:w="960" w:type="dxa"/>
            <w:tcBorders>
              <w:top w:val="nil"/>
              <w:left w:val="single" w:sz="4" w:space="0" w:color="auto"/>
              <w:bottom w:val="nil"/>
              <w:right w:val="nil"/>
            </w:tcBorders>
            <w:shd w:val="clear" w:color="auto" w:fill="auto"/>
            <w:noWrap/>
            <w:vAlign w:val="center"/>
            <w:hideMark/>
          </w:tcPr>
          <w:p w14:paraId="39134BAF"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344B4766"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-$830</w:t>
            </w:r>
          </w:p>
        </w:tc>
        <w:tc>
          <w:tcPr>
            <w:tcW w:w="1340" w:type="dxa"/>
            <w:tcBorders>
              <w:top w:val="nil"/>
              <w:left w:val="single" w:sz="4" w:space="0" w:color="auto"/>
              <w:bottom w:val="nil"/>
              <w:right w:val="nil"/>
            </w:tcBorders>
            <w:shd w:val="clear" w:color="auto" w:fill="auto"/>
            <w:noWrap/>
            <w:vAlign w:val="center"/>
            <w:hideMark/>
          </w:tcPr>
          <w:p w14:paraId="46FEF131"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3D77B62C"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-$740</w:t>
            </w:r>
          </w:p>
        </w:tc>
      </w:tr>
      <w:tr w:rsidR="005D5A64" w:rsidRPr="00BF6329" w14:paraId="109D0B8E" w14:textId="77777777" w:rsidTr="00743E3F">
        <w:trPr>
          <w:trHeight w:val="70"/>
        </w:trPr>
        <w:tc>
          <w:tcPr>
            <w:tcW w:w="2560" w:type="dxa"/>
            <w:tcBorders>
              <w:top w:val="single" w:sz="4" w:space="0" w:color="auto"/>
              <w:left w:val="nil"/>
              <w:bottom w:val="single" w:sz="4" w:space="0" w:color="auto"/>
              <w:right w:val="nil"/>
            </w:tcBorders>
            <w:shd w:val="clear" w:color="000000" w:fill="E7E6E6"/>
            <w:vAlign w:val="center"/>
            <w:hideMark/>
          </w:tcPr>
          <w:p w14:paraId="43DF91FF"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Heavy &amp; Tractor-Trailer Truck Drivers</w:t>
            </w:r>
          </w:p>
        </w:tc>
        <w:tc>
          <w:tcPr>
            <w:tcW w:w="1000" w:type="dxa"/>
            <w:tcBorders>
              <w:top w:val="single" w:sz="4" w:space="0" w:color="auto"/>
              <w:left w:val="single" w:sz="4" w:space="0" w:color="auto"/>
              <w:bottom w:val="single" w:sz="4" w:space="0" w:color="auto"/>
              <w:right w:val="nil"/>
            </w:tcBorders>
            <w:shd w:val="clear" w:color="000000" w:fill="E7E6E6"/>
            <w:noWrap/>
            <w:vAlign w:val="center"/>
            <w:hideMark/>
          </w:tcPr>
          <w:p w14:paraId="72F0ADE3"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single" w:sz="4" w:space="0" w:color="auto"/>
              <w:left w:val="nil"/>
              <w:bottom w:val="single" w:sz="4" w:space="0" w:color="auto"/>
              <w:right w:val="nil"/>
            </w:tcBorders>
            <w:shd w:val="clear" w:color="000000" w:fill="E7E6E6"/>
            <w:noWrap/>
            <w:vAlign w:val="center"/>
            <w:hideMark/>
          </w:tcPr>
          <w:p w14:paraId="164BDDE5"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-$350</w:t>
            </w:r>
          </w:p>
        </w:tc>
        <w:tc>
          <w:tcPr>
            <w:tcW w:w="960" w:type="dxa"/>
            <w:tcBorders>
              <w:top w:val="single" w:sz="4" w:space="0" w:color="auto"/>
              <w:left w:val="single" w:sz="4" w:space="0" w:color="auto"/>
              <w:bottom w:val="single" w:sz="4" w:space="0" w:color="auto"/>
              <w:right w:val="nil"/>
            </w:tcBorders>
            <w:shd w:val="clear" w:color="000000" w:fill="E7E6E6"/>
            <w:noWrap/>
            <w:vAlign w:val="center"/>
            <w:hideMark/>
          </w:tcPr>
          <w:p w14:paraId="778C5A8D"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single" w:sz="4" w:space="0" w:color="auto"/>
              <w:left w:val="nil"/>
              <w:bottom w:val="single" w:sz="4" w:space="0" w:color="auto"/>
              <w:right w:val="nil"/>
            </w:tcBorders>
            <w:shd w:val="clear" w:color="000000" w:fill="E7E6E6"/>
            <w:noWrap/>
            <w:vAlign w:val="center"/>
            <w:hideMark/>
          </w:tcPr>
          <w:p w14:paraId="5E7AD48C"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-$160</w:t>
            </w:r>
          </w:p>
        </w:tc>
        <w:tc>
          <w:tcPr>
            <w:tcW w:w="1340" w:type="dxa"/>
            <w:tcBorders>
              <w:top w:val="single" w:sz="4" w:space="0" w:color="auto"/>
              <w:left w:val="single" w:sz="4" w:space="0" w:color="auto"/>
              <w:bottom w:val="single" w:sz="4" w:space="0" w:color="auto"/>
              <w:right w:val="nil"/>
            </w:tcBorders>
            <w:shd w:val="clear" w:color="000000" w:fill="E7E6E6"/>
            <w:noWrap/>
            <w:vAlign w:val="center"/>
            <w:hideMark/>
          </w:tcPr>
          <w:p w14:paraId="2938EC7B"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Yes</w:t>
            </w:r>
          </w:p>
        </w:tc>
        <w:tc>
          <w:tcPr>
            <w:tcW w:w="1080" w:type="dxa"/>
            <w:tcBorders>
              <w:top w:val="single" w:sz="4" w:space="0" w:color="auto"/>
              <w:left w:val="nil"/>
              <w:bottom w:val="single" w:sz="4" w:space="0" w:color="auto"/>
              <w:right w:val="nil"/>
            </w:tcBorders>
            <w:shd w:val="clear" w:color="000000" w:fill="E7E6E6"/>
            <w:noWrap/>
            <w:vAlign w:val="center"/>
            <w:hideMark/>
          </w:tcPr>
          <w:p w14:paraId="07D4FA90"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$120</w:t>
            </w:r>
          </w:p>
        </w:tc>
      </w:tr>
      <w:tr w:rsidR="005D5A64" w:rsidRPr="00BF6329" w14:paraId="0F4821DC" w14:textId="77777777" w:rsidTr="00743E3F">
        <w:trPr>
          <w:trHeight w:val="152"/>
        </w:trPr>
        <w:tc>
          <w:tcPr>
            <w:tcW w:w="2560" w:type="dxa"/>
            <w:tcBorders>
              <w:top w:val="nil"/>
              <w:left w:val="nil"/>
              <w:bottom w:val="nil"/>
              <w:right w:val="nil"/>
            </w:tcBorders>
            <w:shd w:val="clear" w:color="auto" w:fill="auto"/>
            <w:vAlign w:val="center"/>
            <w:hideMark/>
          </w:tcPr>
          <w:p w14:paraId="73D104A0"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Home Health &amp; Personal Care Aides</w:t>
            </w:r>
          </w:p>
        </w:tc>
        <w:tc>
          <w:tcPr>
            <w:tcW w:w="1000" w:type="dxa"/>
            <w:tcBorders>
              <w:top w:val="nil"/>
              <w:left w:val="single" w:sz="4" w:space="0" w:color="auto"/>
              <w:bottom w:val="nil"/>
              <w:right w:val="nil"/>
            </w:tcBorders>
            <w:shd w:val="clear" w:color="auto" w:fill="auto"/>
            <w:noWrap/>
            <w:vAlign w:val="center"/>
            <w:hideMark/>
          </w:tcPr>
          <w:p w14:paraId="34AB5740"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nil"/>
              <w:left w:val="nil"/>
              <w:bottom w:val="nil"/>
              <w:right w:val="nil"/>
            </w:tcBorders>
            <w:shd w:val="clear" w:color="auto" w:fill="auto"/>
            <w:noWrap/>
            <w:vAlign w:val="center"/>
            <w:hideMark/>
          </w:tcPr>
          <w:p w14:paraId="2C3F0619"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-$790</w:t>
            </w:r>
          </w:p>
        </w:tc>
        <w:tc>
          <w:tcPr>
            <w:tcW w:w="960" w:type="dxa"/>
            <w:tcBorders>
              <w:top w:val="nil"/>
              <w:left w:val="single" w:sz="4" w:space="0" w:color="auto"/>
              <w:bottom w:val="nil"/>
              <w:right w:val="nil"/>
            </w:tcBorders>
            <w:shd w:val="clear" w:color="auto" w:fill="auto"/>
            <w:noWrap/>
            <w:vAlign w:val="center"/>
            <w:hideMark/>
          </w:tcPr>
          <w:p w14:paraId="08D9AA61"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2169EEAE"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-$700</w:t>
            </w:r>
          </w:p>
        </w:tc>
        <w:tc>
          <w:tcPr>
            <w:tcW w:w="1340" w:type="dxa"/>
            <w:tcBorders>
              <w:top w:val="nil"/>
              <w:left w:val="single" w:sz="4" w:space="0" w:color="auto"/>
              <w:bottom w:val="nil"/>
              <w:right w:val="nil"/>
            </w:tcBorders>
            <w:shd w:val="clear" w:color="auto" w:fill="auto"/>
            <w:noWrap/>
            <w:vAlign w:val="center"/>
            <w:hideMark/>
          </w:tcPr>
          <w:p w14:paraId="77F65FD3"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41C720F5"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-$620</w:t>
            </w:r>
          </w:p>
        </w:tc>
      </w:tr>
      <w:tr w:rsidR="005D5A64" w:rsidRPr="00BF6329" w14:paraId="0E2C4BB5" w14:textId="77777777" w:rsidTr="00743E3F">
        <w:trPr>
          <w:trHeight w:val="395"/>
        </w:trPr>
        <w:tc>
          <w:tcPr>
            <w:tcW w:w="2560" w:type="dxa"/>
            <w:tcBorders>
              <w:top w:val="single" w:sz="4" w:space="0" w:color="auto"/>
              <w:left w:val="nil"/>
              <w:bottom w:val="single" w:sz="4" w:space="0" w:color="auto"/>
              <w:right w:val="nil"/>
            </w:tcBorders>
            <w:shd w:val="clear" w:color="000000" w:fill="E7E6E6"/>
            <w:vAlign w:val="center"/>
            <w:hideMark/>
          </w:tcPr>
          <w:p w14:paraId="5D47BA01"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Janitors &amp; Cleaners, Except Maids &amp; Housekeeping Cleaners</w:t>
            </w:r>
          </w:p>
        </w:tc>
        <w:tc>
          <w:tcPr>
            <w:tcW w:w="1000" w:type="dxa"/>
            <w:tcBorders>
              <w:top w:val="single" w:sz="4" w:space="0" w:color="auto"/>
              <w:left w:val="single" w:sz="4" w:space="0" w:color="auto"/>
              <w:bottom w:val="single" w:sz="4" w:space="0" w:color="auto"/>
              <w:right w:val="nil"/>
            </w:tcBorders>
            <w:shd w:val="clear" w:color="000000" w:fill="E7E6E6"/>
            <w:noWrap/>
            <w:vAlign w:val="center"/>
            <w:hideMark/>
          </w:tcPr>
          <w:p w14:paraId="23B7A456"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single" w:sz="4" w:space="0" w:color="auto"/>
              <w:left w:val="nil"/>
              <w:bottom w:val="single" w:sz="4" w:space="0" w:color="auto"/>
              <w:right w:val="nil"/>
            </w:tcBorders>
            <w:shd w:val="clear" w:color="000000" w:fill="E7E6E6"/>
            <w:noWrap/>
            <w:vAlign w:val="center"/>
            <w:hideMark/>
          </w:tcPr>
          <w:p w14:paraId="57284744"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-$820</w:t>
            </w:r>
          </w:p>
        </w:tc>
        <w:tc>
          <w:tcPr>
            <w:tcW w:w="960" w:type="dxa"/>
            <w:tcBorders>
              <w:top w:val="single" w:sz="4" w:space="0" w:color="auto"/>
              <w:left w:val="single" w:sz="4" w:space="0" w:color="auto"/>
              <w:bottom w:val="single" w:sz="4" w:space="0" w:color="auto"/>
              <w:right w:val="nil"/>
            </w:tcBorders>
            <w:shd w:val="clear" w:color="000000" w:fill="E7E6E6"/>
            <w:noWrap/>
            <w:vAlign w:val="center"/>
            <w:hideMark/>
          </w:tcPr>
          <w:p w14:paraId="3F42D53E"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single" w:sz="4" w:space="0" w:color="auto"/>
              <w:left w:val="nil"/>
              <w:bottom w:val="single" w:sz="4" w:space="0" w:color="auto"/>
              <w:right w:val="nil"/>
            </w:tcBorders>
            <w:shd w:val="clear" w:color="000000" w:fill="E7E6E6"/>
            <w:noWrap/>
            <w:vAlign w:val="center"/>
            <w:hideMark/>
          </w:tcPr>
          <w:p w14:paraId="01FB87B0"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-$680</w:t>
            </w:r>
          </w:p>
        </w:tc>
        <w:tc>
          <w:tcPr>
            <w:tcW w:w="1340" w:type="dxa"/>
            <w:tcBorders>
              <w:top w:val="single" w:sz="4" w:space="0" w:color="auto"/>
              <w:left w:val="single" w:sz="4" w:space="0" w:color="auto"/>
              <w:bottom w:val="single" w:sz="4" w:space="0" w:color="auto"/>
              <w:right w:val="nil"/>
            </w:tcBorders>
            <w:shd w:val="clear" w:color="000000" w:fill="E7E6E6"/>
            <w:noWrap/>
            <w:vAlign w:val="center"/>
            <w:hideMark/>
          </w:tcPr>
          <w:p w14:paraId="29912E73"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single" w:sz="4" w:space="0" w:color="auto"/>
              <w:left w:val="nil"/>
              <w:bottom w:val="single" w:sz="4" w:space="0" w:color="auto"/>
              <w:right w:val="nil"/>
            </w:tcBorders>
            <w:shd w:val="clear" w:color="000000" w:fill="E7E6E6"/>
            <w:noWrap/>
            <w:vAlign w:val="center"/>
            <w:hideMark/>
          </w:tcPr>
          <w:p w14:paraId="41AFBE82"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-$500</w:t>
            </w:r>
          </w:p>
        </w:tc>
      </w:tr>
      <w:tr w:rsidR="005D5A64" w:rsidRPr="00BF6329" w14:paraId="00E3FDF8" w14:textId="77777777" w:rsidTr="00743E3F">
        <w:trPr>
          <w:trHeight w:val="70"/>
        </w:trPr>
        <w:tc>
          <w:tcPr>
            <w:tcW w:w="2560" w:type="dxa"/>
            <w:tcBorders>
              <w:top w:val="nil"/>
              <w:left w:val="nil"/>
              <w:bottom w:val="nil"/>
              <w:right w:val="nil"/>
            </w:tcBorders>
            <w:shd w:val="clear" w:color="auto" w:fill="auto"/>
            <w:vAlign w:val="center"/>
            <w:hideMark/>
          </w:tcPr>
          <w:p w14:paraId="5461275C"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Office Clerks, General</w:t>
            </w:r>
          </w:p>
        </w:tc>
        <w:tc>
          <w:tcPr>
            <w:tcW w:w="1000" w:type="dxa"/>
            <w:tcBorders>
              <w:top w:val="nil"/>
              <w:left w:val="single" w:sz="4" w:space="0" w:color="auto"/>
              <w:bottom w:val="nil"/>
              <w:right w:val="nil"/>
            </w:tcBorders>
            <w:shd w:val="clear" w:color="auto" w:fill="auto"/>
            <w:noWrap/>
            <w:vAlign w:val="center"/>
            <w:hideMark/>
          </w:tcPr>
          <w:p w14:paraId="2E2FCEA3"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nil"/>
              <w:left w:val="nil"/>
              <w:bottom w:val="nil"/>
              <w:right w:val="nil"/>
            </w:tcBorders>
            <w:shd w:val="clear" w:color="auto" w:fill="auto"/>
            <w:noWrap/>
            <w:vAlign w:val="center"/>
            <w:hideMark/>
          </w:tcPr>
          <w:p w14:paraId="7B17115D"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-$680</w:t>
            </w:r>
          </w:p>
        </w:tc>
        <w:tc>
          <w:tcPr>
            <w:tcW w:w="960" w:type="dxa"/>
            <w:tcBorders>
              <w:top w:val="nil"/>
              <w:left w:val="single" w:sz="4" w:space="0" w:color="auto"/>
              <w:bottom w:val="nil"/>
              <w:right w:val="nil"/>
            </w:tcBorders>
            <w:shd w:val="clear" w:color="auto" w:fill="auto"/>
            <w:noWrap/>
            <w:vAlign w:val="center"/>
            <w:hideMark/>
          </w:tcPr>
          <w:p w14:paraId="3F0207EF"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4BF72C12"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-$340</w:t>
            </w:r>
          </w:p>
        </w:tc>
        <w:tc>
          <w:tcPr>
            <w:tcW w:w="1340" w:type="dxa"/>
            <w:tcBorders>
              <w:top w:val="nil"/>
              <w:left w:val="single" w:sz="4" w:space="0" w:color="auto"/>
              <w:bottom w:val="nil"/>
              <w:right w:val="nil"/>
            </w:tcBorders>
            <w:shd w:val="clear" w:color="auto" w:fill="auto"/>
            <w:noWrap/>
            <w:vAlign w:val="center"/>
            <w:hideMark/>
          </w:tcPr>
          <w:p w14:paraId="64629CFB"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362D3F59"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-$160</w:t>
            </w:r>
          </w:p>
        </w:tc>
      </w:tr>
      <w:tr w:rsidR="005D5A64" w:rsidRPr="00BF6329" w14:paraId="425FE6FF" w14:textId="77777777" w:rsidTr="00743E3F">
        <w:trPr>
          <w:trHeight w:val="215"/>
        </w:trPr>
        <w:tc>
          <w:tcPr>
            <w:tcW w:w="2560" w:type="dxa"/>
            <w:tcBorders>
              <w:top w:val="single" w:sz="4" w:space="0" w:color="auto"/>
              <w:left w:val="nil"/>
              <w:bottom w:val="single" w:sz="4" w:space="0" w:color="auto"/>
              <w:right w:val="nil"/>
            </w:tcBorders>
            <w:shd w:val="clear" w:color="000000" w:fill="E7E6E6"/>
            <w:vAlign w:val="center"/>
            <w:hideMark/>
          </w:tcPr>
          <w:p w14:paraId="4592D541"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Police &amp; Sheriff's Patrol Officers</w:t>
            </w:r>
          </w:p>
        </w:tc>
        <w:tc>
          <w:tcPr>
            <w:tcW w:w="1000" w:type="dxa"/>
            <w:tcBorders>
              <w:top w:val="single" w:sz="4" w:space="0" w:color="auto"/>
              <w:left w:val="single" w:sz="4" w:space="0" w:color="auto"/>
              <w:bottom w:val="single" w:sz="4" w:space="0" w:color="auto"/>
              <w:right w:val="nil"/>
            </w:tcBorders>
            <w:shd w:val="clear" w:color="000000" w:fill="E7E6E6"/>
            <w:noWrap/>
            <w:vAlign w:val="center"/>
            <w:hideMark/>
          </w:tcPr>
          <w:p w14:paraId="2D0C075E"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single" w:sz="4" w:space="0" w:color="auto"/>
              <w:left w:val="nil"/>
              <w:bottom w:val="single" w:sz="4" w:space="0" w:color="auto"/>
              <w:right w:val="nil"/>
            </w:tcBorders>
            <w:shd w:val="clear" w:color="000000" w:fill="E7E6E6"/>
            <w:noWrap/>
            <w:vAlign w:val="center"/>
            <w:hideMark/>
          </w:tcPr>
          <w:p w14:paraId="41835D8A"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-$90</w:t>
            </w:r>
          </w:p>
        </w:tc>
        <w:tc>
          <w:tcPr>
            <w:tcW w:w="960" w:type="dxa"/>
            <w:tcBorders>
              <w:top w:val="single" w:sz="4" w:space="0" w:color="auto"/>
              <w:left w:val="single" w:sz="4" w:space="0" w:color="auto"/>
              <w:bottom w:val="single" w:sz="4" w:space="0" w:color="auto"/>
              <w:right w:val="nil"/>
            </w:tcBorders>
            <w:shd w:val="clear" w:color="000000" w:fill="E7E6E6"/>
            <w:noWrap/>
            <w:vAlign w:val="center"/>
            <w:hideMark/>
          </w:tcPr>
          <w:p w14:paraId="67A86068"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Yes</w:t>
            </w:r>
          </w:p>
        </w:tc>
        <w:tc>
          <w:tcPr>
            <w:tcW w:w="1080" w:type="dxa"/>
            <w:tcBorders>
              <w:top w:val="single" w:sz="4" w:space="0" w:color="auto"/>
              <w:left w:val="nil"/>
              <w:bottom w:val="single" w:sz="4" w:space="0" w:color="auto"/>
              <w:right w:val="nil"/>
            </w:tcBorders>
            <w:shd w:val="clear" w:color="000000" w:fill="E7E6E6"/>
            <w:noWrap/>
            <w:vAlign w:val="center"/>
            <w:hideMark/>
          </w:tcPr>
          <w:p w14:paraId="4187577D"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$240</w:t>
            </w:r>
          </w:p>
        </w:tc>
        <w:tc>
          <w:tcPr>
            <w:tcW w:w="1340" w:type="dxa"/>
            <w:tcBorders>
              <w:top w:val="single" w:sz="4" w:space="0" w:color="auto"/>
              <w:left w:val="single" w:sz="4" w:space="0" w:color="auto"/>
              <w:bottom w:val="single" w:sz="4" w:space="0" w:color="auto"/>
              <w:right w:val="nil"/>
            </w:tcBorders>
            <w:shd w:val="clear" w:color="000000" w:fill="E7E6E6"/>
            <w:noWrap/>
            <w:vAlign w:val="center"/>
            <w:hideMark/>
          </w:tcPr>
          <w:p w14:paraId="00342ADC"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Yes</w:t>
            </w:r>
          </w:p>
        </w:tc>
        <w:tc>
          <w:tcPr>
            <w:tcW w:w="1080" w:type="dxa"/>
            <w:tcBorders>
              <w:top w:val="single" w:sz="4" w:space="0" w:color="auto"/>
              <w:left w:val="nil"/>
              <w:bottom w:val="single" w:sz="4" w:space="0" w:color="auto"/>
              <w:right w:val="nil"/>
            </w:tcBorders>
            <w:shd w:val="clear" w:color="000000" w:fill="E7E6E6"/>
            <w:noWrap/>
            <w:vAlign w:val="center"/>
            <w:hideMark/>
          </w:tcPr>
          <w:p w14:paraId="6C5CE23B"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$580</w:t>
            </w:r>
          </w:p>
        </w:tc>
      </w:tr>
      <w:tr w:rsidR="005D5A64" w:rsidRPr="00BF6329" w14:paraId="72382ACD" w14:textId="77777777" w:rsidTr="00743E3F">
        <w:trPr>
          <w:trHeight w:val="70"/>
        </w:trPr>
        <w:tc>
          <w:tcPr>
            <w:tcW w:w="2560" w:type="dxa"/>
            <w:tcBorders>
              <w:top w:val="nil"/>
              <w:left w:val="nil"/>
              <w:bottom w:val="nil"/>
              <w:right w:val="nil"/>
            </w:tcBorders>
            <w:shd w:val="clear" w:color="auto" w:fill="auto"/>
            <w:vAlign w:val="center"/>
            <w:hideMark/>
          </w:tcPr>
          <w:p w14:paraId="742DACB6"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Registered Nurses</w:t>
            </w:r>
          </w:p>
        </w:tc>
        <w:tc>
          <w:tcPr>
            <w:tcW w:w="1000" w:type="dxa"/>
            <w:tcBorders>
              <w:top w:val="nil"/>
              <w:left w:val="single" w:sz="4" w:space="0" w:color="auto"/>
              <w:bottom w:val="nil"/>
              <w:right w:val="nil"/>
            </w:tcBorders>
            <w:shd w:val="clear" w:color="auto" w:fill="auto"/>
            <w:noWrap/>
            <w:vAlign w:val="center"/>
            <w:hideMark/>
          </w:tcPr>
          <w:p w14:paraId="1747A76C"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Yes</w:t>
            </w:r>
          </w:p>
        </w:tc>
        <w:tc>
          <w:tcPr>
            <w:tcW w:w="1060" w:type="dxa"/>
            <w:tcBorders>
              <w:top w:val="nil"/>
              <w:left w:val="nil"/>
              <w:bottom w:val="nil"/>
              <w:right w:val="nil"/>
            </w:tcBorders>
            <w:shd w:val="clear" w:color="auto" w:fill="auto"/>
            <w:noWrap/>
            <w:vAlign w:val="center"/>
            <w:hideMark/>
          </w:tcPr>
          <w:p w14:paraId="32EEA3E4"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$120</w:t>
            </w:r>
          </w:p>
        </w:tc>
        <w:tc>
          <w:tcPr>
            <w:tcW w:w="960" w:type="dxa"/>
            <w:tcBorders>
              <w:top w:val="nil"/>
              <w:left w:val="single" w:sz="4" w:space="0" w:color="auto"/>
              <w:bottom w:val="nil"/>
              <w:right w:val="nil"/>
            </w:tcBorders>
            <w:shd w:val="clear" w:color="auto" w:fill="auto"/>
            <w:noWrap/>
            <w:vAlign w:val="center"/>
            <w:hideMark/>
          </w:tcPr>
          <w:p w14:paraId="08122A83"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Yes</w:t>
            </w:r>
          </w:p>
        </w:tc>
        <w:tc>
          <w:tcPr>
            <w:tcW w:w="1080" w:type="dxa"/>
            <w:tcBorders>
              <w:top w:val="nil"/>
              <w:left w:val="nil"/>
              <w:bottom w:val="nil"/>
              <w:right w:val="nil"/>
            </w:tcBorders>
            <w:shd w:val="clear" w:color="auto" w:fill="auto"/>
            <w:noWrap/>
            <w:vAlign w:val="center"/>
            <w:hideMark/>
          </w:tcPr>
          <w:p w14:paraId="3BF59E69"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$590</w:t>
            </w:r>
          </w:p>
        </w:tc>
        <w:tc>
          <w:tcPr>
            <w:tcW w:w="1340" w:type="dxa"/>
            <w:tcBorders>
              <w:top w:val="nil"/>
              <w:left w:val="single" w:sz="4" w:space="0" w:color="auto"/>
              <w:bottom w:val="nil"/>
              <w:right w:val="nil"/>
            </w:tcBorders>
            <w:shd w:val="clear" w:color="auto" w:fill="auto"/>
            <w:noWrap/>
            <w:vAlign w:val="center"/>
            <w:hideMark/>
          </w:tcPr>
          <w:p w14:paraId="58CAEC2C"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Yes</w:t>
            </w:r>
          </w:p>
        </w:tc>
        <w:tc>
          <w:tcPr>
            <w:tcW w:w="1080" w:type="dxa"/>
            <w:tcBorders>
              <w:top w:val="nil"/>
              <w:left w:val="nil"/>
              <w:bottom w:val="nil"/>
              <w:right w:val="nil"/>
            </w:tcBorders>
            <w:shd w:val="clear" w:color="auto" w:fill="auto"/>
            <w:noWrap/>
            <w:vAlign w:val="center"/>
            <w:hideMark/>
          </w:tcPr>
          <w:p w14:paraId="7BD33F81"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$880</w:t>
            </w:r>
          </w:p>
        </w:tc>
      </w:tr>
      <w:tr w:rsidR="005D5A64" w:rsidRPr="00BF6329" w14:paraId="49557D64" w14:textId="77777777" w:rsidTr="00743E3F">
        <w:trPr>
          <w:trHeight w:val="70"/>
        </w:trPr>
        <w:tc>
          <w:tcPr>
            <w:tcW w:w="2560" w:type="dxa"/>
            <w:tcBorders>
              <w:top w:val="single" w:sz="4" w:space="0" w:color="auto"/>
              <w:left w:val="nil"/>
              <w:bottom w:val="single" w:sz="4" w:space="0" w:color="auto"/>
              <w:right w:val="nil"/>
            </w:tcBorders>
            <w:shd w:val="clear" w:color="000000" w:fill="E7E6E6"/>
            <w:vAlign w:val="center"/>
            <w:hideMark/>
          </w:tcPr>
          <w:p w14:paraId="6FCEECE3"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Retail Salespersons</w:t>
            </w:r>
          </w:p>
        </w:tc>
        <w:tc>
          <w:tcPr>
            <w:tcW w:w="1000" w:type="dxa"/>
            <w:tcBorders>
              <w:top w:val="single" w:sz="4" w:space="0" w:color="auto"/>
              <w:left w:val="single" w:sz="4" w:space="0" w:color="auto"/>
              <w:bottom w:val="single" w:sz="4" w:space="0" w:color="auto"/>
              <w:right w:val="nil"/>
            </w:tcBorders>
            <w:shd w:val="clear" w:color="000000" w:fill="E7E6E6"/>
            <w:noWrap/>
            <w:vAlign w:val="center"/>
            <w:hideMark/>
          </w:tcPr>
          <w:p w14:paraId="7062A863"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single" w:sz="4" w:space="0" w:color="auto"/>
              <w:left w:val="nil"/>
              <w:bottom w:val="single" w:sz="4" w:space="0" w:color="auto"/>
              <w:right w:val="nil"/>
            </w:tcBorders>
            <w:shd w:val="clear" w:color="000000" w:fill="E7E6E6"/>
            <w:noWrap/>
            <w:vAlign w:val="center"/>
            <w:hideMark/>
          </w:tcPr>
          <w:p w14:paraId="13E2DBC6"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-$900</w:t>
            </w:r>
          </w:p>
        </w:tc>
        <w:tc>
          <w:tcPr>
            <w:tcW w:w="960" w:type="dxa"/>
            <w:tcBorders>
              <w:top w:val="single" w:sz="4" w:space="0" w:color="auto"/>
              <w:left w:val="single" w:sz="4" w:space="0" w:color="auto"/>
              <w:bottom w:val="single" w:sz="4" w:space="0" w:color="auto"/>
              <w:right w:val="nil"/>
            </w:tcBorders>
            <w:shd w:val="clear" w:color="000000" w:fill="E7E6E6"/>
            <w:noWrap/>
            <w:vAlign w:val="center"/>
            <w:hideMark/>
          </w:tcPr>
          <w:p w14:paraId="0115ED83"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single" w:sz="4" w:space="0" w:color="auto"/>
              <w:left w:val="nil"/>
              <w:bottom w:val="single" w:sz="4" w:space="0" w:color="auto"/>
              <w:right w:val="nil"/>
            </w:tcBorders>
            <w:shd w:val="clear" w:color="000000" w:fill="E7E6E6"/>
            <w:noWrap/>
            <w:vAlign w:val="center"/>
            <w:hideMark/>
          </w:tcPr>
          <w:p w14:paraId="41455F01"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-$710</w:t>
            </w:r>
          </w:p>
        </w:tc>
        <w:tc>
          <w:tcPr>
            <w:tcW w:w="1340" w:type="dxa"/>
            <w:tcBorders>
              <w:top w:val="single" w:sz="4" w:space="0" w:color="auto"/>
              <w:left w:val="single" w:sz="4" w:space="0" w:color="auto"/>
              <w:bottom w:val="single" w:sz="4" w:space="0" w:color="auto"/>
              <w:right w:val="nil"/>
            </w:tcBorders>
            <w:shd w:val="clear" w:color="000000" w:fill="E7E6E6"/>
            <w:noWrap/>
            <w:vAlign w:val="center"/>
            <w:hideMark/>
          </w:tcPr>
          <w:p w14:paraId="1D5A8DD9"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single" w:sz="4" w:space="0" w:color="auto"/>
              <w:left w:val="nil"/>
              <w:bottom w:val="single" w:sz="4" w:space="0" w:color="auto"/>
              <w:right w:val="nil"/>
            </w:tcBorders>
            <w:shd w:val="clear" w:color="000000" w:fill="E7E6E6"/>
            <w:noWrap/>
            <w:vAlign w:val="center"/>
            <w:hideMark/>
          </w:tcPr>
          <w:p w14:paraId="36006CAA"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-$480</w:t>
            </w:r>
          </w:p>
        </w:tc>
      </w:tr>
      <w:tr w:rsidR="005D5A64" w:rsidRPr="00BF6329" w14:paraId="60438D05" w14:textId="77777777" w:rsidTr="00743E3F">
        <w:trPr>
          <w:trHeight w:val="70"/>
        </w:trPr>
        <w:tc>
          <w:tcPr>
            <w:tcW w:w="2560" w:type="dxa"/>
            <w:tcBorders>
              <w:top w:val="nil"/>
              <w:left w:val="nil"/>
              <w:bottom w:val="nil"/>
              <w:right w:val="nil"/>
            </w:tcBorders>
            <w:shd w:val="clear" w:color="auto" w:fill="auto"/>
            <w:vAlign w:val="center"/>
            <w:hideMark/>
          </w:tcPr>
          <w:p w14:paraId="6FB831AD" w14:textId="77777777" w:rsidR="005D5A64" w:rsidRPr="00BF6329" w:rsidRDefault="005D5A64" w:rsidP="00743E3F">
            <w:pPr>
              <w:spacing w:after="0" w:line="240" w:lineRule="auto"/>
              <w:jc w:val="center"/>
              <w:rPr>
                <w:rFonts w:ascii="Tw Cen MT" w:eastAsia="Times New Roman" w:hAnsi="Tw Cen MT" w:cs="Calibri"/>
              </w:rPr>
            </w:pPr>
            <w:r w:rsidRPr="00BF6329">
              <w:rPr>
                <w:rFonts w:ascii="Tw Cen MT" w:eastAsia="Times New Roman" w:hAnsi="Tw Cen MT" w:cs="Calibri"/>
              </w:rPr>
              <w:t>Waiters &amp; Waitresses</w:t>
            </w:r>
          </w:p>
        </w:tc>
        <w:tc>
          <w:tcPr>
            <w:tcW w:w="1000" w:type="dxa"/>
            <w:tcBorders>
              <w:top w:val="nil"/>
              <w:left w:val="single" w:sz="4" w:space="0" w:color="auto"/>
              <w:bottom w:val="nil"/>
              <w:right w:val="nil"/>
            </w:tcBorders>
            <w:shd w:val="clear" w:color="auto" w:fill="auto"/>
            <w:noWrap/>
            <w:vAlign w:val="center"/>
            <w:hideMark/>
          </w:tcPr>
          <w:p w14:paraId="0856BD93"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60" w:type="dxa"/>
            <w:tcBorders>
              <w:top w:val="nil"/>
              <w:left w:val="nil"/>
              <w:bottom w:val="nil"/>
              <w:right w:val="nil"/>
            </w:tcBorders>
            <w:shd w:val="clear" w:color="auto" w:fill="auto"/>
            <w:noWrap/>
            <w:vAlign w:val="center"/>
            <w:hideMark/>
          </w:tcPr>
          <w:p w14:paraId="02B37078"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-$1,020</w:t>
            </w:r>
          </w:p>
        </w:tc>
        <w:tc>
          <w:tcPr>
            <w:tcW w:w="960" w:type="dxa"/>
            <w:tcBorders>
              <w:top w:val="nil"/>
              <w:left w:val="single" w:sz="4" w:space="0" w:color="auto"/>
              <w:bottom w:val="nil"/>
              <w:right w:val="nil"/>
            </w:tcBorders>
            <w:shd w:val="clear" w:color="auto" w:fill="auto"/>
            <w:noWrap/>
            <w:vAlign w:val="center"/>
            <w:hideMark/>
          </w:tcPr>
          <w:p w14:paraId="38EE6AAF"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2D7F932B"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-$800</w:t>
            </w:r>
          </w:p>
        </w:tc>
        <w:tc>
          <w:tcPr>
            <w:tcW w:w="1340" w:type="dxa"/>
            <w:tcBorders>
              <w:top w:val="nil"/>
              <w:left w:val="single" w:sz="4" w:space="0" w:color="auto"/>
              <w:bottom w:val="nil"/>
              <w:right w:val="nil"/>
            </w:tcBorders>
            <w:shd w:val="clear" w:color="auto" w:fill="auto"/>
            <w:noWrap/>
            <w:vAlign w:val="center"/>
            <w:hideMark/>
          </w:tcPr>
          <w:p w14:paraId="123DB011"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No</w:t>
            </w:r>
          </w:p>
        </w:tc>
        <w:tc>
          <w:tcPr>
            <w:tcW w:w="1080" w:type="dxa"/>
            <w:tcBorders>
              <w:top w:val="nil"/>
              <w:left w:val="nil"/>
              <w:bottom w:val="nil"/>
              <w:right w:val="nil"/>
            </w:tcBorders>
            <w:shd w:val="clear" w:color="auto" w:fill="auto"/>
            <w:noWrap/>
            <w:vAlign w:val="center"/>
            <w:hideMark/>
          </w:tcPr>
          <w:p w14:paraId="63982EAD" w14:textId="77777777" w:rsidR="005D5A64" w:rsidRPr="00BF6329" w:rsidRDefault="005D5A64" w:rsidP="00743E3F">
            <w:pPr>
              <w:spacing w:after="0" w:line="240" w:lineRule="auto"/>
              <w:jc w:val="center"/>
              <w:rPr>
                <w:rFonts w:ascii="Tw Cen MT" w:eastAsia="Times New Roman" w:hAnsi="Tw Cen MT" w:cs="Calibri"/>
                <w:color w:val="C00000"/>
              </w:rPr>
            </w:pPr>
            <w:r w:rsidRPr="00BF6329">
              <w:rPr>
                <w:rFonts w:ascii="Tw Cen MT" w:eastAsia="Times New Roman" w:hAnsi="Tw Cen MT" w:cs="Calibri"/>
                <w:color w:val="C00000"/>
              </w:rPr>
              <w:t>-$460</w:t>
            </w:r>
          </w:p>
        </w:tc>
      </w:tr>
      <w:tr w:rsidR="005D5A64" w:rsidRPr="00BF6329" w14:paraId="1D258F3A" w14:textId="77777777" w:rsidTr="00743E3F">
        <w:trPr>
          <w:trHeight w:val="300"/>
        </w:trPr>
        <w:tc>
          <w:tcPr>
            <w:tcW w:w="9080" w:type="dxa"/>
            <w:gridSpan w:val="7"/>
            <w:tcBorders>
              <w:top w:val="nil"/>
              <w:left w:val="nil"/>
              <w:bottom w:val="nil"/>
              <w:right w:val="nil"/>
            </w:tcBorders>
            <w:shd w:val="clear" w:color="auto" w:fill="auto"/>
            <w:noWrap/>
            <w:vAlign w:val="center"/>
            <w:hideMark/>
          </w:tcPr>
          <w:p w14:paraId="1A85E16B" w14:textId="77777777" w:rsidR="005D5A64" w:rsidRPr="00BF6329" w:rsidRDefault="005D5A64" w:rsidP="00743E3F">
            <w:pPr>
              <w:spacing w:after="0" w:line="240" w:lineRule="auto"/>
              <w:jc w:val="right"/>
              <w:rPr>
                <w:rFonts w:ascii="Tw Cen MT" w:eastAsia="Times New Roman" w:hAnsi="Tw Cen MT" w:cs="Calibri"/>
                <w:color w:val="000000"/>
                <w:sz w:val="20"/>
                <w:szCs w:val="20"/>
              </w:rPr>
            </w:pPr>
            <w:r w:rsidRPr="00BF6329">
              <w:rPr>
                <w:rFonts w:ascii="Tw Cen MT" w:eastAsia="Times New Roman" w:hAnsi="Tw Cen MT" w:cs="Calibri"/>
                <w:color w:val="000000"/>
                <w:sz w:val="20"/>
                <w:szCs w:val="20"/>
              </w:rPr>
              <w:t>Source: Root Policy Research</w:t>
            </w:r>
          </w:p>
        </w:tc>
      </w:tr>
    </w:tbl>
    <w:p w14:paraId="2F45C69C" w14:textId="7B0DA132" w:rsidR="005259E1" w:rsidRPr="00AB5BB0" w:rsidRDefault="00B57CC4" w:rsidP="00B57CC4">
      <w:pPr>
        <w:spacing w:line="240" w:lineRule="auto"/>
        <w:rPr>
          <w:i/>
          <w:iCs/>
        </w:rPr>
      </w:pPr>
      <w:bookmarkStart w:id="149" w:name="_Hlk127356348"/>
      <w:r w:rsidRPr="00AB5BB0">
        <w:rPr>
          <w:i/>
          <w:iCs/>
        </w:rPr>
        <w:t>Review of Variables</w:t>
      </w:r>
      <w:r w:rsidR="005259E1" w:rsidRPr="00AB5BB0">
        <w:rPr>
          <w:i/>
          <w:iCs/>
        </w:rPr>
        <w:t>: Based on</w:t>
      </w:r>
      <w:r w:rsidRPr="00AB5BB0">
        <w:rPr>
          <w:i/>
          <w:iCs/>
        </w:rPr>
        <w:t xml:space="preserve"> reported wages, median rent, single-wage earner, and to be affordable 30 % or less is dedicated towards rent.</w:t>
      </w:r>
    </w:p>
    <w:bookmarkEnd w:id="149"/>
    <w:p w14:paraId="5C1D94F4" w14:textId="22E11A6D" w:rsidR="005D5A64" w:rsidRDefault="00B81334" w:rsidP="00013ADF">
      <w:pPr>
        <w:spacing w:line="300" w:lineRule="auto"/>
      </w:pPr>
      <w:r w:rsidRPr="00C64BA4">
        <w:t xml:space="preserve">Excluding entry-level engineers and registered nurses, median rent is unaffordable to occupations observed in this analysis. </w:t>
      </w:r>
      <w:r w:rsidR="00013ADF">
        <w:t>More occupations can afford the median rent at the median and experienced wage thresholds. However, 10 out of the 15 occupations considered would not be able to afford the median rent on a single-earner income, even at higher wage levels.</w:t>
      </w:r>
    </w:p>
    <w:p w14:paraId="43F7885F" w14:textId="495FF23E" w:rsidR="00013ADF" w:rsidRDefault="00013ADF" w:rsidP="00013ADF">
      <w:pPr>
        <w:spacing w:line="300" w:lineRule="auto"/>
      </w:pPr>
      <w:r>
        <w:t xml:space="preserve">Performing </w:t>
      </w:r>
      <w:r w:rsidR="000F7EB5">
        <w:t xml:space="preserve">a similar analysis for owner-occupied housing units is more complicated. The affordability of a purchased home is largely dependent on a homeowner's mortgage payment which is driven by interest </w:t>
      </w:r>
      <w:r w:rsidR="000F7EB5">
        <w:lastRenderedPageBreak/>
        <w:t>rates and the downpayment provided. Changes in either can have significant effects on housing affordability. For the purposes of this analysis, the June 2022 30-year average was used. A downpayment amount of 30% was</w:t>
      </w:r>
      <w:r w:rsidR="004224F7">
        <w:t xml:space="preserve"> also</w:t>
      </w:r>
      <w:r w:rsidR="000F7EB5">
        <w:t xml:space="preserve"> selected. A downpayment of this size would likely not reflect a first-time homebuyer but someone bring</w:t>
      </w:r>
      <w:r w:rsidR="003F21F7">
        <w:t>ing</w:t>
      </w:r>
      <w:r w:rsidR="000F7EB5">
        <w:t xml:space="preserve"> housing equity to the purchase. A scenario where the downpayment is only 10%, more reflective of a first-time homebuyer’s experience, can be found in </w:t>
      </w:r>
      <w:r w:rsidR="000F7EB5" w:rsidRPr="002B2278">
        <w:t xml:space="preserve">Appendix </w:t>
      </w:r>
      <w:r w:rsidR="002B2278">
        <w:t>C</w:t>
      </w:r>
      <w:r w:rsidR="000F7EB5">
        <w:t>. 40% of a household’s</w:t>
      </w:r>
      <w:r w:rsidR="004224F7">
        <w:t xml:space="preserve"> wage</w:t>
      </w:r>
      <w:r w:rsidR="000F7EB5">
        <w:t xml:space="preserve"> income was also set aside to pay for other housing expenses like property taxes, utilities, and insurance.</w:t>
      </w:r>
      <w:r w:rsidR="00696874">
        <w:t xml:space="preserve"> Another major difference from the rent affordability calculation is a household’s income was estimated assuming 1.5 wage earners. For example, the median income for construction laborers in the region in 2022 was $42,100. A household with 1.5 times a construction labor’s wage income would therefore be $63,100. Owner-occupied housing units more likely to have multiple wage earners and wage value of one and half </w:t>
      </w:r>
      <w:r w:rsidR="004224F7">
        <w:t>was</w:t>
      </w:r>
      <w:r w:rsidR="00696874">
        <w:t xml:space="preserve"> used to indicate that. Calculations </w:t>
      </w:r>
      <w:r w:rsidR="00C7427D">
        <w:t xml:space="preserve">instead </w:t>
      </w:r>
      <w:r w:rsidR="00696874">
        <w:t xml:space="preserve">using a single-wage earner can </w:t>
      </w:r>
      <w:r w:rsidR="00C7427D">
        <w:t xml:space="preserve">be found in </w:t>
      </w:r>
      <w:r w:rsidR="00C7427D" w:rsidRPr="002B2278">
        <w:t xml:space="preserve">Appendix </w:t>
      </w:r>
      <w:r w:rsidR="002B2278" w:rsidRPr="002B2278">
        <w:t>C</w:t>
      </w:r>
      <w:r w:rsidR="00C7427D">
        <w:t>.</w:t>
      </w:r>
    </w:p>
    <w:p w14:paraId="6E3C7AEF" w14:textId="04F49BCB" w:rsidR="00C7427D" w:rsidRDefault="00C7427D" w:rsidP="00C7427D">
      <w:pPr>
        <w:spacing w:line="300" w:lineRule="auto"/>
        <w:jc w:val="both"/>
      </w:pPr>
      <w:r>
        <w:t>Median home prices were again supplied by NHHFA, with SNHPC</w:t>
      </w:r>
      <w:r w:rsidR="004224F7">
        <w:t>’s</w:t>
      </w:r>
      <w:r>
        <w:t xml:space="preserve"> median price totaling </w:t>
      </w:r>
      <w:r w:rsidRPr="00C7427D">
        <w:t>$387,000</w:t>
      </w:r>
      <w:r>
        <w:t xml:space="preserve">, and wages coming from NHES. The following table considers whether a 1.5 wage earner household would be paying 30% or more of their wages on a mortgage and other housing expenses. Households paying 30% or more would be considered housing cost burdened. Results are displayed by occupation and wage. An entry level wage is the average of the lower third of the occupation’s wages; an experienced wage is the average of the upper two-thirds. The difference between a household’s wage and the maximum </w:t>
      </w:r>
      <w:r w:rsidR="009A3464">
        <w:t>housing costs</w:t>
      </w:r>
      <w:r>
        <w:t xml:space="preserve"> a household could pay is also listed with a negative value signifying that </w:t>
      </w:r>
      <w:r w:rsidR="009A3464">
        <w:t>the median home price</w:t>
      </w:r>
      <w:r>
        <w:t xml:space="preserve"> is higher.</w:t>
      </w:r>
    </w:p>
    <w:p w14:paraId="5BC1B245" w14:textId="3E517EC6" w:rsidR="009A3464" w:rsidRPr="007953AD" w:rsidRDefault="009A3464" w:rsidP="00C7427D">
      <w:pPr>
        <w:spacing w:line="300" w:lineRule="auto"/>
        <w:jc w:val="both"/>
      </w:pPr>
      <w:r>
        <w:t>Under this scenario, fewer occupations could afford the median home price. No occupation could afford the median home price at entry level wages. Engineers and registered nurses could afford it at the median wage level with p</w:t>
      </w:r>
      <w:r w:rsidRPr="009A3464">
        <w:t xml:space="preserve">olice &amp; </w:t>
      </w:r>
      <w:r>
        <w:t>s</w:t>
      </w:r>
      <w:r w:rsidRPr="009A3464">
        <w:t xml:space="preserve">heriff's </w:t>
      </w:r>
      <w:r>
        <w:t>p</w:t>
      </w:r>
      <w:r w:rsidRPr="009A3464">
        <w:t xml:space="preserve">atrol </w:t>
      </w:r>
      <w:r>
        <w:t>o</w:t>
      </w:r>
      <w:r w:rsidRPr="009A3464">
        <w:t>fficers</w:t>
      </w:r>
      <w:r>
        <w:t xml:space="preserve"> joining them at the experience level. The 12 other occupations could not afford the median price at any wage level.</w:t>
      </w:r>
    </w:p>
    <w:p w14:paraId="187DCD03" w14:textId="21451278" w:rsidR="00C7427D" w:rsidRDefault="00C7427D" w:rsidP="00013ADF">
      <w:pPr>
        <w:spacing w:line="300" w:lineRule="auto"/>
      </w:pPr>
    </w:p>
    <w:p w14:paraId="6A14D648" w14:textId="77777777" w:rsidR="005D5A64" w:rsidRDefault="005D5A64" w:rsidP="00274AAD">
      <w:pPr>
        <w:pStyle w:val="Caption"/>
        <w:keepNext/>
        <w:keepLines/>
        <w:spacing w:line="300" w:lineRule="auto"/>
      </w:pPr>
    </w:p>
    <w:p w14:paraId="03B4C215" w14:textId="77777777" w:rsidR="005D5A64" w:rsidRDefault="005D5A64" w:rsidP="00274AAD">
      <w:pPr>
        <w:pStyle w:val="Caption"/>
        <w:keepNext/>
        <w:keepLines/>
        <w:spacing w:line="300" w:lineRule="auto"/>
      </w:pPr>
    </w:p>
    <w:p w14:paraId="54775BC3" w14:textId="77777777" w:rsidR="005D5A64" w:rsidRDefault="005D5A64" w:rsidP="00274AAD">
      <w:pPr>
        <w:pStyle w:val="Caption"/>
        <w:keepNext/>
        <w:keepLines/>
        <w:spacing w:line="300" w:lineRule="auto"/>
      </w:pPr>
    </w:p>
    <w:p w14:paraId="0C882751" w14:textId="77777777" w:rsidR="005D5A64" w:rsidRDefault="005D5A64">
      <w:pPr>
        <w:rPr>
          <w:caps/>
          <w:spacing w:val="10"/>
          <w:sz w:val="18"/>
          <w:szCs w:val="18"/>
        </w:rPr>
      </w:pPr>
      <w:r>
        <w:br w:type="page"/>
      </w:r>
    </w:p>
    <w:p w14:paraId="3D1899E4" w14:textId="23FCFCEC" w:rsidR="00A47CCA" w:rsidRDefault="00A47CCA" w:rsidP="00274AAD">
      <w:pPr>
        <w:pStyle w:val="Caption"/>
        <w:keepNext/>
        <w:keepLines/>
        <w:spacing w:line="300" w:lineRule="auto"/>
      </w:pPr>
      <w:bookmarkStart w:id="150" w:name="_Toc128137919"/>
      <w:r>
        <w:lastRenderedPageBreak/>
        <w:t xml:space="preserve">Table </w:t>
      </w:r>
      <w:r w:rsidR="0062538A">
        <w:fldChar w:fldCharType="begin"/>
      </w:r>
      <w:r w:rsidR="0062538A">
        <w:instrText xml:space="preserve"> SEQ Table \* ARABIC </w:instrText>
      </w:r>
      <w:r w:rsidR="0062538A">
        <w:fldChar w:fldCharType="separate"/>
      </w:r>
      <w:r w:rsidR="008B512A">
        <w:rPr>
          <w:noProof/>
        </w:rPr>
        <w:t>28</w:t>
      </w:r>
      <w:r w:rsidR="0062538A">
        <w:rPr>
          <w:noProof/>
        </w:rPr>
        <w:fldChar w:fldCharType="end"/>
      </w:r>
      <w:r>
        <w:t xml:space="preserve">: </w:t>
      </w:r>
      <w:r w:rsidR="00A801D2">
        <w:t xml:space="preserve">Purchase </w:t>
      </w:r>
      <w:r w:rsidRPr="00CC7DC8">
        <w:t>Affordability by Occupation (Southern New Hampshire Planning Commission)</w:t>
      </w:r>
      <w:bookmarkEnd w:id="150"/>
    </w:p>
    <w:tbl>
      <w:tblPr>
        <w:tblW w:w="10107" w:type="dxa"/>
        <w:tblLook w:val="04A0" w:firstRow="1" w:lastRow="0" w:firstColumn="1" w:lastColumn="0" w:noHBand="0" w:noVBand="1"/>
      </w:tblPr>
      <w:tblGrid>
        <w:gridCol w:w="1694"/>
        <w:gridCol w:w="1114"/>
        <w:gridCol w:w="1349"/>
        <w:gridCol w:w="1567"/>
        <w:gridCol w:w="1385"/>
        <w:gridCol w:w="1320"/>
        <w:gridCol w:w="1678"/>
      </w:tblGrid>
      <w:tr w:rsidR="0016759B" w:rsidRPr="0018202C" w14:paraId="4FF674E6" w14:textId="77777777" w:rsidTr="00AB5BB0">
        <w:trPr>
          <w:trHeight w:val="320"/>
        </w:trPr>
        <w:tc>
          <w:tcPr>
            <w:tcW w:w="10107" w:type="dxa"/>
            <w:gridSpan w:val="7"/>
            <w:tcBorders>
              <w:top w:val="nil"/>
              <w:left w:val="nil"/>
              <w:bottom w:val="nil"/>
              <w:right w:val="nil"/>
            </w:tcBorders>
            <w:shd w:val="clear" w:color="auto" w:fill="auto"/>
            <w:noWrap/>
            <w:vAlign w:val="bottom"/>
            <w:hideMark/>
          </w:tcPr>
          <w:p w14:paraId="6866EF47" w14:textId="171BB6DE" w:rsidR="0016759B" w:rsidRPr="0018202C" w:rsidRDefault="00273C95" w:rsidP="00743E3F">
            <w:pPr>
              <w:spacing w:after="0" w:line="240" w:lineRule="auto"/>
              <w:rPr>
                <w:rFonts w:ascii="Tw Cen MT" w:eastAsia="Times New Roman" w:hAnsi="Tw Cen MT" w:cs="Calibri"/>
                <w:b/>
                <w:bCs/>
                <w:color w:val="595959"/>
              </w:rPr>
            </w:pPr>
            <w:r>
              <w:rPr>
                <w:rFonts w:ascii="Tw Cen MT" w:eastAsia="Times New Roman" w:hAnsi="Tw Cen MT" w:cs="Calibri"/>
                <w:b/>
                <w:bCs/>
                <w:color w:val="595959"/>
              </w:rPr>
              <w:t xml:space="preserve">Home </w:t>
            </w:r>
            <w:r w:rsidR="00A801D2">
              <w:rPr>
                <w:rFonts w:ascii="Tw Cen MT" w:eastAsia="Times New Roman" w:hAnsi="Tw Cen MT" w:cs="Calibri"/>
                <w:b/>
                <w:bCs/>
                <w:color w:val="595959"/>
              </w:rPr>
              <w:t xml:space="preserve">Purchase </w:t>
            </w:r>
            <w:r w:rsidR="0016759B" w:rsidRPr="0018202C">
              <w:rPr>
                <w:rFonts w:ascii="Tw Cen MT" w:eastAsia="Times New Roman" w:hAnsi="Tw Cen MT" w:cs="Calibri"/>
                <w:b/>
                <w:bCs/>
                <w:color w:val="595959"/>
              </w:rPr>
              <w:t>Affordability by Occupation (Southern New Hampshire Planning Commission)</w:t>
            </w:r>
          </w:p>
        </w:tc>
      </w:tr>
      <w:tr w:rsidR="0016759B" w:rsidRPr="0018202C" w14:paraId="41F0A075" w14:textId="77777777" w:rsidTr="00AB5BB0">
        <w:trPr>
          <w:trHeight w:val="320"/>
        </w:trPr>
        <w:tc>
          <w:tcPr>
            <w:tcW w:w="1694" w:type="dxa"/>
            <w:tcBorders>
              <w:top w:val="nil"/>
              <w:left w:val="nil"/>
              <w:bottom w:val="nil"/>
              <w:right w:val="nil"/>
            </w:tcBorders>
            <w:shd w:val="clear" w:color="auto" w:fill="auto"/>
            <w:noWrap/>
            <w:vAlign w:val="bottom"/>
            <w:hideMark/>
          </w:tcPr>
          <w:p w14:paraId="3CEF69EE" w14:textId="77777777" w:rsidR="0016759B" w:rsidRPr="0018202C" w:rsidRDefault="0016759B" w:rsidP="00743E3F">
            <w:pPr>
              <w:spacing w:after="0" w:line="240" w:lineRule="auto"/>
              <w:rPr>
                <w:rFonts w:ascii="Tw Cen MT" w:eastAsia="Times New Roman" w:hAnsi="Tw Cen MT" w:cs="Calibri"/>
                <w:b/>
                <w:bCs/>
                <w:color w:val="595959"/>
              </w:rPr>
            </w:pPr>
          </w:p>
        </w:tc>
        <w:tc>
          <w:tcPr>
            <w:tcW w:w="1114" w:type="dxa"/>
            <w:tcBorders>
              <w:top w:val="nil"/>
              <w:left w:val="nil"/>
              <w:bottom w:val="nil"/>
              <w:right w:val="nil"/>
            </w:tcBorders>
            <w:shd w:val="clear" w:color="auto" w:fill="auto"/>
            <w:noWrap/>
            <w:vAlign w:val="bottom"/>
            <w:hideMark/>
          </w:tcPr>
          <w:p w14:paraId="47BFA926"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349" w:type="dxa"/>
            <w:tcBorders>
              <w:top w:val="nil"/>
              <w:left w:val="nil"/>
              <w:bottom w:val="nil"/>
              <w:right w:val="nil"/>
            </w:tcBorders>
            <w:shd w:val="clear" w:color="auto" w:fill="auto"/>
            <w:noWrap/>
            <w:vAlign w:val="bottom"/>
            <w:hideMark/>
          </w:tcPr>
          <w:p w14:paraId="1EC900E8"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567" w:type="dxa"/>
            <w:tcBorders>
              <w:top w:val="nil"/>
              <w:left w:val="nil"/>
              <w:bottom w:val="nil"/>
              <w:right w:val="nil"/>
            </w:tcBorders>
            <w:shd w:val="clear" w:color="auto" w:fill="auto"/>
            <w:noWrap/>
            <w:vAlign w:val="bottom"/>
            <w:hideMark/>
          </w:tcPr>
          <w:p w14:paraId="20347F8D"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385" w:type="dxa"/>
            <w:tcBorders>
              <w:top w:val="nil"/>
              <w:left w:val="nil"/>
              <w:bottom w:val="nil"/>
              <w:right w:val="nil"/>
            </w:tcBorders>
            <w:shd w:val="clear" w:color="auto" w:fill="auto"/>
            <w:noWrap/>
            <w:vAlign w:val="bottom"/>
            <w:hideMark/>
          </w:tcPr>
          <w:p w14:paraId="190E11B4"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320" w:type="dxa"/>
            <w:tcBorders>
              <w:top w:val="nil"/>
              <w:left w:val="nil"/>
              <w:bottom w:val="nil"/>
              <w:right w:val="nil"/>
            </w:tcBorders>
            <w:shd w:val="clear" w:color="auto" w:fill="auto"/>
            <w:noWrap/>
            <w:vAlign w:val="bottom"/>
            <w:hideMark/>
          </w:tcPr>
          <w:p w14:paraId="4BC9D2D3"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678" w:type="dxa"/>
            <w:tcBorders>
              <w:top w:val="nil"/>
              <w:left w:val="nil"/>
              <w:bottom w:val="nil"/>
              <w:right w:val="nil"/>
            </w:tcBorders>
            <w:shd w:val="clear" w:color="auto" w:fill="auto"/>
            <w:noWrap/>
            <w:vAlign w:val="bottom"/>
            <w:hideMark/>
          </w:tcPr>
          <w:p w14:paraId="18A9B77B" w14:textId="77777777" w:rsidR="0016759B" w:rsidRPr="0018202C" w:rsidRDefault="0016759B" w:rsidP="00743E3F">
            <w:pPr>
              <w:spacing w:after="0" w:line="240" w:lineRule="auto"/>
              <w:rPr>
                <w:rFonts w:ascii="Times New Roman" w:eastAsia="Times New Roman" w:hAnsi="Times New Roman" w:cs="Times New Roman"/>
                <w:sz w:val="20"/>
                <w:szCs w:val="20"/>
              </w:rPr>
            </w:pPr>
          </w:p>
        </w:tc>
      </w:tr>
      <w:tr w:rsidR="0016759B" w:rsidRPr="0018202C" w14:paraId="11BD8619" w14:textId="77777777" w:rsidTr="00AB5BB0">
        <w:trPr>
          <w:trHeight w:val="1507"/>
        </w:trPr>
        <w:tc>
          <w:tcPr>
            <w:tcW w:w="1694" w:type="dxa"/>
            <w:tcBorders>
              <w:top w:val="nil"/>
              <w:left w:val="nil"/>
              <w:bottom w:val="nil"/>
              <w:right w:val="nil"/>
            </w:tcBorders>
            <w:shd w:val="clear" w:color="auto" w:fill="auto"/>
            <w:noWrap/>
            <w:vAlign w:val="bottom"/>
            <w:hideMark/>
          </w:tcPr>
          <w:p w14:paraId="474879E0"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114" w:type="dxa"/>
            <w:tcBorders>
              <w:top w:val="nil"/>
              <w:left w:val="nil"/>
              <w:bottom w:val="single" w:sz="4" w:space="0" w:color="FFFFFF" w:themeColor="background1"/>
              <w:right w:val="nil"/>
            </w:tcBorders>
            <w:shd w:val="clear" w:color="auto" w:fill="595959" w:themeFill="text1" w:themeFillTint="A6"/>
            <w:vAlign w:val="bottom"/>
            <w:hideMark/>
          </w:tcPr>
          <w:p w14:paraId="42786A41" w14:textId="77777777" w:rsidR="0016759B" w:rsidRPr="00013ADF" w:rsidRDefault="0016759B" w:rsidP="00743E3F">
            <w:pPr>
              <w:spacing w:after="0" w:line="240" w:lineRule="auto"/>
              <w:jc w:val="center"/>
              <w:rPr>
                <w:rFonts w:ascii="Tw Cen MT" w:eastAsia="Times New Roman" w:hAnsi="Tw Cen MT" w:cs="Calibri"/>
                <w:b/>
                <w:bCs/>
                <w:color w:val="FFFFFF" w:themeColor="background1"/>
              </w:rPr>
            </w:pPr>
            <w:r w:rsidRPr="00013ADF">
              <w:rPr>
                <w:rFonts w:ascii="Tw Cen MT" w:eastAsia="Times New Roman" w:hAnsi="Tw Cen MT" w:cs="Calibri"/>
                <w:b/>
                <w:bCs/>
                <w:color w:val="FFFFFF" w:themeColor="background1"/>
              </w:rPr>
              <w:t>Median Home Price (2022)</w:t>
            </w:r>
          </w:p>
        </w:tc>
        <w:tc>
          <w:tcPr>
            <w:tcW w:w="1349" w:type="dxa"/>
            <w:tcBorders>
              <w:top w:val="nil"/>
              <w:left w:val="nil"/>
              <w:bottom w:val="single" w:sz="4" w:space="0" w:color="FFFFFF" w:themeColor="background1"/>
              <w:right w:val="nil"/>
            </w:tcBorders>
            <w:shd w:val="clear" w:color="auto" w:fill="595959" w:themeFill="text1" w:themeFillTint="A6"/>
            <w:vAlign w:val="bottom"/>
            <w:hideMark/>
          </w:tcPr>
          <w:p w14:paraId="20911E53" w14:textId="77777777" w:rsidR="0016759B" w:rsidRPr="00013ADF" w:rsidRDefault="0016759B" w:rsidP="00743E3F">
            <w:pPr>
              <w:spacing w:after="0" w:line="240" w:lineRule="auto"/>
              <w:jc w:val="center"/>
              <w:rPr>
                <w:rFonts w:ascii="Tw Cen MT" w:eastAsia="Times New Roman" w:hAnsi="Tw Cen MT" w:cs="Calibri"/>
                <w:b/>
                <w:bCs/>
                <w:color w:val="FFFFFF" w:themeColor="background1"/>
              </w:rPr>
            </w:pPr>
            <w:r w:rsidRPr="00013ADF">
              <w:rPr>
                <w:rFonts w:ascii="Tw Cen MT" w:eastAsia="Times New Roman" w:hAnsi="Tw Cen MT" w:cs="Calibri"/>
                <w:b/>
                <w:bCs/>
                <w:color w:val="FFFFFF" w:themeColor="background1"/>
              </w:rPr>
              <w:t>Interest Rate</w:t>
            </w:r>
          </w:p>
        </w:tc>
        <w:tc>
          <w:tcPr>
            <w:tcW w:w="1567" w:type="dxa"/>
            <w:tcBorders>
              <w:top w:val="nil"/>
              <w:left w:val="nil"/>
              <w:bottom w:val="single" w:sz="4" w:space="0" w:color="FFFFFF" w:themeColor="background1"/>
              <w:right w:val="nil"/>
            </w:tcBorders>
            <w:shd w:val="clear" w:color="auto" w:fill="595959" w:themeFill="text1" w:themeFillTint="A6"/>
            <w:noWrap/>
            <w:vAlign w:val="bottom"/>
            <w:hideMark/>
          </w:tcPr>
          <w:p w14:paraId="7A452067" w14:textId="77777777" w:rsidR="0016759B" w:rsidRPr="00013ADF" w:rsidRDefault="0016759B" w:rsidP="00743E3F">
            <w:pPr>
              <w:spacing w:after="0" w:line="240" w:lineRule="auto"/>
              <w:jc w:val="center"/>
              <w:rPr>
                <w:rFonts w:ascii="Tw Cen MT" w:eastAsia="Times New Roman" w:hAnsi="Tw Cen MT" w:cs="Calibri"/>
                <w:b/>
                <w:bCs/>
                <w:color w:val="FFFFFF" w:themeColor="background1"/>
              </w:rPr>
            </w:pPr>
            <w:r w:rsidRPr="00013ADF">
              <w:rPr>
                <w:rFonts w:ascii="Tw Cen MT" w:eastAsia="Times New Roman" w:hAnsi="Tw Cen MT" w:cs="Calibri"/>
                <w:b/>
                <w:bCs/>
                <w:color w:val="FFFFFF" w:themeColor="background1"/>
              </w:rPr>
              <w:t>Downpayment</w:t>
            </w:r>
          </w:p>
        </w:tc>
        <w:tc>
          <w:tcPr>
            <w:tcW w:w="1385" w:type="dxa"/>
            <w:tcBorders>
              <w:top w:val="nil"/>
              <w:left w:val="nil"/>
              <w:bottom w:val="single" w:sz="4" w:space="0" w:color="FFFFFF" w:themeColor="background1"/>
              <w:right w:val="nil"/>
            </w:tcBorders>
            <w:shd w:val="clear" w:color="auto" w:fill="595959" w:themeFill="text1" w:themeFillTint="A6"/>
            <w:vAlign w:val="bottom"/>
            <w:hideMark/>
          </w:tcPr>
          <w:p w14:paraId="48F90FD8" w14:textId="77777777" w:rsidR="0016759B" w:rsidRPr="00013ADF" w:rsidRDefault="0016759B" w:rsidP="00743E3F">
            <w:pPr>
              <w:spacing w:after="0" w:line="240" w:lineRule="auto"/>
              <w:jc w:val="center"/>
              <w:rPr>
                <w:rFonts w:ascii="Tw Cen MT" w:eastAsia="Times New Roman" w:hAnsi="Tw Cen MT" w:cs="Calibri"/>
                <w:b/>
                <w:bCs/>
                <w:color w:val="FFFFFF" w:themeColor="background1"/>
              </w:rPr>
            </w:pPr>
            <w:r w:rsidRPr="00013ADF">
              <w:rPr>
                <w:rFonts w:ascii="Tw Cen MT" w:eastAsia="Times New Roman" w:hAnsi="Tw Cen MT" w:cs="Calibri"/>
                <w:b/>
                <w:bCs/>
                <w:color w:val="FFFFFF" w:themeColor="background1"/>
              </w:rPr>
              <w:t xml:space="preserve">% of </w:t>
            </w:r>
            <w:proofErr w:type="gramStart"/>
            <w:r w:rsidRPr="00013ADF">
              <w:rPr>
                <w:rFonts w:ascii="Tw Cen MT" w:eastAsia="Times New Roman" w:hAnsi="Tw Cen MT" w:cs="Calibri"/>
                <w:b/>
                <w:bCs/>
                <w:color w:val="FFFFFF" w:themeColor="background1"/>
              </w:rPr>
              <w:t>Payment  Going</w:t>
            </w:r>
            <w:proofErr w:type="gramEnd"/>
            <w:r w:rsidRPr="00013ADF">
              <w:rPr>
                <w:rFonts w:ascii="Tw Cen MT" w:eastAsia="Times New Roman" w:hAnsi="Tw Cen MT" w:cs="Calibri"/>
                <w:b/>
                <w:bCs/>
                <w:color w:val="FFFFFF" w:themeColor="background1"/>
              </w:rPr>
              <w:t xml:space="preserve"> to Property Taxes, Utilities, Insurance, etc.</w:t>
            </w:r>
          </w:p>
        </w:tc>
        <w:tc>
          <w:tcPr>
            <w:tcW w:w="1320" w:type="dxa"/>
            <w:tcBorders>
              <w:top w:val="nil"/>
              <w:left w:val="nil"/>
              <w:bottom w:val="nil"/>
              <w:right w:val="nil"/>
            </w:tcBorders>
            <w:shd w:val="clear" w:color="auto" w:fill="auto"/>
            <w:noWrap/>
            <w:vAlign w:val="bottom"/>
            <w:hideMark/>
          </w:tcPr>
          <w:p w14:paraId="15E1B833" w14:textId="77777777" w:rsidR="0016759B" w:rsidRPr="0018202C" w:rsidRDefault="0016759B" w:rsidP="00743E3F">
            <w:pPr>
              <w:spacing w:after="0" w:line="240" w:lineRule="auto"/>
              <w:jc w:val="center"/>
              <w:rPr>
                <w:rFonts w:ascii="Tw Cen MT" w:eastAsia="Times New Roman" w:hAnsi="Tw Cen MT" w:cs="Calibri"/>
                <w:b/>
                <w:bCs/>
                <w:color w:val="595959"/>
              </w:rPr>
            </w:pPr>
          </w:p>
        </w:tc>
        <w:tc>
          <w:tcPr>
            <w:tcW w:w="1678" w:type="dxa"/>
            <w:tcBorders>
              <w:top w:val="nil"/>
              <w:left w:val="nil"/>
              <w:bottom w:val="nil"/>
              <w:right w:val="nil"/>
            </w:tcBorders>
            <w:shd w:val="clear" w:color="auto" w:fill="auto"/>
            <w:noWrap/>
            <w:vAlign w:val="bottom"/>
            <w:hideMark/>
          </w:tcPr>
          <w:p w14:paraId="0F643121" w14:textId="77777777" w:rsidR="0016759B" w:rsidRPr="0018202C" w:rsidRDefault="0016759B" w:rsidP="00743E3F">
            <w:pPr>
              <w:spacing w:after="0" w:line="240" w:lineRule="auto"/>
              <w:rPr>
                <w:rFonts w:ascii="Times New Roman" w:eastAsia="Times New Roman" w:hAnsi="Times New Roman" w:cs="Times New Roman"/>
                <w:sz w:val="20"/>
                <w:szCs w:val="20"/>
              </w:rPr>
            </w:pPr>
          </w:p>
        </w:tc>
      </w:tr>
      <w:tr w:rsidR="0016759B" w:rsidRPr="0018202C" w14:paraId="1582A880" w14:textId="77777777" w:rsidTr="00AB5BB0">
        <w:trPr>
          <w:trHeight w:val="320"/>
        </w:trPr>
        <w:tc>
          <w:tcPr>
            <w:tcW w:w="1694" w:type="dxa"/>
            <w:tcBorders>
              <w:top w:val="nil"/>
              <w:left w:val="nil"/>
              <w:bottom w:val="nil"/>
              <w:right w:val="nil"/>
            </w:tcBorders>
            <w:shd w:val="clear" w:color="auto" w:fill="auto"/>
            <w:noWrap/>
            <w:vAlign w:val="bottom"/>
            <w:hideMark/>
          </w:tcPr>
          <w:p w14:paraId="2ECE2F05"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114" w:type="dxa"/>
            <w:tcBorders>
              <w:top w:val="single" w:sz="4" w:space="0" w:color="FFFFFF" w:themeColor="background1"/>
              <w:left w:val="nil"/>
              <w:bottom w:val="nil"/>
              <w:right w:val="nil"/>
            </w:tcBorders>
            <w:shd w:val="clear" w:color="auto" w:fill="595959" w:themeFill="text1" w:themeFillTint="A6"/>
            <w:noWrap/>
            <w:vAlign w:val="bottom"/>
            <w:hideMark/>
          </w:tcPr>
          <w:p w14:paraId="36EEA6A9" w14:textId="77777777" w:rsidR="0016759B" w:rsidRPr="00013ADF" w:rsidRDefault="0016759B" w:rsidP="00743E3F">
            <w:pPr>
              <w:spacing w:after="0" w:line="240" w:lineRule="auto"/>
              <w:jc w:val="center"/>
              <w:rPr>
                <w:rFonts w:ascii="Tw Cen MT" w:eastAsia="Times New Roman" w:hAnsi="Tw Cen MT" w:cs="Calibri"/>
                <w:color w:val="FFFFFF" w:themeColor="background1"/>
              </w:rPr>
            </w:pPr>
            <w:r w:rsidRPr="00013ADF">
              <w:rPr>
                <w:rFonts w:ascii="Tw Cen MT" w:eastAsia="Times New Roman" w:hAnsi="Tw Cen MT" w:cs="Calibri"/>
                <w:color w:val="FFFFFF" w:themeColor="background1"/>
              </w:rPr>
              <w:t xml:space="preserve">$387,000 </w:t>
            </w:r>
          </w:p>
        </w:tc>
        <w:tc>
          <w:tcPr>
            <w:tcW w:w="1349" w:type="dxa"/>
            <w:tcBorders>
              <w:top w:val="single" w:sz="4" w:space="0" w:color="FFFFFF" w:themeColor="background1"/>
              <w:left w:val="nil"/>
              <w:bottom w:val="nil"/>
              <w:right w:val="nil"/>
            </w:tcBorders>
            <w:shd w:val="clear" w:color="auto" w:fill="595959" w:themeFill="text1" w:themeFillTint="A6"/>
            <w:noWrap/>
            <w:vAlign w:val="bottom"/>
            <w:hideMark/>
          </w:tcPr>
          <w:p w14:paraId="7C7C850C" w14:textId="77777777" w:rsidR="0016759B" w:rsidRPr="00013ADF" w:rsidRDefault="0016759B" w:rsidP="00743E3F">
            <w:pPr>
              <w:spacing w:after="0" w:line="240" w:lineRule="auto"/>
              <w:jc w:val="center"/>
              <w:rPr>
                <w:rFonts w:ascii="Tw Cen MT" w:eastAsia="Times New Roman" w:hAnsi="Tw Cen MT" w:cs="Calibri"/>
                <w:color w:val="FFFFFF" w:themeColor="background1"/>
              </w:rPr>
            </w:pPr>
            <w:r w:rsidRPr="00013ADF">
              <w:rPr>
                <w:rFonts w:ascii="Tw Cen MT" w:eastAsia="Times New Roman" w:hAnsi="Tw Cen MT" w:cs="Calibri"/>
                <w:color w:val="FFFFFF" w:themeColor="background1"/>
              </w:rPr>
              <w:t>5.50%</w:t>
            </w:r>
          </w:p>
        </w:tc>
        <w:tc>
          <w:tcPr>
            <w:tcW w:w="1567" w:type="dxa"/>
            <w:tcBorders>
              <w:top w:val="single" w:sz="4" w:space="0" w:color="FFFFFF" w:themeColor="background1"/>
              <w:left w:val="nil"/>
              <w:bottom w:val="nil"/>
              <w:right w:val="nil"/>
            </w:tcBorders>
            <w:shd w:val="clear" w:color="auto" w:fill="595959" w:themeFill="text1" w:themeFillTint="A6"/>
            <w:noWrap/>
            <w:vAlign w:val="bottom"/>
            <w:hideMark/>
          </w:tcPr>
          <w:p w14:paraId="50090D87" w14:textId="77777777" w:rsidR="0016759B" w:rsidRPr="00013ADF" w:rsidRDefault="0016759B" w:rsidP="00743E3F">
            <w:pPr>
              <w:spacing w:after="0" w:line="240" w:lineRule="auto"/>
              <w:jc w:val="center"/>
              <w:rPr>
                <w:rFonts w:ascii="Tw Cen MT" w:eastAsia="Times New Roman" w:hAnsi="Tw Cen MT" w:cs="Calibri"/>
                <w:color w:val="FFFFFF" w:themeColor="background1"/>
              </w:rPr>
            </w:pPr>
            <w:r w:rsidRPr="00013ADF">
              <w:rPr>
                <w:rFonts w:ascii="Tw Cen MT" w:eastAsia="Times New Roman" w:hAnsi="Tw Cen MT" w:cs="Calibri"/>
                <w:color w:val="FFFFFF" w:themeColor="background1"/>
              </w:rPr>
              <w:t>30%</w:t>
            </w:r>
          </w:p>
        </w:tc>
        <w:tc>
          <w:tcPr>
            <w:tcW w:w="1385" w:type="dxa"/>
            <w:tcBorders>
              <w:top w:val="single" w:sz="4" w:space="0" w:color="FFFFFF" w:themeColor="background1"/>
              <w:left w:val="nil"/>
              <w:bottom w:val="nil"/>
              <w:right w:val="nil"/>
            </w:tcBorders>
            <w:shd w:val="clear" w:color="auto" w:fill="595959" w:themeFill="text1" w:themeFillTint="A6"/>
            <w:noWrap/>
            <w:vAlign w:val="bottom"/>
            <w:hideMark/>
          </w:tcPr>
          <w:p w14:paraId="0658CABD" w14:textId="77777777" w:rsidR="0016759B" w:rsidRPr="00013ADF" w:rsidRDefault="0016759B" w:rsidP="00743E3F">
            <w:pPr>
              <w:spacing w:after="0" w:line="240" w:lineRule="auto"/>
              <w:jc w:val="center"/>
              <w:rPr>
                <w:rFonts w:ascii="Tw Cen MT" w:eastAsia="Times New Roman" w:hAnsi="Tw Cen MT" w:cs="Calibri"/>
                <w:color w:val="FFFFFF" w:themeColor="background1"/>
              </w:rPr>
            </w:pPr>
            <w:r w:rsidRPr="00013ADF">
              <w:rPr>
                <w:rFonts w:ascii="Tw Cen MT" w:eastAsia="Times New Roman" w:hAnsi="Tw Cen MT" w:cs="Calibri"/>
                <w:color w:val="FFFFFF" w:themeColor="background1"/>
              </w:rPr>
              <w:t>40%</w:t>
            </w:r>
          </w:p>
        </w:tc>
        <w:tc>
          <w:tcPr>
            <w:tcW w:w="1320" w:type="dxa"/>
            <w:tcBorders>
              <w:top w:val="nil"/>
              <w:left w:val="nil"/>
              <w:bottom w:val="nil"/>
              <w:right w:val="nil"/>
            </w:tcBorders>
            <w:shd w:val="clear" w:color="auto" w:fill="auto"/>
            <w:noWrap/>
            <w:vAlign w:val="bottom"/>
            <w:hideMark/>
          </w:tcPr>
          <w:p w14:paraId="17666E35" w14:textId="77777777" w:rsidR="0016759B" w:rsidRPr="0018202C" w:rsidRDefault="0016759B" w:rsidP="00743E3F">
            <w:pPr>
              <w:spacing w:after="0" w:line="240" w:lineRule="auto"/>
              <w:jc w:val="center"/>
              <w:rPr>
                <w:rFonts w:ascii="Tw Cen MT" w:eastAsia="Times New Roman" w:hAnsi="Tw Cen MT" w:cs="Calibri"/>
              </w:rPr>
            </w:pPr>
          </w:p>
        </w:tc>
        <w:tc>
          <w:tcPr>
            <w:tcW w:w="1678" w:type="dxa"/>
            <w:tcBorders>
              <w:top w:val="nil"/>
              <w:left w:val="nil"/>
              <w:bottom w:val="nil"/>
              <w:right w:val="nil"/>
            </w:tcBorders>
            <w:shd w:val="clear" w:color="auto" w:fill="auto"/>
            <w:noWrap/>
            <w:vAlign w:val="bottom"/>
            <w:hideMark/>
          </w:tcPr>
          <w:p w14:paraId="4F9EADE9" w14:textId="77777777" w:rsidR="0016759B" w:rsidRPr="0018202C" w:rsidRDefault="0016759B" w:rsidP="00743E3F">
            <w:pPr>
              <w:spacing w:after="0" w:line="240" w:lineRule="auto"/>
              <w:rPr>
                <w:rFonts w:ascii="Times New Roman" w:eastAsia="Times New Roman" w:hAnsi="Times New Roman" w:cs="Times New Roman"/>
                <w:sz w:val="20"/>
                <w:szCs w:val="20"/>
              </w:rPr>
            </w:pPr>
          </w:p>
        </w:tc>
      </w:tr>
      <w:tr w:rsidR="0016759B" w:rsidRPr="0018202C" w14:paraId="6B8463B0" w14:textId="77777777" w:rsidTr="00AB5BB0">
        <w:trPr>
          <w:trHeight w:val="320"/>
        </w:trPr>
        <w:tc>
          <w:tcPr>
            <w:tcW w:w="1694" w:type="dxa"/>
            <w:tcBorders>
              <w:top w:val="nil"/>
              <w:left w:val="nil"/>
              <w:bottom w:val="nil"/>
              <w:right w:val="nil"/>
            </w:tcBorders>
            <w:shd w:val="clear" w:color="auto" w:fill="auto"/>
            <w:noWrap/>
            <w:vAlign w:val="bottom"/>
            <w:hideMark/>
          </w:tcPr>
          <w:p w14:paraId="5086FCB5"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114" w:type="dxa"/>
            <w:tcBorders>
              <w:top w:val="nil"/>
              <w:left w:val="nil"/>
              <w:bottom w:val="nil"/>
              <w:right w:val="nil"/>
            </w:tcBorders>
            <w:shd w:val="clear" w:color="auto" w:fill="auto"/>
            <w:noWrap/>
            <w:vAlign w:val="bottom"/>
            <w:hideMark/>
          </w:tcPr>
          <w:p w14:paraId="65998D29"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349" w:type="dxa"/>
            <w:tcBorders>
              <w:top w:val="nil"/>
              <w:left w:val="nil"/>
              <w:bottom w:val="nil"/>
              <w:right w:val="nil"/>
            </w:tcBorders>
            <w:shd w:val="clear" w:color="auto" w:fill="auto"/>
            <w:noWrap/>
            <w:vAlign w:val="bottom"/>
            <w:hideMark/>
          </w:tcPr>
          <w:p w14:paraId="4EC93CD4"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567" w:type="dxa"/>
            <w:tcBorders>
              <w:top w:val="nil"/>
              <w:left w:val="nil"/>
              <w:bottom w:val="nil"/>
              <w:right w:val="nil"/>
            </w:tcBorders>
            <w:shd w:val="clear" w:color="auto" w:fill="auto"/>
            <w:noWrap/>
            <w:vAlign w:val="bottom"/>
            <w:hideMark/>
          </w:tcPr>
          <w:p w14:paraId="192F702D"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385" w:type="dxa"/>
            <w:tcBorders>
              <w:top w:val="nil"/>
              <w:left w:val="nil"/>
              <w:bottom w:val="nil"/>
              <w:right w:val="nil"/>
            </w:tcBorders>
            <w:shd w:val="clear" w:color="auto" w:fill="auto"/>
            <w:noWrap/>
            <w:vAlign w:val="bottom"/>
            <w:hideMark/>
          </w:tcPr>
          <w:p w14:paraId="4BEF3C0C"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320" w:type="dxa"/>
            <w:tcBorders>
              <w:top w:val="nil"/>
              <w:left w:val="nil"/>
              <w:bottom w:val="nil"/>
              <w:right w:val="nil"/>
            </w:tcBorders>
            <w:shd w:val="clear" w:color="auto" w:fill="auto"/>
            <w:noWrap/>
            <w:vAlign w:val="bottom"/>
            <w:hideMark/>
          </w:tcPr>
          <w:p w14:paraId="33DF8010"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1678" w:type="dxa"/>
            <w:tcBorders>
              <w:top w:val="nil"/>
              <w:left w:val="nil"/>
              <w:bottom w:val="nil"/>
              <w:right w:val="nil"/>
            </w:tcBorders>
            <w:shd w:val="clear" w:color="auto" w:fill="auto"/>
            <w:noWrap/>
            <w:vAlign w:val="bottom"/>
            <w:hideMark/>
          </w:tcPr>
          <w:p w14:paraId="2040A847" w14:textId="77777777" w:rsidR="0016759B" w:rsidRPr="0018202C" w:rsidRDefault="0016759B" w:rsidP="00743E3F">
            <w:pPr>
              <w:spacing w:after="0" w:line="240" w:lineRule="auto"/>
              <w:rPr>
                <w:rFonts w:ascii="Times New Roman" w:eastAsia="Times New Roman" w:hAnsi="Times New Roman" w:cs="Times New Roman"/>
                <w:sz w:val="20"/>
                <w:szCs w:val="20"/>
              </w:rPr>
            </w:pPr>
          </w:p>
        </w:tc>
      </w:tr>
      <w:tr w:rsidR="0016759B" w:rsidRPr="0018202C" w14:paraId="5EA95BC8" w14:textId="77777777" w:rsidTr="00AB5BB0">
        <w:trPr>
          <w:trHeight w:val="207"/>
        </w:trPr>
        <w:tc>
          <w:tcPr>
            <w:tcW w:w="1694" w:type="dxa"/>
            <w:tcBorders>
              <w:top w:val="nil"/>
              <w:left w:val="nil"/>
              <w:bottom w:val="nil"/>
              <w:right w:val="nil"/>
            </w:tcBorders>
            <w:shd w:val="clear" w:color="auto" w:fill="auto"/>
            <w:noWrap/>
            <w:vAlign w:val="bottom"/>
            <w:hideMark/>
          </w:tcPr>
          <w:p w14:paraId="50F1441B" w14:textId="77777777" w:rsidR="0016759B" w:rsidRPr="0018202C" w:rsidRDefault="0016759B" w:rsidP="00743E3F">
            <w:pPr>
              <w:spacing w:after="0" w:line="240" w:lineRule="auto"/>
              <w:rPr>
                <w:rFonts w:ascii="Times New Roman" w:eastAsia="Times New Roman" w:hAnsi="Times New Roman" w:cs="Times New Roman"/>
                <w:sz w:val="20"/>
                <w:szCs w:val="20"/>
              </w:rPr>
            </w:pPr>
          </w:p>
        </w:tc>
        <w:tc>
          <w:tcPr>
            <w:tcW w:w="8413" w:type="dxa"/>
            <w:gridSpan w:val="6"/>
            <w:tcBorders>
              <w:top w:val="nil"/>
              <w:left w:val="nil"/>
              <w:bottom w:val="nil"/>
              <w:right w:val="nil"/>
            </w:tcBorders>
            <w:shd w:val="clear" w:color="auto" w:fill="auto"/>
            <w:noWrap/>
            <w:vAlign w:val="bottom"/>
            <w:hideMark/>
          </w:tcPr>
          <w:p w14:paraId="52CEB2AC" w14:textId="77777777" w:rsidR="0016759B" w:rsidRPr="0018202C" w:rsidRDefault="0016759B" w:rsidP="00743E3F">
            <w:pPr>
              <w:spacing w:after="0" w:line="240" w:lineRule="auto"/>
              <w:jc w:val="center"/>
              <w:rPr>
                <w:rFonts w:ascii="Tw Cen MT" w:eastAsia="Times New Roman" w:hAnsi="Tw Cen MT" w:cs="Calibri"/>
                <w:b/>
                <w:bCs/>
                <w:color w:val="595959"/>
              </w:rPr>
            </w:pPr>
            <w:r w:rsidRPr="0018202C">
              <w:rPr>
                <w:rFonts w:ascii="Tw Cen MT" w:eastAsia="Times New Roman" w:hAnsi="Tw Cen MT" w:cs="Calibri"/>
                <w:b/>
                <w:bCs/>
                <w:color w:val="595959"/>
              </w:rPr>
              <w:t>Is the Median Home Price Affordable to...? (1.5 Wage Earners)</w:t>
            </w:r>
          </w:p>
        </w:tc>
      </w:tr>
      <w:tr w:rsidR="0016759B" w:rsidRPr="0018202C" w14:paraId="5DA0B184" w14:textId="77777777" w:rsidTr="00AB5BB0">
        <w:trPr>
          <w:trHeight w:val="906"/>
        </w:trPr>
        <w:tc>
          <w:tcPr>
            <w:tcW w:w="1694" w:type="dxa"/>
            <w:tcBorders>
              <w:top w:val="nil"/>
              <w:left w:val="nil"/>
              <w:bottom w:val="single" w:sz="4" w:space="0" w:color="auto"/>
              <w:right w:val="nil"/>
            </w:tcBorders>
            <w:shd w:val="clear" w:color="auto" w:fill="auto"/>
            <w:noWrap/>
            <w:vAlign w:val="bottom"/>
            <w:hideMark/>
          </w:tcPr>
          <w:p w14:paraId="2232E5B2" w14:textId="77777777" w:rsidR="0016759B" w:rsidRPr="0018202C" w:rsidRDefault="0016759B" w:rsidP="00743E3F">
            <w:pPr>
              <w:spacing w:after="0" w:line="240" w:lineRule="auto"/>
              <w:rPr>
                <w:rFonts w:ascii="Tw Cen MT" w:eastAsia="Times New Roman" w:hAnsi="Tw Cen MT" w:cs="Calibri"/>
              </w:rPr>
            </w:pPr>
            <w:r w:rsidRPr="0018202C">
              <w:rPr>
                <w:rFonts w:ascii="Tw Cen MT" w:eastAsia="Times New Roman" w:hAnsi="Tw Cen MT" w:cs="Calibri"/>
              </w:rPr>
              <w:t> </w:t>
            </w:r>
          </w:p>
        </w:tc>
        <w:tc>
          <w:tcPr>
            <w:tcW w:w="1114" w:type="dxa"/>
            <w:tcBorders>
              <w:top w:val="nil"/>
              <w:left w:val="single" w:sz="4" w:space="0" w:color="auto"/>
              <w:bottom w:val="single" w:sz="4" w:space="0" w:color="auto"/>
              <w:right w:val="nil"/>
            </w:tcBorders>
            <w:shd w:val="clear" w:color="auto" w:fill="auto"/>
            <w:vAlign w:val="center"/>
            <w:hideMark/>
          </w:tcPr>
          <w:p w14:paraId="15A28F92" w14:textId="77777777" w:rsidR="0016759B" w:rsidRPr="0018202C" w:rsidRDefault="0016759B" w:rsidP="00743E3F">
            <w:pPr>
              <w:spacing w:after="0" w:line="240" w:lineRule="auto"/>
              <w:jc w:val="center"/>
              <w:rPr>
                <w:rFonts w:ascii="Tw Cen MT" w:eastAsia="Times New Roman" w:hAnsi="Tw Cen MT" w:cs="Calibri"/>
                <w:b/>
                <w:bCs/>
                <w:color w:val="595959"/>
              </w:rPr>
            </w:pPr>
            <w:r w:rsidRPr="0018202C">
              <w:rPr>
                <w:rFonts w:ascii="Tw Cen MT" w:eastAsia="Times New Roman" w:hAnsi="Tw Cen MT" w:cs="Calibri"/>
                <w:b/>
                <w:bCs/>
                <w:color w:val="595959"/>
              </w:rPr>
              <w:t xml:space="preserve">Entry </w:t>
            </w:r>
            <w:proofErr w:type="gramStart"/>
            <w:r w:rsidRPr="0018202C">
              <w:rPr>
                <w:rFonts w:ascii="Tw Cen MT" w:eastAsia="Times New Roman" w:hAnsi="Tw Cen MT" w:cs="Calibri"/>
                <w:b/>
                <w:bCs/>
                <w:color w:val="595959"/>
              </w:rPr>
              <w:t>Level  Wage</w:t>
            </w:r>
            <w:proofErr w:type="gramEnd"/>
          </w:p>
        </w:tc>
        <w:tc>
          <w:tcPr>
            <w:tcW w:w="1349" w:type="dxa"/>
            <w:tcBorders>
              <w:top w:val="nil"/>
              <w:left w:val="nil"/>
              <w:bottom w:val="single" w:sz="4" w:space="0" w:color="auto"/>
              <w:right w:val="nil"/>
            </w:tcBorders>
            <w:shd w:val="clear" w:color="auto" w:fill="auto"/>
            <w:vAlign w:val="bottom"/>
            <w:hideMark/>
          </w:tcPr>
          <w:p w14:paraId="186A8678" w14:textId="77777777" w:rsidR="0016759B" w:rsidRPr="0018202C" w:rsidRDefault="0016759B" w:rsidP="00743E3F">
            <w:pPr>
              <w:spacing w:after="0" w:line="240" w:lineRule="auto"/>
              <w:jc w:val="center"/>
              <w:rPr>
                <w:rFonts w:ascii="Tw Cen MT" w:eastAsia="Times New Roman" w:hAnsi="Tw Cen MT" w:cs="Calibri"/>
                <w:b/>
                <w:bCs/>
                <w:color w:val="595959"/>
              </w:rPr>
            </w:pPr>
            <w:r w:rsidRPr="0018202C">
              <w:rPr>
                <w:rFonts w:ascii="Tw Cen MT" w:eastAsia="Times New Roman" w:hAnsi="Tw Cen MT" w:cs="Calibri"/>
                <w:b/>
                <w:bCs/>
                <w:color w:val="595959"/>
              </w:rPr>
              <w:t>Price Difference</w:t>
            </w:r>
          </w:p>
        </w:tc>
        <w:tc>
          <w:tcPr>
            <w:tcW w:w="1567" w:type="dxa"/>
            <w:tcBorders>
              <w:top w:val="nil"/>
              <w:left w:val="single" w:sz="4" w:space="0" w:color="auto"/>
              <w:bottom w:val="single" w:sz="4" w:space="0" w:color="auto"/>
              <w:right w:val="nil"/>
            </w:tcBorders>
            <w:shd w:val="clear" w:color="auto" w:fill="auto"/>
            <w:vAlign w:val="center"/>
            <w:hideMark/>
          </w:tcPr>
          <w:p w14:paraId="49B5666F" w14:textId="77777777" w:rsidR="0016759B" w:rsidRPr="0018202C" w:rsidRDefault="0016759B" w:rsidP="00743E3F">
            <w:pPr>
              <w:spacing w:after="0" w:line="240" w:lineRule="auto"/>
              <w:jc w:val="center"/>
              <w:rPr>
                <w:rFonts w:ascii="Tw Cen MT" w:eastAsia="Times New Roman" w:hAnsi="Tw Cen MT" w:cs="Calibri"/>
                <w:b/>
                <w:bCs/>
                <w:color w:val="595959"/>
              </w:rPr>
            </w:pPr>
            <w:r w:rsidRPr="0018202C">
              <w:rPr>
                <w:rFonts w:ascii="Tw Cen MT" w:eastAsia="Times New Roman" w:hAnsi="Tw Cen MT" w:cs="Calibri"/>
                <w:b/>
                <w:bCs/>
                <w:color w:val="595959"/>
              </w:rPr>
              <w:t xml:space="preserve">Median Wage </w:t>
            </w:r>
          </w:p>
        </w:tc>
        <w:tc>
          <w:tcPr>
            <w:tcW w:w="1385" w:type="dxa"/>
            <w:tcBorders>
              <w:top w:val="nil"/>
              <w:left w:val="nil"/>
              <w:bottom w:val="single" w:sz="4" w:space="0" w:color="auto"/>
              <w:right w:val="nil"/>
            </w:tcBorders>
            <w:shd w:val="clear" w:color="auto" w:fill="auto"/>
            <w:vAlign w:val="bottom"/>
            <w:hideMark/>
          </w:tcPr>
          <w:p w14:paraId="4F279D0B" w14:textId="77777777" w:rsidR="0016759B" w:rsidRPr="0018202C" w:rsidRDefault="0016759B" w:rsidP="00743E3F">
            <w:pPr>
              <w:spacing w:after="0" w:line="240" w:lineRule="auto"/>
              <w:jc w:val="center"/>
              <w:rPr>
                <w:rFonts w:ascii="Tw Cen MT" w:eastAsia="Times New Roman" w:hAnsi="Tw Cen MT" w:cs="Calibri"/>
                <w:b/>
                <w:bCs/>
                <w:color w:val="595959"/>
              </w:rPr>
            </w:pPr>
            <w:r w:rsidRPr="0018202C">
              <w:rPr>
                <w:rFonts w:ascii="Tw Cen MT" w:eastAsia="Times New Roman" w:hAnsi="Tw Cen MT" w:cs="Calibri"/>
                <w:b/>
                <w:bCs/>
                <w:color w:val="595959"/>
              </w:rPr>
              <w:t>Price Difference</w:t>
            </w:r>
          </w:p>
        </w:tc>
        <w:tc>
          <w:tcPr>
            <w:tcW w:w="1320" w:type="dxa"/>
            <w:tcBorders>
              <w:top w:val="nil"/>
              <w:left w:val="single" w:sz="4" w:space="0" w:color="auto"/>
              <w:bottom w:val="single" w:sz="4" w:space="0" w:color="auto"/>
              <w:right w:val="nil"/>
            </w:tcBorders>
            <w:shd w:val="clear" w:color="auto" w:fill="auto"/>
            <w:vAlign w:val="center"/>
            <w:hideMark/>
          </w:tcPr>
          <w:p w14:paraId="3DC09E57" w14:textId="77777777" w:rsidR="0016759B" w:rsidRPr="0018202C" w:rsidRDefault="0016759B" w:rsidP="00743E3F">
            <w:pPr>
              <w:spacing w:after="0" w:line="240" w:lineRule="auto"/>
              <w:jc w:val="center"/>
              <w:rPr>
                <w:rFonts w:ascii="Tw Cen MT" w:eastAsia="Times New Roman" w:hAnsi="Tw Cen MT" w:cs="Calibri"/>
                <w:b/>
                <w:bCs/>
                <w:color w:val="595959"/>
              </w:rPr>
            </w:pPr>
            <w:r w:rsidRPr="0018202C">
              <w:rPr>
                <w:rFonts w:ascii="Tw Cen MT" w:eastAsia="Times New Roman" w:hAnsi="Tw Cen MT" w:cs="Calibri"/>
                <w:b/>
                <w:bCs/>
                <w:color w:val="595959"/>
              </w:rPr>
              <w:t>Experienced Wage</w:t>
            </w:r>
          </w:p>
        </w:tc>
        <w:tc>
          <w:tcPr>
            <w:tcW w:w="1678" w:type="dxa"/>
            <w:tcBorders>
              <w:top w:val="nil"/>
              <w:left w:val="nil"/>
              <w:bottom w:val="single" w:sz="4" w:space="0" w:color="auto"/>
              <w:right w:val="nil"/>
            </w:tcBorders>
            <w:shd w:val="clear" w:color="auto" w:fill="auto"/>
            <w:vAlign w:val="bottom"/>
            <w:hideMark/>
          </w:tcPr>
          <w:p w14:paraId="2187464D" w14:textId="77777777" w:rsidR="0016759B" w:rsidRPr="0018202C" w:rsidRDefault="0016759B" w:rsidP="00743E3F">
            <w:pPr>
              <w:spacing w:after="0" w:line="240" w:lineRule="auto"/>
              <w:jc w:val="center"/>
              <w:rPr>
                <w:rFonts w:ascii="Tw Cen MT" w:eastAsia="Times New Roman" w:hAnsi="Tw Cen MT" w:cs="Calibri"/>
                <w:b/>
                <w:bCs/>
                <w:color w:val="595959"/>
              </w:rPr>
            </w:pPr>
            <w:r w:rsidRPr="0018202C">
              <w:rPr>
                <w:rFonts w:ascii="Tw Cen MT" w:eastAsia="Times New Roman" w:hAnsi="Tw Cen MT" w:cs="Calibri"/>
                <w:b/>
                <w:bCs/>
                <w:color w:val="595959"/>
              </w:rPr>
              <w:t>Price Difference</w:t>
            </w:r>
          </w:p>
        </w:tc>
      </w:tr>
      <w:tr w:rsidR="0016759B" w:rsidRPr="0018202C" w14:paraId="35847B98" w14:textId="77777777" w:rsidTr="00AB5BB0">
        <w:trPr>
          <w:trHeight w:val="70"/>
        </w:trPr>
        <w:tc>
          <w:tcPr>
            <w:tcW w:w="1694" w:type="dxa"/>
            <w:tcBorders>
              <w:top w:val="nil"/>
              <w:left w:val="nil"/>
              <w:bottom w:val="nil"/>
              <w:right w:val="nil"/>
            </w:tcBorders>
            <w:shd w:val="clear" w:color="auto" w:fill="auto"/>
            <w:vAlign w:val="center"/>
            <w:hideMark/>
          </w:tcPr>
          <w:p w14:paraId="78C701F8"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Assemblers &amp; Fabricators</w:t>
            </w:r>
          </w:p>
        </w:tc>
        <w:tc>
          <w:tcPr>
            <w:tcW w:w="1114" w:type="dxa"/>
            <w:tcBorders>
              <w:top w:val="nil"/>
              <w:left w:val="single" w:sz="4" w:space="0" w:color="auto"/>
              <w:bottom w:val="nil"/>
              <w:right w:val="nil"/>
            </w:tcBorders>
            <w:shd w:val="clear" w:color="auto" w:fill="auto"/>
            <w:noWrap/>
            <w:vAlign w:val="center"/>
            <w:hideMark/>
          </w:tcPr>
          <w:p w14:paraId="05A39250"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nil"/>
              <w:left w:val="nil"/>
              <w:bottom w:val="nil"/>
              <w:right w:val="nil"/>
            </w:tcBorders>
            <w:shd w:val="clear" w:color="auto" w:fill="auto"/>
            <w:noWrap/>
            <w:vAlign w:val="center"/>
            <w:hideMark/>
          </w:tcPr>
          <w:p w14:paraId="6F30CD6B"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-$221,738</w:t>
            </w:r>
          </w:p>
        </w:tc>
        <w:tc>
          <w:tcPr>
            <w:tcW w:w="1567" w:type="dxa"/>
            <w:tcBorders>
              <w:top w:val="nil"/>
              <w:left w:val="single" w:sz="4" w:space="0" w:color="auto"/>
              <w:bottom w:val="nil"/>
              <w:right w:val="nil"/>
            </w:tcBorders>
            <w:shd w:val="clear" w:color="auto" w:fill="auto"/>
            <w:noWrap/>
            <w:vAlign w:val="center"/>
            <w:hideMark/>
          </w:tcPr>
          <w:p w14:paraId="3E457137"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nil"/>
              <w:left w:val="nil"/>
              <w:bottom w:val="nil"/>
              <w:right w:val="nil"/>
            </w:tcBorders>
            <w:shd w:val="clear" w:color="auto" w:fill="auto"/>
            <w:noWrap/>
            <w:vAlign w:val="center"/>
            <w:hideMark/>
          </w:tcPr>
          <w:p w14:paraId="091521D3"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-$160,525</w:t>
            </w:r>
          </w:p>
        </w:tc>
        <w:tc>
          <w:tcPr>
            <w:tcW w:w="1320" w:type="dxa"/>
            <w:tcBorders>
              <w:top w:val="nil"/>
              <w:left w:val="single" w:sz="4" w:space="0" w:color="auto"/>
              <w:bottom w:val="nil"/>
              <w:right w:val="nil"/>
            </w:tcBorders>
            <w:shd w:val="clear" w:color="auto" w:fill="auto"/>
            <w:noWrap/>
            <w:vAlign w:val="center"/>
            <w:hideMark/>
          </w:tcPr>
          <w:p w14:paraId="0ABF6323"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nil"/>
              <w:left w:val="nil"/>
              <w:bottom w:val="nil"/>
              <w:right w:val="nil"/>
            </w:tcBorders>
            <w:shd w:val="clear" w:color="auto" w:fill="auto"/>
            <w:noWrap/>
            <w:vAlign w:val="center"/>
            <w:hideMark/>
          </w:tcPr>
          <w:p w14:paraId="6B4AF421"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-$117,033</w:t>
            </w:r>
          </w:p>
        </w:tc>
      </w:tr>
      <w:tr w:rsidR="0016759B" w:rsidRPr="0018202C" w14:paraId="40A350E7" w14:textId="77777777" w:rsidTr="00AB5BB0">
        <w:trPr>
          <w:trHeight w:val="70"/>
        </w:trPr>
        <w:tc>
          <w:tcPr>
            <w:tcW w:w="1694" w:type="dxa"/>
            <w:tcBorders>
              <w:top w:val="single" w:sz="4" w:space="0" w:color="auto"/>
              <w:left w:val="nil"/>
              <w:bottom w:val="single" w:sz="4" w:space="0" w:color="auto"/>
              <w:right w:val="nil"/>
            </w:tcBorders>
            <w:shd w:val="clear" w:color="000000" w:fill="E7E6E6"/>
            <w:vAlign w:val="center"/>
            <w:hideMark/>
          </w:tcPr>
          <w:p w14:paraId="36863562"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Cashiers</w:t>
            </w:r>
          </w:p>
        </w:tc>
        <w:tc>
          <w:tcPr>
            <w:tcW w:w="1114" w:type="dxa"/>
            <w:tcBorders>
              <w:top w:val="single" w:sz="4" w:space="0" w:color="auto"/>
              <w:left w:val="single" w:sz="4" w:space="0" w:color="auto"/>
              <w:bottom w:val="single" w:sz="4" w:space="0" w:color="auto"/>
              <w:right w:val="nil"/>
            </w:tcBorders>
            <w:shd w:val="clear" w:color="000000" w:fill="E7E6E6"/>
            <w:noWrap/>
            <w:vAlign w:val="center"/>
            <w:hideMark/>
          </w:tcPr>
          <w:p w14:paraId="55BACF29"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single" w:sz="4" w:space="0" w:color="auto"/>
              <w:left w:val="nil"/>
              <w:bottom w:val="single" w:sz="4" w:space="0" w:color="auto"/>
              <w:right w:val="nil"/>
            </w:tcBorders>
            <w:shd w:val="clear" w:color="000000" w:fill="E7E6E6"/>
            <w:noWrap/>
            <w:vAlign w:val="center"/>
            <w:hideMark/>
          </w:tcPr>
          <w:p w14:paraId="7AAA3A92"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-$265,217</w:t>
            </w:r>
          </w:p>
        </w:tc>
        <w:tc>
          <w:tcPr>
            <w:tcW w:w="1567" w:type="dxa"/>
            <w:tcBorders>
              <w:top w:val="single" w:sz="4" w:space="0" w:color="auto"/>
              <w:left w:val="single" w:sz="4" w:space="0" w:color="auto"/>
              <w:bottom w:val="single" w:sz="4" w:space="0" w:color="auto"/>
              <w:right w:val="nil"/>
            </w:tcBorders>
            <w:shd w:val="clear" w:color="000000" w:fill="E7E6E6"/>
            <w:noWrap/>
            <w:vAlign w:val="center"/>
            <w:hideMark/>
          </w:tcPr>
          <w:p w14:paraId="6F95FBB5"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single" w:sz="4" w:space="0" w:color="auto"/>
              <w:left w:val="nil"/>
              <w:bottom w:val="single" w:sz="4" w:space="0" w:color="auto"/>
              <w:right w:val="nil"/>
            </w:tcBorders>
            <w:shd w:val="clear" w:color="000000" w:fill="E7E6E6"/>
            <w:noWrap/>
            <w:vAlign w:val="center"/>
            <w:hideMark/>
          </w:tcPr>
          <w:p w14:paraId="67E63494"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-$251,902</w:t>
            </w:r>
          </w:p>
        </w:tc>
        <w:tc>
          <w:tcPr>
            <w:tcW w:w="1320" w:type="dxa"/>
            <w:tcBorders>
              <w:top w:val="single" w:sz="4" w:space="0" w:color="auto"/>
              <w:left w:val="single" w:sz="4" w:space="0" w:color="auto"/>
              <w:bottom w:val="single" w:sz="4" w:space="0" w:color="auto"/>
              <w:right w:val="nil"/>
            </w:tcBorders>
            <w:shd w:val="clear" w:color="000000" w:fill="E7E6E6"/>
            <w:noWrap/>
            <w:vAlign w:val="center"/>
            <w:hideMark/>
          </w:tcPr>
          <w:p w14:paraId="057C0C47"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single" w:sz="4" w:space="0" w:color="auto"/>
              <w:left w:val="nil"/>
              <w:bottom w:val="single" w:sz="4" w:space="0" w:color="auto"/>
              <w:right w:val="nil"/>
            </w:tcBorders>
            <w:shd w:val="clear" w:color="000000" w:fill="E7E6E6"/>
            <w:noWrap/>
            <w:vAlign w:val="center"/>
            <w:hideMark/>
          </w:tcPr>
          <w:p w14:paraId="02EFB299"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-$228,813</w:t>
            </w:r>
          </w:p>
        </w:tc>
      </w:tr>
      <w:tr w:rsidR="0016759B" w:rsidRPr="0018202C" w14:paraId="4B7ED43F" w14:textId="77777777" w:rsidTr="00AB5BB0">
        <w:trPr>
          <w:trHeight w:val="129"/>
        </w:trPr>
        <w:tc>
          <w:tcPr>
            <w:tcW w:w="1694" w:type="dxa"/>
            <w:tcBorders>
              <w:top w:val="nil"/>
              <w:left w:val="nil"/>
              <w:bottom w:val="nil"/>
              <w:right w:val="nil"/>
            </w:tcBorders>
            <w:shd w:val="clear" w:color="auto" w:fill="auto"/>
            <w:vAlign w:val="center"/>
            <w:hideMark/>
          </w:tcPr>
          <w:p w14:paraId="54638609"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Childcare Workers</w:t>
            </w:r>
          </w:p>
        </w:tc>
        <w:tc>
          <w:tcPr>
            <w:tcW w:w="1114" w:type="dxa"/>
            <w:tcBorders>
              <w:top w:val="nil"/>
              <w:left w:val="single" w:sz="4" w:space="0" w:color="auto"/>
              <w:bottom w:val="nil"/>
              <w:right w:val="nil"/>
            </w:tcBorders>
            <w:shd w:val="clear" w:color="auto" w:fill="auto"/>
            <w:noWrap/>
            <w:vAlign w:val="center"/>
            <w:hideMark/>
          </w:tcPr>
          <w:p w14:paraId="0919E921"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nil"/>
              <w:left w:val="nil"/>
              <w:bottom w:val="nil"/>
              <w:right w:val="nil"/>
            </w:tcBorders>
            <w:shd w:val="clear" w:color="auto" w:fill="auto"/>
            <w:noWrap/>
            <w:vAlign w:val="center"/>
            <w:hideMark/>
          </w:tcPr>
          <w:p w14:paraId="42115302"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-$284,587</w:t>
            </w:r>
          </w:p>
        </w:tc>
        <w:tc>
          <w:tcPr>
            <w:tcW w:w="1567" w:type="dxa"/>
            <w:tcBorders>
              <w:top w:val="nil"/>
              <w:left w:val="single" w:sz="4" w:space="0" w:color="auto"/>
              <w:bottom w:val="nil"/>
              <w:right w:val="nil"/>
            </w:tcBorders>
            <w:shd w:val="clear" w:color="auto" w:fill="auto"/>
            <w:noWrap/>
            <w:vAlign w:val="center"/>
            <w:hideMark/>
          </w:tcPr>
          <w:p w14:paraId="2DAA3A29"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nil"/>
              <w:left w:val="nil"/>
              <w:bottom w:val="nil"/>
              <w:right w:val="nil"/>
            </w:tcBorders>
            <w:shd w:val="clear" w:color="auto" w:fill="auto"/>
            <w:noWrap/>
            <w:vAlign w:val="center"/>
            <w:hideMark/>
          </w:tcPr>
          <w:p w14:paraId="768606D7"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-$257,328</w:t>
            </w:r>
          </w:p>
        </w:tc>
        <w:tc>
          <w:tcPr>
            <w:tcW w:w="1320" w:type="dxa"/>
            <w:tcBorders>
              <w:top w:val="nil"/>
              <w:left w:val="single" w:sz="4" w:space="0" w:color="auto"/>
              <w:bottom w:val="nil"/>
              <w:right w:val="nil"/>
            </w:tcBorders>
            <w:shd w:val="clear" w:color="auto" w:fill="auto"/>
            <w:noWrap/>
            <w:vAlign w:val="center"/>
            <w:hideMark/>
          </w:tcPr>
          <w:p w14:paraId="0EC15F0B"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nil"/>
              <w:left w:val="nil"/>
              <w:bottom w:val="nil"/>
              <w:right w:val="nil"/>
            </w:tcBorders>
            <w:shd w:val="clear" w:color="auto" w:fill="auto"/>
            <w:noWrap/>
            <w:vAlign w:val="center"/>
            <w:hideMark/>
          </w:tcPr>
          <w:p w14:paraId="2B67E311"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-$233,367</w:t>
            </w:r>
          </w:p>
        </w:tc>
      </w:tr>
      <w:tr w:rsidR="0016759B" w:rsidRPr="0018202C" w14:paraId="233E1D99" w14:textId="77777777" w:rsidTr="00AB5BB0">
        <w:trPr>
          <w:trHeight w:val="70"/>
        </w:trPr>
        <w:tc>
          <w:tcPr>
            <w:tcW w:w="1694" w:type="dxa"/>
            <w:tcBorders>
              <w:top w:val="single" w:sz="4" w:space="0" w:color="auto"/>
              <w:left w:val="nil"/>
              <w:bottom w:val="single" w:sz="4" w:space="0" w:color="auto"/>
              <w:right w:val="nil"/>
            </w:tcBorders>
            <w:shd w:val="clear" w:color="000000" w:fill="E7E6E6"/>
            <w:vAlign w:val="center"/>
            <w:hideMark/>
          </w:tcPr>
          <w:p w14:paraId="5BA16341"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Construction Laborers</w:t>
            </w:r>
          </w:p>
        </w:tc>
        <w:tc>
          <w:tcPr>
            <w:tcW w:w="1114" w:type="dxa"/>
            <w:tcBorders>
              <w:top w:val="single" w:sz="4" w:space="0" w:color="auto"/>
              <w:left w:val="single" w:sz="4" w:space="0" w:color="auto"/>
              <w:bottom w:val="single" w:sz="4" w:space="0" w:color="auto"/>
              <w:right w:val="nil"/>
            </w:tcBorders>
            <w:shd w:val="clear" w:color="000000" w:fill="E7E6E6"/>
            <w:noWrap/>
            <w:vAlign w:val="center"/>
            <w:hideMark/>
          </w:tcPr>
          <w:p w14:paraId="5969A3CE"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single" w:sz="4" w:space="0" w:color="auto"/>
              <w:left w:val="nil"/>
              <w:bottom w:val="single" w:sz="4" w:space="0" w:color="auto"/>
              <w:right w:val="nil"/>
            </w:tcBorders>
            <w:shd w:val="clear" w:color="000000" w:fill="E7E6E6"/>
            <w:noWrap/>
            <w:vAlign w:val="center"/>
            <w:hideMark/>
          </w:tcPr>
          <w:p w14:paraId="44BE04F4"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-$198,247</w:t>
            </w:r>
          </w:p>
        </w:tc>
        <w:tc>
          <w:tcPr>
            <w:tcW w:w="1567" w:type="dxa"/>
            <w:tcBorders>
              <w:top w:val="single" w:sz="4" w:space="0" w:color="auto"/>
              <w:left w:val="single" w:sz="4" w:space="0" w:color="auto"/>
              <w:bottom w:val="single" w:sz="4" w:space="0" w:color="auto"/>
              <w:right w:val="nil"/>
            </w:tcBorders>
            <w:shd w:val="clear" w:color="000000" w:fill="E7E6E6"/>
            <w:noWrap/>
            <w:vAlign w:val="center"/>
            <w:hideMark/>
          </w:tcPr>
          <w:p w14:paraId="48D0ECCA"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single" w:sz="4" w:space="0" w:color="auto"/>
              <w:left w:val="nil"/>
              <w:bottom w:val="single" w:sz="4" w:space="0" w:color="auto"/>
              <w:right w:val="nil"/>
            </w:tcBorders>
            <w:shd w:val="clear" w:color="000000" w:fill="E7E6E6"/>
            <w:noWrap/>
            <w:vAlign w:val="center"/>
            <w:hideMark/>
          </w:tcPr>
          <w:p w14:paraId="1218EDA8"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-$170,243</w:t>
            </w:r>
          </w:p>
        </w:tc>
        <w:tc>
          <w:tcPr>
            <w:tcW w:w="1320" w:type="dxa"/>
            <w:tcBorders>
              <w:top w:val="single" w:sz="4" w:space="0" w:color="auto"/>
              <w:left w:val="single" w:sz="4" w:space="0" w:color="auto"/>
              <w:bottom w:val="single" w:sz="4" w:space="0" w:color="auto"/>
              <w:right w:val="nil"/>
            </w:tcBorders>
            <w:shd w:val="clear" w:color="000000" w:fill="E7E6E6"/>
            <w:noWrap/>
            <w:vAlign w:val="center"/>
            <w:hideMark/>
          </w:tcPr>
          <w:p w14:paraId="61620B90"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single" w:sz="4" w:space="0" w:color="auto"/>
              <w:left w:val="nil"/>
              <w:bottom w:val="single" w:sz="4" w:space="0" w:color="auto"/>
              <w:right w:val="nil"/>
            </w:tcBorders>
            <w:shd w:val="clear" w:color="000000" w:fill="E7E6E6"/>
            <w:noWrap/>
            <w:vAlign w:val="center"/>
            <w:hideMark/>
          </w:tcPr>
          <w:p w14:paraId="096282BC"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-$128,261</w:t>
            </w:r>
          </w:p>
        </w:tc>
      </w:tr>
      <w:tr w:rsidR="0016759B" w:rsidRPr="0018202C" w14:paraId="4ED0A901" w14:textId="77777777" w:rsidTr="00AB5BB0">
        <w:trPr>
          <w:trHeight w:val="99"/>
        </w:trPr>
        <w:tc>
          <w:tcPr>
            <w:tcW w:w="1694" w:type="dxa"/>
            <w:tcBorders>
              <w:top w:val="nil"/>
              <w:left w:val="nil"/>
              <w:bottom w:val="nil"/>
              <w:right w:val="nil"/>
            </w:tcBorders>
            <w:shd w:val="clear" w:color="auto" w:fill="auto"/>
            <w:vAlign w:val="center"/>
            <w:hideMark/>
          </w:tcPr>
          <w:p w14:paraId="21022C02"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Electricians</w:t>
            </w:r>
          </w:p>
        </w:tc>
        <w:tc>
          <w:tcPr>
            <w:tcW w:w="1114" w:type="dxa"/>
            <w:tcBorders>
              <w:top w:val="nil"/>
              <w:left w:val="single" w:sz="4" w:space="0" w:color="auto"/>
              <w:bottom w:val="nil"/>
              <w:right w:val="nil"/>
            </w:tcBorders>
            <w:shd w:val="clear" w:color="auto" w:fill="auto"/>
            <w:noWrap/>
            <w:vAlign w:val="center"/>
            <w:hideMark/>
          </w:tcPr>
          <w:p w14:paraId="6B5F0FC2"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nil"/>
              <w:left w:val="nil"/>
              <w:bottom w:val="nil"/>
              <w:right w:val="nil"/>
            </w:tcBorders>
            <w:shd w:val="clear" w:color="auto" w:fill="auto"/>
            <w:noWrap/>
            <w:vAlign w:val="center"/>
            <w:hideMark/>
          </w:tcPr>
          <w:p w14:paraId="38EC66CF"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-$165,689</w:t>
            </w:r>
          </w:p>
        </w:tc>
        <w:tc>
          <w:tcPr>
            <w:tcW w:w="1567" w:type="dxa"/>
            <w:tcBorders>
              <w:top w:val="nil"/>
              <w:left w:val="single" w:sz="4" w:space="0" w:color="auto"/>
              <w:bottom w:val="nil"/>
              <w:right w:val="nil"/>
            </w:tcBorders>
            <w:shd w:val="clear" w:color="auto" w:fill="auto"/>
            <w:noWrap/>
            <w:vAlign w:val="center"/>
            <w:hideMark/>
          </w:tcPr>
          <w:p w14:paraId="6030EB3D"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nil"/>
              <w:left w:val="nil"/>
              <w:bottom w:val="nil"/>
              <w:right w:val="nil"/>
            </w:tcBorders>
            <w:shd w:val="clear" w:color="auto" w:fill="auto"/>
            <w:noWrap/>
            <w:vAlign w:val="center"/>
            <w:hideMark/>
          </w:tcPr>
          <w:p w14:paraId="4FBD6D68"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-$52,348</w:t>
            </w:r>
          </w:p>
        </w:tc>
        <w:tc>
          <w:tcPr>
            <w:tcW w:w="1320" w:type="dxa"/>
            <w:tcBorders>
              <w:top w:val="nil"/>
              <w:left w:val="single" w:sz="4" w:space="0" w:color="auto"/>
              <w:bottom w:val="nil"/>
              <w:right w:val="nil"/>
            </w:tcBorders>
            <w:shd w:val="clear" w:color="auto" w:fill="auto"/>
            <w:noWrap/>
            <w:vAlign w:val="center"/>
            <w:hideMark/>
          </w:tcPr>
          <w:p w14:paraId="311B1E5A"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nil"/>
              <w:left w:val="nil"/>
              <w:bottom w:val="nil"/>
              <w:right w:val="nil"/>
            </w:tcBorders>
            <w:shd w:val="clear" w:color="auto" w:fill="auto"/>
            <w:noWrap/>
            <w:vAlign w:val="center"/>
            <w:hideMark/>
          </w:tcPr>
          <w:p w14:paraId="786827ED"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-$6,405</w:t>
            </w:r>
          </w:p>
        </w:tc>
      </w:tr>
      <w:tr w:rsidR="0016759B" w:rsidRPr="0018202C" w14:paraId="248B41C2" w14:textId="77777777" w:rsidTr="00AB5BB0">
        <w:trPr>
          <w:trHeight w:val="70"/>
        </w:trPr>
        <w:tc>
          <w:tcPr>
            <w:tcW w:w="1694" w:type="dxa"/>
            <w:tcBorders>
              <w:top w:val="single" w:sz="4" w:space="0" w:color="auto"/>
              <w:left w:val="nil"/>
              <w:bottom w:val="single" w:sz="4" w:space="0" w:color="auto"/>
              <w:right w:val="nil"/>
            </w:tcBorders>
            <w:shd w:val="clear" w:color="000000" w:fill="E7E6E6"/>
            <w:vAlign w:val="center"/>
            <w:hideMark/>
          </w:tcPr>
          <w:p w14:paraId="35F07995"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Engineers</w:t>
            </w:r>
          </w:p>
        </w:tc>
        <w:tc>
          <w:tcPr>
            <w:tcW w:w="1114" w:type="dxa"/>
            <w:tcBorders>
              <w:top w:val="single" w:sz="4" w:space="0" w:color="auto"/>
              <w:left w:val="single" w:sz="4" w:space="0" w:color="auto"/>
              <w:bottom w:val="single" w:sz="4" w:space="0" w:color="auto"/>
              <w:right w:val="nil"/>
            </w:tcBorders>
            <w:shd w:val="clear" w:color="000000" w:fill="E7E6E6"/>
            <w:noWrap/>
            <w:vAlign w:val="center"/>
            <w:hideMark/>
          </w:tcPr>
          <w:p w14:paraId="65752A62"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single" w:sz="4" w:space="0" w:color="auto"/>
              <w:left w:val="nil"/>
              <w:bottom w:val="single" w:sz="4" w:space="0" w:color="auto"/>
              <w:right w:val="nil"/>
            </w:tcBorders>
            <w:shd w:val="clear" w:color="000000" w:fill="E7E6E6"/>
            <w:noWrap/>
            <w:vAlign w:val="center"/>
            <w:hideMark/>
          </w:tcPr>
          <w:p w14:paraId="5AE7E8F6"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-$24,330</w:t>
            </w:r>
          </w:p>
        </w:tc>
        <w:tc>
          <w:tcPr>
            <w:tcW w:w="1567" w:type="dxa"/>
            <w:tcBorders>
              <w:top w:val="single" w:sz="4" w:space="0" w:color="auto"/>
              <w:left w:val="single" w:sz="4" w:space="0" w:color="auto"/>
              <w:bottom w:val="single" w:sz="4" w:space="0" w:color="auto"/>
              <w:right w:val="nil"/>
            </w:tcBorders>
            <w:shd w:val="clear" w:color="000000" w:fill="E7E6E6"/>
            <w:noWrap/>
            <w:vAlign w:val="center"/>
            <w:hideMark/>
          </w:tcPr>
          <w:p w14:paraId="0DE10CC6"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Yes</w:t>
            </w:r>
          </w:p>
        </w:tc>
        <w:tc>
          <w:tcPr>
            <w:tcW w:w="1385" w:type="dxa"/>
            <w:tcBorders>
              <w:top w:val="single" w:sz="4" w:space="0" w:color="auto"/>
              <w:left w:val="nil"/>
              <w:bottom w:val="single" w:sz="4" w:space="0" w:color="auto"/>
              <w:right w:val="nil"/>
            </w:tcBorders>
            <w:shd w:val="clear" w:color="000000" w:fill="E7E6E6"/>
            <w:noWrap/>
            <w:vAlign w:val="center"/>
            <w:hideMark/>
          </w:tcPr>
          <w:p w14:paraId="0DB3AE85"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$161,025</w:t>
            </w:r>
          </w:p>
        </w:tc>
        <w:tc>
          <w:tcPr>
            <w:tcW w:w="1320" w:type="dxa"/>
            <w:tcBorders>
              <w:top w:val="single" w:sz="4" w:space="0" w:color="auto"/>
              <w:left w:val="single" w:sz="4" w:space="0" w:color="auto"/>
              <w:bottom w:val="single" w:sz="4" w:space="0" w:color="auto"/>
              <w:right w:val="nil"/>
            </w:tcBorders>
            <w:shd w:val="clear" w:color="000000" w:fill="E7E6E6"/>
            <w:noWrap/>
            <w:vAlign w:val="center"/>
            <w:hideMark/>
          </w:tcPr>
          <w:p w14:paraId="413AECB3"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Yes</w:t>
            </w:r>
          </w:p>
        </w:tc>
        <w:tc>
          <w:tcPr>
            <w:tcW w:w="1678" w:type="dxa"/>
            <w:tcBorders>
              <w:top w:val="single" w:sz="4" w:space="0" w:color="auto"/>
              <w:left w:val="nil"/>
              <w:bottom w:val="single" w:sz="4" w:space="0" w:color="auto"/>
              <w:right w:val="nil"/>
            </w:tcBorders>
            <w:shd w:val="clear" w:color="000000" w:fill="E7E6E6"/>
            <w:noWrap/>
            <w:vAlign w:val="center"/>
            <w:hideMark/>
          </w:tcPr>
          <w:p w14:paraId="0C975457"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$275,712</w:t>
            </w:r>
          </w:p>
        </w:tc>
      </w:tr>
      <w:tr w:rsidR="0016759B" w:rsidRPr="0018202C" w14:paraId="6F197ECF" w14:textId="77777777" w:rsidTr="00AB5BB0">
        <w:trPr>
          <w:trHeight w:val="204"/>
        </w:trPr>
        <w:tc>
          <w:tcPr>
            <w:tcW w:w="1694" w:type="dxa"/>
            <w:tcBorders>
              <w:top w:val="nil"/>
              <w:left w:val="nil"/>
              <w:bottom w:val="nil"/>
              <w:right w:val="nil"/>
            </w:tcBorders>
            <w:shd w:val="clear" w:color="auto" w:fill="auto"/>
            <w:vAlign w:val="center"/>
            <w:hideMark/>
          </w:tcPr>
          <w:p w14:paraId="0D667324"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Fast Food &amp; Counter Workers</w:t>
            </w:r>
          </w:p>
        </w:tc>
        <w:tc>
          <w:tcPr>
            <w:tcW w:w="1114" w:type="dxa"/>
            <w:tcBorders>
              <w:top w:val="nil"/>
              <w:left w:val="single" w:sz="4" w:space="0" w:color="auto"/>
              <w:bottom w:val="nil"/>
              <w:right w:val="nil"/>
            </w:tcBorders>
            <w:shd w:val="clear" w:color="auto" w:fill="auto"/>
            <w:noWrap/>
            <w:vAlign w:val="center"/>
            <w:hideMark/>
          </w:tcPr>
          <w:p w14:paraId="2E5BE061"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nil"/>
              <w:left w:val="nil"/>
              <w:bottom w:val="nil"/>
              <w:right w:val="nil"/>
            </w:tcBorders>
            <w:shd w:val="clear" w:color="auto" w:fill="auto"/>
            <w:noWrap/>
            <w:vAlign w:val="center"/>
            <w:hideMark/>
          </w:tcPr>
          <w:p w14:paraId="15BBBAD7"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-$267,278</w:t>
            </w:r>
          </w:p>
        </w:tc>
        <w:tc>
          <w:tcPr>
            <w:tcW w:w="1567" w:type="dxa"/>
            <w:tcBorders>
              <w:top w:val="nil"/>
              <w:left w:val="single" w:sz="4" w:space="0" w:color="auto"/>
              <w:bottom w:val="nil"/>
              <w:right w:val="nil"/>
            </w:tcBorders>
            <w:shd w:val="clear" w:color="auto" w:fill="auto"/>
            <w:noWrap/>
            <w:vAlign w:val="center"/>
            <w:hideMark/>
          </w:tcPr>
          <w:p w14:paraId="5DFB7629"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nil"/>
              <w:left w:val="nil"/>
              <w:bottom w:val="nil"/>
              <w:right w:val="nil"/>
            </w:tcBorders>
            <w:shd w:val="clear" w:color="auto" w:fill="auto"/>
            <w:noWrap/>
            <w:vAlign w:val="center"/>
            <w:hideMark/>
          </w:tcPr>
          <w:p w14:paraId="12F0FB9B"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-$246,559</w:t>
            </w:r>
          </w:p>
        </w:tc>
        <w:tc>
          <w:tcPr>
            <w:tcW w:w="1320" w:type="dxa"/>
            <w:tcBorders>
              <w:top w:val="nil"/>
              <w:left w:val="single" w:sz="4" w:space="0" w:color="auto"/>
              <w:bottom w:val="nil"/>
              <w:right w:val="nil"/>
            </w:tcBorders>
            <w:shd w:val="clear" w:color="auto" w:fill="auto"/>
            <w:noWrap/>
            <w:vAlign w:val="center"/>
            <w:hideMark/>
          </w:tcPr>
          <w:p w14:paraId="41F134B0"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nil"/>
              <w:left w:val="nil"/>
              <w:bottom w:val="nil"/>
              <w:right w:val="nil"/>
            </w:tcBorders>
            <w:shd w:val="clear" w:color="auto" w:fill="auto"/>
            <w:noWrap/>
            <w:vAlign w:val="center"/>
            <w:hideMark/>
          </w:tcPr>
          <w:p w14:paraId="5D7F136F"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-$227,498</w:t>
            </w:r>
          </w:p>
        </w:tc>
      </w:tr>
      <w:tr w:rsidR="0016759B" w:rsidRPr="0018202C" w14:paraId="61438D64" w14:textId="77777777" w:rsidTr="00AB5BB0">
        <w:trPr>
          <w:trHeight w:val="70"/>
        </w:trPr>
        <w:tc>
          <w:tcPr>
            <w:tcW w:w="1694" w:type="dxa"/>
            <w:tcBorders>
              <w:top w:val="single" w:sz="4" w:space="0" w:color="auto"/>
              <w:left w:val="nil"/>
              <w:bottom w:val="single" w:sz="4" w:space="0" w:color="auto"/>
              <w:right w:val="nil"/>
            </w:tcBorders>
            <w:shd w:val="clear" w:color="000000" w:fill="E7E6E6"/>
            <w:vAlign w:val="center"/>
            <w:hideMark/>
          </w:tcPr>
          <w:p w14:paraId="4022C435"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Heavy &amp; Tractor-Trailer Truck Drivers</w:t>
            </w:r>
          </w:p>
        </w:tc>
        <w:tc>
          <w:tcPr>
            <w:tcW w:w="1114" w:type="dxa"/>
            <w:tcBorders>
              <w:top w:val="single" w:sz="4" w:space="0" w:color="auto"/>
              <w:left w:val="single" w:sz="4" w:space="0" w:color="auto"/>
              <w:bottom w:val="single" w:sz="4" w:space="0" w:color="auto"/>
              <w:right w:val="nil"/>
            </w:tcBorders>
            <w:shd w:val="clear" w:color="000000" w:fill="E7E6E6"/>
            <w:noWrap/>
            <w:vAlign w:val="center"/>
            <w:hideMark/>
          </w:tcPr>
          <w:p w14:paraId="10CE0C95"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single" w:sz="4" w:space="0" w:color="auto"/>
              <w:left w:val="nil"/>
              <w:bottom w:val="single" w:sz="4" w:space="0" w:color="auto"/>
              <w:right w:val="nil"/>
            </w:tcBorders>
            <w:shd w:val="clear" w:color="000000" w:fill="E7E6E6"/>
            <w:noWrap/>
            <w:vAlign w:val="center"/>
            <w:hideMark/>
          </w:tcPr>
          <w:p w14:paraId="4BC5761D"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-$147,761</w:t>
            </w:r>
          </w:p>
        </w:tc>
        <w:tc>
          <w:tcPr>
            <w:tcW w:w="1567" w:type="dxa"/>
            <w:tcBorders>
              <w:top w:val="single" w:sz="4" w:space="0" w:color="auto"/>
              <w:left w:val="single" w:sz="4" w:space="0" w:color="auto"/>
              <w:bottom w:val="single" w:sz="4" w:space="0" w:color="auto"/>
              <w:right w:val="nil"/>
            </w:tcBorders>
            <w:shd w:val="clear" w:color="000000" w:fill="E7E6E6"/>
            <w:noWrap/>
            <w:vAlign w:val="center"/>
            <w:hideMark/>
          </w:tcPr>
          <w:p w14:paraId="71510309"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single" w:sz="4" w:space="0" w:color="auto"/>
              <w:left w:val="nil"/>
              <w:bottom w:val="single" w:sz="4" w:space="0" w:color="auto"/>
              <w:right w:val="nil"/>
            </w:tcBorders>
            <w:shd w:val="clear" w:color="000000" w:fill="E7E6E6"/>
            <w:noWrap/>
            <w:vAlign w:val="center"/>
            <w:hideMark/>
          </w:tcPr>
          <w:p w14:paraId="4BEE5B91"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-$111,796</w:t>
            </w:r>
          </w:p>
        </w:tc>
        <w:tc>
          <w:tcPr>
            <w:tcW w:w="1320" w:type="dxa"/>
            <w:tcBorders>
              <w:top w:val="single" w:sz="4" w:space="0" w:color="auto"/>
              <w:left w:val="single" w:sz="4" w:space="0" w:color="auto"/>
              <w:bottom w:val="single" w:sz="4" w:space="0" w:color="auto"/>
              <w:right w:val="nil"/>
            </w:tcBorders>
            <w:shd w:val="clear" w:color="000000" w:fill="E7E6E6"/>
            <w:noWrap/>
            <w:vAlign w:val="center"/>
            <w:hideMark/>
          </w:tcPr>
          <w:p w14:paraId="123BA7B7"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single" w:sz="4" w:space="0" w:color="auto"/>
              <w:left w:val="nil"/>
              <w:bottom w:val="single" w:sz="4" w:space="0" w:color="auto"/>
              <w:right w:val="nil"/>
            </w:tcBorders>
            <w:shd w:val="clear" w:color="000000" w:fill="E7E6E6"/>
            <w:noWrap/>
            <w:vAlign w:val="center"/>
            <w:hideMark/>
          </w:tcPr>
          <w:p w14:paraId="159DC963"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-$59,934</w:t>
            </w:r>
          </w:p>
        </w:tc>
      </w:tr>
      <w:tr w:rsidR="0016759B" w:rsidRPr="0018202C" w14:paraId="2F9AACFD" w14:textId="77777777" w:rsidTr="00AB5BB0">
        <w:trPr>
          <w:trHeight w:val="70"/>
        </w:trPr>
        <w:tc>
          <w:tcPr>
            <w:tcW w:w="1694" w:type="dxa"/>
            <w:tcBorders>
              <w:top w:val="nil"/>
              <w:left w:val="nil"/>
              <w:bottom w:val="nil"/>
              <w:right w:val="nil"/>
            </w:tcBorders>
            <w:shd w:val="clear" w:color="auto" w:fill="auto"/>
            <w:vAlign w:val="center"/>
            <w:hideMark/>
          </w:tcPr>
          <w:p w14:paraId="77941888"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Home Health &amp; Personal Care Aides</w:t>
            </w:r>
          </w:p>
        </w:tc>
        <w:tc>
          <w:tcPr>
            <w:tcW w:w="1114" w:type="dxa"/>
            <w:tcBorders>
              <w:top w:val="nil"/>
              <w:left w:val="single" w:sz="4" w:space="0" w:color="auto"/>
              <w:bottom w:val="nil"/>
              <w:right w:val="nil"/>
            </w:tcBorders>
            <w:shd w:val="clear" w:color="auto" w:fill="auto"/>
            <w:noWrap/>
            <w:vAlign w:val="center"/>
            <w:hideMark/>
          </w:tcPr>
          <w:p w14:paraId="077E0622"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nil"/>
              <w:left w:val="nil"/>
              <w:bottom w:val="nil"/>
              <w:right w:val="nil"/>
            </w:tcBorders>
            <w:shd w:val="clear" w:color="auto" w:fill="auto"/>
            <w:noWrap/>
            <w:vAlign w:val="center"/>
            <w:hideMark/>
          </w:tcPr>
          <w:p w14:paraId="08BDE90C"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-$239,253</w:t>
            </w:r>
          </w:p>
        </w:tc>
        <w:tc>
          <w:tcPr>
            <w:tcW w:w="1567" w:type="dxa"/>
            <w:tcBorders>
              <w:top w:val="nil"/>
              <w:left w:val="single" w:sz="4" w:space="0" w:color="auto"/>
              <w:bottom w:val="nil"/>
              <w:right w:val="nil"/>
            </w:tcBorders>
            <w:shd w:val="clear" w:color="auto" w:fill="auto"/>
            <w:noWrap/>
            <w:vAlign w:val="center"/>
            <w:hideMark/>
          </w:tcPr>
          <w:p w14:paraId="78A228A7"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nil"/>
              <w:left w:val="nil"/>
              <w:bottom w:val="nil"/>
              <w:right w:val="nil"/>
            </w:tcBorders>
            <w:shd w:val="clear" w:color="auto" w:fill="auto"/>
            <w:noWrap/>
            <w:vAlign w:val="center"/>
            <w:hideMark/>
          </w:tcPr>
          <w:p w14:paraId="7FFE90D1"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-$222,687</w:t>
            </w:r>
          </w:p>
        </w:tc>
        <w:tc>
          <w:tcPr>
            <w:tcW w:w="1320" w:type="dxa"/>
            <w:tcBorders>
              <w:top w:val="nil"/>
              <w:left w:val="single" w:sz="4" w:space="0" w:color="auto"/>
              <w:bottom w:val="nil"/>
              <w:right w:val="nil"/>
            </w:tcBorders>
            <w:shd w:val="clear" w:color="auto" w:fill="auto"/>
            <w:noWrap/>
            <w:vAlign w:val="center"/>
            <w:hideMark/>
          </w:tcPr>
          <w:p w14:paraId="64068F65"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nil"/>
              <w:left w:val="nil"/>
              <w:bottom w:val="nil"/>
              <w:right w:val="nil"/>
            </w:tcBorders>
            <w:shd w:val="clear" w:color="auto" w:fill="auto"/>
            <w:noWrap/>
            <w:vAlign w:val="center"/>
            <w:hideMark/>
          </w:tcPr>
          <w:p w14:paraId="6AB7FE10"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-$200,118</w:t>
            </w:r>
          </w:p>
        </w:tc>
      </w:tr>
      <w:tr w:rsidR="0016759B" w:rsidRPr="0018202C" w14:paraId="6C30D5AE" w14:textId="77777777" w:rsidTr="00AB5BB0">
        <w:trPr>
          <w:trHeight w:val="195"/>
        </w:trPr>
        <w:tc>
          <w:tcPr>
            <w:tcW w:w="1694" w:type="dxa"/>
            <w:tcBorders>
              <w:top w:val="single" w:sz="4" w:space="0" w:color="auto"/>
              <w:left w:val="nil"/>
              <w:bottom w:val="single" w:sz="4" w:space="0" w:color="auto"/>
              <w:right w:val="nil"/>
            </w:tcBorders>
            <w:shd w:val="clear" w:color="000000" w:fill="E7E6E6"/>
            <w:vAlign w:val="center"/>
            <w:hideMark/>
          </w:tcPr>
          <w:p w14:paraId="5BEB4571"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Janitors &amp; Cleaners, Except Maids &amp; Housekeeping Cleaners</w:t>
            </w:r>
          </w:p>
        </w:tc>
        <w:tc>
          <w:tcPr>
            <w:tcW w:w="1114" w:type="dxa"/>
            <w:tcBorders>
              <w:top w:val="single" w:sz="4" w:space="0" w:color="auto"/>
              <w:left w:val="single" w:sz="4" w:space="0" w:color="auto"/>
              <w:bottom w:val="single" w:sz="4" w:space="0" w:color="auto"/>
              <w:right w:val="nil"/>
            </w:tcBorders>
            <w:shd w:val="clear" w:color="000000" w:fill="E7E6E6"/>
            <w:noWrap/>
            <w:vAlign w:val="center"/>
            <w:hideMark/>
          </w:tcPr>
          <w:p w14:paraId="6BD3F097"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single" w:sz="4" w:space="0" w:color="auto"/>
              <w:left w:val="nil"/>
              <w:bottom w:val="single" w:sz="4" w:space="0" w:color="auto"/>
              <w:right w:val="nil"/>
            </w:tcBorders>
            <w:shd w:val="clear" w:color="000000" w:fill="E7E6E6"/>
            <w:noWrap/>
            <w:vAlign w:val="center"/>
            <w:hideMark/>
          </w:tcPr>
          <w:p w14:paraId="3CC1CA51"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-$245,641</w:t>
            </w:r>
          </w:p>
        </w:tc>
        <w:tc>
          <w:tcPr>
            <w:tcW w:w="1567" w:type="dxa"/>
            <w:tcBorders>
              <w:top w:val="single" w:sz="4" w:space="0" w:color="auto"/>
              <w:left w:val="single" w:sz="4" w:space="0" w:color="auto"/>
              <w:bottom w:val="single" w:sz="4" w:space="0" w:color="auto"/>
              <w:right w:val="nil"/>
            </w:tcBorders>
            <w:shd w:val="clear" w:color="000000" w:fill="E7E6E6"/>
            <w:noWrap/>
            <w:vAlign w:val="center"/>
            <w:hideMark/>
          </w:tcPr>
          <w:p w14:paraId="717B49D5"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single" w:sz="4" w:space="0" w:color="auto"/>
              <w:left w:val="nil"/>
              <w:bottom w:val="single" w:sz="4" w:space="0" w:color="auto"/>
              <w:right w:val="nil"/>
            </w:tcBorders>
            <w:shd w:val="clear" w:color="000000" w:fill="E7E6E6"/>
            <w:noWrap/>
            <w:vAlign w:val="center"/>
            <w:hideMark/>
          </w:tcPr>
          <w:p w14:paraId="21CC6A5D"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-$215,050</w:t>
            </w:r>
          </w:p>
        </w:tc>
        <w:tc>
          <w:tcPr>
            <w:tcW w:w="1320" w:type="dxa"/>
            <w:tcBorders>
              <w:top w:val="single" w:sz="4" w:space="0" w:color="auto"/>
              <w:left w:val="single" w:sz="4" w:space="0" w:color="auto"/>
              <w:bottom w:val="single" w:sz="4" w:space="0" w:color="auto"/>
              <w:right w:val="nil"/>
            </w:tcBorders>
            <w:shd w:val="clear" w:color="000000" w:fill="E7E6E6"/>
            <w:noWrap/>
            <w:vAlign w:val="center"/>
            <w:hideMark/>
          </w:tcPr>
          <w:p w14:paraId="3A194089"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single" w:sz="4" w:space="0" w:color="auto"/>
              <w:left w:val="nil"/>
              <w:bottom w:val="single" w:sz="4" w:space="0" w:color="auto"/>
              <w:right w:val="nil"/>
            </w:tcBorders>
            <w:shd w:val="clear" w:color="000000" w:fill="E7E6E6"/>
            <w:noWrap/>
            <w:vAlign w:val="center"/>
            <w:hideMark/>
          </w:tcPr>
          <w:p w14:paraId="75CD9DEF"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-$176,005</w:t>
            </w:r>
          </w:p>
        </w:tc>
      </w:tr>
      <w:tr w:rsidR="0016759B" w:rsidRPr="0018202C" w14:paraId="73CE06E9" w14:textId="77777777" w:rsidTr="00AB5BB0">
        <w:trPr>
          <w:trHeight w:val="70"/>
        </w:trPr>
        <w:tc>
          <w:tcPr>
            <w:tcW w:w="1694" w:type="dxa"/>
            <w:tcBorders>
              <w:top w:val="nil"/>
              <w:left w:val="nil"/>
              <w:bottom w:val="nil"/>
              <w:right w:val="nil"/>
            </w:tcBorders>
            <w:shd w:val="clear" w:color="auto" w:fill="auto"/>
            <w:vAlign w:val="center"/>
            <w:hideMark/>
          </w:tcPr>
          <w:p w14:paraId="288257CB"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Office Clerks, General</w:t>
            </w:r>
          </w:p>
        </w:tc>
        <w:tc>
          <w:tcPr>
            <w:tcW w:w="1114" w:type="dxa"/>
            <w:tcBorders>
              <w:top w:val="nil"/>
              <w:left w:val="single" w:sz="4" w:space="0" w:color="auto"/>
              <w:bottom w:val="nil"/>
              <w:right w:val="nil"/>
            </w:tcBorders>
            <w:shd w:val="clear" w:color="auto" w:fill="auto"/>
            <w:noWrap/>
            <w:vAlign w:val="center"/>
            <w:hideMark/>
          </w:tcPr>
          <w:p w14:paraId="2B6EC9A9"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nil"/>
              <w:left w:val="nil"/>
              <w:bottom w:val="nil"/>
              <w:right w:val="nil"/>
            </w:tcBorders>
            <w:shd w:val="clear" w:color="auto" w:fill="auto"/>
            <w:noWrap/>
            <w:vAlign w:val="center"/>
            <w:hideMark/>
          </w:tcPr>
          <w:p w14:paraId="543B13BD"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-$215,968</w:t>
            </w:r>
          </w:p>
        </w:tc>
        <w:tc>
          <w:tcPr>
            <w:tcW w:w="1567" w:type="dxa"/>
            <w:tcBorders>
              <w:top w:val="nil"/>
              <w:left w:val="single" w:sz="4" w:space="0" w:color="auto"/>
              <w:bottom w:val="nil"/>
              <w:right w:val="nil"/>
            </w:tcBorders>
            <w:shd w:val="clear" w:color="auto" w:fill="auto"/>
            <w:noWrap/>
            <w:vAlign w:val="center"/>
            <w:hideMark/>
          </w:tcPr>
          <w:p w14:paraId="79710E1A"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nil"/>
              <w:left w:val="nil"/>
              <w:bottom w:val="nil"/>
              <w:right w:val="nil"/>
            </w:tcBorders>
            <w:shd w:val="clear" w:color="auto" w:fill="auto"/>
            <w:noWrap/>
            <w:vAlign w:val="center"/>
            <w:hideMark/>
          </w:tcPr>
          <w:p w14:paraId="0136F07D"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-$163,446</w:t>
            </w:r>
          </w:p>
        </w:tc>
        <w:tc>
          <w:tcPr>
            <w:tcW w:w="1320" w:type="dxa"/>
            <w:tcBorders>
              <w:top w:val="nil"/>
              <w:left w:val="single" w:sz="4" w:space="0" w:color="auto"/>
              <w:bottom w:val="nil"/>
              <w:right w:val="nil"/>
            </w:tcBorders>
            <w:shd w:val="clear" w:color="auto" w:fill="auto"/>
            <w:noWrap/>
            <w:vAlign w:val="center"/>
            <w:hideMark/>
          </w:tcPr>
          <w:p w14:paraId="33B49466"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nil"/>
              <w:left w:val="nil"/>
              <w:bottom w:val="nil"/>
              <w:right w:val="nil"/>
            </w:tcBorders>
            <w:shd w:val="clear" w:color="auto" w:fill="auto"/>
            <w:noWrap/>
            <w:vAlign w:val="center"/>
            <w:hideMark/>
          </w:tcPr>
          <w:p w14:paraId="31ADCE3F"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-$106,862</w:t>
            </w:r>
          </w:p>
        </w:tc>
      </w:tr>
      <w:tr w:rsidR="0016759B" w:rsidRPr="0018202C" w14:paraId="097B6C21" w14:textId="77777777" w:rsidTr="00AB5BB0">
        <w:trPr>
          <w:trHeight w:val="99"/>
        </w:trPr>
        <w:tc>
          <w:tcPr>
            <w:tcW w:w="1694" w:type="dxa"/>
            <w:tcBorders>
              <w:top w:val="single" w:sz="4" w:space="0" w:color="auto"/>
              <w:left w:val="nil"/>
              <w:bottom w:val="single" w:sz="4" w:space="0" w:color="auto"/>
              <w:right w:val="nil"/>
            </w:tcBorders>
            <w:shd w:val="clear" w:color="000000" w:fill="E7E6E6"/>
            <w:vAlign w:val="center"/>
            <w:hideMark/>
          </w:tcPr>
          <w:p w14:paraId="41EC0DCC"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Police &amp; Sheriff's Patrol Officers</w:t>
            </w:r>
          </w:p>
        </w:tc>
        <w:tc>
          <w:tcPr>
            <w:tcW w:w="1114" w:type="dxa"/>
            <w:tcBorders>
              <w:top w:val="single" w:sz="4" w:space="0" w:color="auto"/>
              <w:left w:val="single" w:sz="4" w:space="0" w:color="auto"/>
              <w:bottom w:val="single" w:sz="4" w:space="0" w:color="auto"/>
              <w:right w:val="nil"/>
            </w:tcBorders>
            <w:shd w:val="clear" w:color="000000" w:fill="E7E6E6"/>
            <w:noWrap/>
            <w:vAlign w:val="center"/>
            <w:hideMark/>
          </w:tcPr>
          <w:p w14:paraId="17DA119F"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single" w:sz="4" w:space="0" w:color="auto"/>
              <w:left w:val="nil"/>
              <w:bottom w:val="single" w:sz="4" w:space="0" w:color="auto"/>
              <w:right w:val="nil"/>
            </w:tcBorders>
            <w:shd w:val="clear" w:color="000000" w:fill="E7E6E6"/>
            <w:noWrap/>
            <w:vAlign w:val="center"/>
            <w:hideMark/>
          </w:tcPr>
          <w:p w14:paraId="23E2B151"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-$93,979</w:t>
            </w:r>
          </w:p>
        </w:tc>
        <w:tc>
          <w:tcPr>
            <w:tcW w:w="1567" w:type="dxa"/>
            <w:tcBorders>
              <w:top w:val="single" w:sz="4" w:space="0" w:color="auto"/>
              <w:left w:val="single" w:sz="4" w:space="0" w:color="auto"/>
              <w:bottom w:val="single" w:sz="4" w:space="0" w:color="auto"/>
              <w:right w:val="nil"/>
            </w:tcBorders>
            <w:shd w:val="clear" w:color="000000" w:fill="E7E6E6"/>
            <w:noWrap/>
            <w:vAlign w:val="center"/>
            <w:hideMark/>
          </w:tcPr>
          <w:p w14:paraId="4AB93EE0"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single" w:sz="4" w:space="0" w:color="auto"/>
              <w:left w:val="nil"/>
              <w:bottom w:val="single" w:sz="4" w:space="0" w:color="auto"/>
              <w:right w:val="nil"/>
            </w:tcBorders>
            <w:shd w:val="clear" w:color="000000" w:fill="E7E6E6"/>
            <w:noWrap/>
            <w:vAlign w:val="center"/>
            <w:hideMark/>
          </w:tcPr>
          <w:p w14:paraId="3FADF808"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-$39,413</w:t>
            </w:r>
          </w:p>
        </w:tc>
        <w:tc>
          <w:tcPr>
            <w:tcW w:w="1320" w:type="dxa"/>
            <w:tcBorders>
              <w:top w:val="single" w:sz="4" w:space="0" w:color="auto"/>
              <w:left w:val="single" w:sz="4" w:space="0" w:color="auto"/>
              <w:bottom w:val="single" w:sz="4" w:space="0" w:color="auto"/>
              <w:right w:val="nil"/>
            </w:tcBorders>
            <w:shd w:val="clear" w:color="000000" w:fill="E7E6E6"/>
            <w:noWrap/>
            <w:vAlign w:val="center"/>
            <w:hideMark/>
          </w:tcPr>
          <w:p w14:paraId="101130E3"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Yes</w:t>
            </w:r>
          </w:p>
        </w:tc>
        <w:tc>
          <w:tcPr>
            <w:tcW w:w="1678" w:type="dxa"/>
            <w:tcBorders>
              <w:top w:val="single" w:sz="4" w:space="0" w:color="auto"/>
              <w:left w:val="nil"/>
              <w:bottom w:val="single" w:sz="4" w:space="0" w:color="auto"/>
              <w:right w:val="nil"/>
            </w:tcBorders>
            <w:shd w:val="clear" w:color="000000" w:fill="E7E6E6"/>
            <w:noWrap/>
            <w:vAlign w:val="center"/>
            <w:hideMark/>
          </w:tcPr>
          <w:p w14:paraId="7E8D301B"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$12,258</w:t>
            </w:r>
          </w:p>
        </w:tc>
      </w:tr>
      <w:tr w:rsidR="0016759B" w:rsidRPr="0018202C" w14:paraId="2D8869D6" w14:textId="77777777" w:rsidTr="00AB5BB0">
        <w:trPr>
          <w:trHeight w:val="157"/>
        </w:trPr>
        <w:tc>
          <w:tcPr>
            <w:tcW w:w="1694" w:type="dxa"/>
            <w:tcBorders>
              <w:top w:val="nil"/>
              <w:left w:val="nil"/>
              <w:bottom w:val="nil"/>
              <w:right w:val="nil"/>
            </w:tcBorders>
            <w:shd w:val="clear" w:color="auto" w:fill="auto"/>
            <w:vAlign w:val="center"/>
            <w:hideMark/>
          </w:tcPr>
          <w:p w14:paraId="5EEFEC41"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Registered Nurses</w:t>
            </w:r>
          </w:p>
        </w:tc>
        <w:tc>
          <w:tcPr>
            <w:tcW w:w="1114" w:type="dxa"/>
            <w:tcBorders>
              <w:top w:val="nil"/>
              <w:left w:val="single" w:sz="4" w:space="0" w:color="auto"/>
              <w:bottom w:val="nil"/>
              <w:right w:val="nil"/>
            </w:tcBorders>
            <w:shd w:val="clear" w:color="auto" w:fill="auto"/>
            <w:noWrap/>
            <w:vAlign w:val="center"/>
            <w:hideMark/>
          </w:tcPr>
          <w:p w14:paraId="35475148"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nil"/>
              <w:left w:val="nil"/>
              <w:bottom w:val="nil"/>
              <w:right w:val="nil"/>
            </w:tcBorders>
            <w:shd w:val="clear" w:color="auto" w:fill="auto"/>
            <w:noWrap/>
            <w:vAlign w:val="center"/>
            <w:hideMark/>
          </w:tcPr>
          <w:p w14:paraId="0C05FE91"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-$51,942</w:t>
            </w:r>
          </w:p>
        </w:tc>
        <w:tc>
          <w:tcPr>
            <w:tcW w:w="1567" w:type="dxa"/>
            <w:tcBorders>
              <w:top w:val="nil"/>
              <w:left w:val="single" w:sz="4" w:space="0" w:color="auto"/>
              <w:bottom w:val="nil"/>
              <w:right w:val="nil"/>
            </w:tcBorders>
            <w:shd w:val="clear" w:color="auto" w:fill="auto"/>
            <w:noWrap/>
            <w:vAlign w:val="center"/>
            <w:hideMark/>
          </w:tcPr>
          <w:p w14:paraId="5D03B81F" w14:textId="6025A599" w:rsidR="0016759B" w:rsidRPr="0018202C" w:rsidRDefault="00FE7482" w:rsidP="00743E3F">
            <w:pPr>
              <w:spacing w:after="0" w:line="240" w:lineRule="auto"/>
              <w:jc w:val="center"/>
              <w:rPr>
                <w:rFonts w:ascii="Tw Cen MT" w:eastAsia="Times New Roman" w:hAnsi="Tw Cen MT" w:cs="Calibri"/>
                <w:color w:val="C00000"/>
              </w:rPr>
            </w:pPr>
            <w:r w:rsidRPr="00FE7482">
              <w:rPr>
                <w:rFonts w:ascii="Tw Cen MT" w:eastAsia="Times New Roman" w:hAnsi="Tw Cen MT" w:cs="Calibri"/>
              </w:rPr>
              <w:t>Yes</w:t>
            </w:r>
          </w:p>
        </w:tc>
        <w:tc>
          <w:tcPr>
            <w:tcW w:w="1385" w:type="dxa"/>
            <w:tcBorders>
              <w:top w:val="nil"/>
              <w:left w:val="nil"/>
              <w:bottom w:val="nil"/>
              <w:right w:val="nil"/>
            </w:tcBorders>
            <w:shd w:val="clear" w:color="auto" w:fill="auto"/>
            <w:noWrap/>
            <w:vAlign w:val="center"/>
            <w:hideMark/>
          </w:tcPr>
          <w:p w14:paraId="72BB66FC"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$45,048</w:t>
            </w:r>
          </w:p>
        </w:tc>
        <w:tc>
          <w:tcPr>
            <w:tcW w:w="1320" w:type="dxa"/>
            <w:tcBorders>
              <w:top w:val="nil"/>
              <w:left w:val="single" w:sz="4" w:space="0" w:color="auto"/>
              <w:bottom w:val="nil"/>
              <w:right w:val="nil"/>
            </w:tcBorders>
            <w:shd w:val="clear" w:color="auto" w:fill="auto"/>
            <w:noWrap/>
            <w:vAlign w:val="center"/>
            <w:hideMark/>
          </w:tcPr>
          <w:p w14:paraId="1A6AB6B4"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Yes</w:t>
            </w:r>
          </w:p>
        </w:tc>
        <w:tc>
          <w:tcPr>
            <w:tcW w:w="1678" w:type="dxa"/>
            <w:tcBorders>
              <w:top w:val="nil"/>
              <w:left w:val="nil"/>
              <w:bottom w:val="nil"/>
              <w:right w:val="nil"/>
            </w:tcBorders>
            <w:shd w:val="clear" w:color="auto" w:fill="auto"/>
            <w:noWrap/>
            <w:vAlign w:val="center"/>
            <w:hideMark/>
          </w:tcPr>
          <w:p w14:paraId="0AEFD343"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$105,218</w:t>
            </w:r>
          </w:p>
        </w:tc>
      </w:tr>
      <w:tr w:rsidR="0016759B" w:rsidRPr="0018202C" w14:paraId="687C7FB0" w14:textId="77777777" w:rsidTr="00AB5BB0">
        <w:trPr>
          <w:trHeight w:val="70"/>
        </w:trPr>
        <w:tc>
          <w:tcPr>
            <w:tcW w:w="1694" w:type="dxa"/>
            <w:tcBorders>
              <w:top w:val="single" w:sz="4" w:space="0" w:color="auto"/>
              <w:left w:val="nil"/>
              <w:bottom w:val="single" w:sz="4" w:space="0" w:color="auto"/>
              <w:right w:val="nil"/>
            </w:tcBorders>
            <w:shd w:val="clear" w:color="000000" w:fill="E7E6E6"/>
            <w:vAlign w:val="center"/>
            <w:hideMark/>
          </w:tcPr>
          <w:p w14:paraId="65510EEE"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Retail Salespersons</w:t>
            </w:r>
          </w:p>
        </w:tc>
        <w:tc>
          <w:tcPr>
            <w:tcW w:w="1114" w:type="dxa"/>
            <w:tcBorders>
              <w:top w:val="single" w:sz="4" w:space="0" w:color="auto"/>
              <w:left w:val="single" w:sz="4" w:space="0" w:color="auto"/>
              <w:bottom w:val="single" w:sz="4" w:space="0" w:color="auto"/>
              <w:right w:val="nil"/>
            </w:tcBorders>
            <w:shd w:val="clear" w:color="000000" w:fill="E7E6E6"/>
            <w:noWrap/>
            <w:vAlign w:val="center"/>
            <w:hideMark/>
          </w:tcPr>
          <w:p w14:paraId="71B6B8A5"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single" w:sz="4" w:space="0" w:color="auto"/>
              <w:left w:val="nil"/>
              <w:bottom w:val="single" w:sz="4" w:space="0" w:color="auto"/>
              <w:right w:val="nil"/>
            </w:tcBorders>
            <w:shd w:val="clear" w:color="000000" w:fill="E7E6E6"/>
            <w:noWrap/>
            <w:vAlign w:val="center"/>
            <w:hideMark/>
          </w:tcPr>
          <w:p w14:paraId="09D67945"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-$261,302</w:t>
            </w:r>
          </w:p>
        </w:tc>
        <w:tc>
          <w:tcPr>
            <w:tcW w:w="1567" w:type="dxa"/>
            <w:tcBorders>
              <w:top w:val="single" w:sz="4" w:space="0" w:color="auto"/>
              <w:left w:val="single" w:sz="4" w:space="0" w:color="auto"/>
              <w:bottom w:val="single" w:sz="4" w:space="0" w:color="auto"/>
              <w:right w:val="nil"/>
            </w:tcBorders>
            <w:shd w:val="clear" w:color="000000" w:fill="E7E6E6"/>
            <w:noWrap/>
            <w:vAlign w:val="center"/>
            <w:hideMark/>
          </w:tcPr>
          <w:p w14:paraId="03F71221"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single" w:sz="4" w:space="0" w:color="auto"/>
              <w:left w:val="nil"/>
              <w:bottom w:val="single" w:sz="4" w:space="0" w:color="auto"/>
              <w:right w:val="nil"/>
            </w:tcBorders>
            <w:shd w:val="clear" w:color="000000" w:fill="E7E6E6"/>
            <w:noWrap/>
            <w:vAlign w:val="center"/>
            <w:hideMark/>
          </w:tcPr>
          <w:p w14:paraId="387F2919"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-$222,580</w:t>
            </w:r>
          </w:p>
        </w:tc>
        <w:tc>
          <w:tcPr>
            <w:tcW w:w="1320" w:type="dxa"/>
            <w:tcBorders>
              <w:top w:val="single" w:sz="4" w:space="0" w:color="auto"/>
              <w:left w:val="single" w:sz="4" w:space="0" w:color="auto"/>
              <w:bottom w:val="single" w:sz="4" w:space="0" w:color="auto"/>
              <w:right w:val="nil"/>
            </w:tcBorders>
            <w:shd w:val="clear" w:color="000000" w:fill="E7E6E6"/>
            <w:noWrap/>
            <w:vAlign w:val="center"/>
            <w:hideMark/>
          </w:tcPr>
          <w:p w14:paraId="015864E6"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single" w:sz="4" w:space="0" w:color="auto"/>
              <w:left w:val="nil"/>
              <w:bottom w:val="single" w:sz="4" w:space="0" w:color="auto"/>
              <w:right w:val="nil"/>
            </w:tcBorders>
            <w:shd w:val="clear" w:color="000000" w:fill="E7E6E6"/>
            <w:noWrap/>
            <w:vAlign w:val="center"/>
            <w:hideMark/>
          </w:tcPr>
          <w:p w14:paraId="3723839A"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-$170,870</w:t>
            </w:r>
          </w:p>
        </w:tc>
      </w:tr>
      <w:tr w:rsidR="0016759B" w:rsidRPr="0018202C" w14:paraId="18F62DD2" w14:textId="77777777" w:rsidTr="00AB5BB0">
        <w:trPr>
          <w:trHeight w:val="70"/>
        </w:trPr>
        <w:tc>
          <w:tcPr>
            <w:tcW w:w="1694" w:type="dxa"/>
            <w:tcBorders>
              <w:top w:val="nil"/>
              <w:left w:val="nil"/>
              <w:bottom w:val="nil"/>
              <w:right w:val="nil"/>
            </w:tcBorders>
            <w:shd w:val="clear" w:color="auto" w:fill="auto"/>
            <w:vAlign w:val="center"/>
            <w:hideMark/>
          </w:tcPr>
          <w:p w14:paraId="0B3B78F4" w14:textId="77777777" w:rsidR="0016759B" w:rsidRPr="0018202C" w:rsidRDefault="0016759B" w:rsidP="00743E3F">
            <w:pPr>
              <w:spacing w:after="0" w:line="240" w:lineRule="auto"/>
              <w:jc w:val="center"/>
              <w:rPr>
                <w:rFonts w:ascii="Tw Cen MT" w:eastAsia="Times New Roman" w:hAnsi="Tw Cen MT" w:cs="Calibri"/>
              </w:rPr>
            </w:pPr>
            <w:r w:rsidRPr="0018202C">
              <w:rPr>
                <w:rFonts w:ascii="Tw Cen MT" w:eastAsia="Times New Roman" w:hAnsi="Tw Cen MT" w:cs="Calibri"/>
              </w:rPr>
              <w:t>Waiters &amp; Waitresses</w:t>
            </w:r>
          </w:p>
        </w:tc>
        <w:tc>
          <w:tcPr>
            <w:tcW w:w="1114" w:type="dxa"/>
            <w:tcBorders>
              <w:top w:val="nil"/>
              <w:left w:val="single" w:sz="4" w:space="0" w:color="auto"/>
              <w:bottom w:val="nil"/>
              <w:right w:val="nil"/>
            </w:tcBorders>
            <w:shd w:val="clear" w:color="auto" w:fill="auto"/>
            <w:noWrap/>
            <w:vAlign w:val="center"/>
            <w:hideMark/>
          </w:tcPr>
          <w:p w14:paraId="039BDF58"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49" w:type="dxa"/>
            <w:tcBorders>
              <w:top w:val="nil"/>
              <w:left w:val="nil"/>
              <w:bottom w:val="nil"/>
              <w:right w:val="nil"/>
            </w:tcBorders>
            <w:shd w:val="clear" w:color="auto" w:fill="auto"/>
            <w:noWrap/>
            <w:vAlign w:val="center"/>
            <w:hideMark/>
          </w:tcPr>
          <w:p w14:paraId="0DD3D703"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-$285,411</w:t>
            </w:r>
          </w:p>
        </w:tc>
        <w:tc>
          <w:tcPr>
            <w:tcW w:w="1567" w:type="dxa"/>
            <w:tcBorders>
              <w:top w:val="nil"/>
              <w:left w:val="single" w:sz="4" w:space="0" w:color="auto"/>
              <w:bottom w:val="nil"/>
              <w:right w:val="nil"/>
            </w:tcBorders>
            <w:shd w:val="clear" w:color="auto" w:fill="auto"/>
            <w:noWrap/>
            <w:vAlign w:val="center"/>
            <w:hideMark/>
          </w:tcPr>
          <w:p w14:paraId="12EC4FBB"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385" w:type="dxa"/>
            <w:tcBorders>
              <w:top w:val="nil"/>
              <w:left w:val="nil"/>
              <w:bottom w:val="nil"/>
              <w:right w:val="nil"/>
            </w:tcBorders>
            <w:shd w:val="clear" w:color="auto" w:fill="auto"/>
            <w:noWrap/>
            <w:vAlign w:val="center"/>
            <w:hideMark/>
          </w:tcPr>
          <w:p w14:paraId="0EBB70E9"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-$244,590</w:t>
            </w:r>
          </w:p>
        </w:tc>
        <w:tc>
          <w:tcPr>
            <w:tcW w:w="1320" w:type="dxa"/>
            <w:tcBorders>
              <w:top w:val="nil"/>
              <w:left w:val="single" w:sz="4" w:space="0" w:color="auto"/>
              <w:bottom w:val="nil"/>
              <w:right w:val="nil"/>
            </w:tcBorders>
            <w:shd w:val="clear" w:color="auto" w:fill="auto"/>
            <w:noWrap/>
            <w:vAlign w:val="center"/>
            <w:hideMark/>
          </w:tcPr>
          <w:p w14:paraId="47E7420F"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No</w:t>
            </w:r>
          </w:p>
        </w:tc>
        <w:tc>
          <w:tcPr>
            <w:tcW w:w="1678" w:type="dxa"/>
            <w:tcBorders>
              <w:top w:val="nil"/>
              <w:left w:val="nil"/>
              <w:bottom w:val="nil"/>
              <w:right w:val="nil"/>
            </w:tcBorders>
            <w:shd w:val="clear" w:color="auto" w:fill="auto"/>
            <w:noWrap/>
            <w:vAlign w:val="center"/>
            <w:hideMark/>
          </w:tcPr>
          <w:p w14:paraId="0DDE01C2" w14:textId="77777777" w:rsidR="0016759B" w:rsidRPr="0018202C" w:rsidRDefault="0016759B" w:rsidP="00743E3F">
            <w:pPr>
              <w:spacing w:after="0" w:line="240" w:lineRule="auto"/>
              <w:jc w:val="center"/>
              <w:rPr>
                <w:rFonts w:ascii="Tw Cen MT" w:eastAsia="Times New Roman" w:hAnsi="Tw Cen MT" w:cs="Calibri"/>
                <w:color w:val="C00000"/>
              </w:rPr>
            </w:pPr>
            <w:r w:rsidRPr="0018202C">
              <w:rPr>
                <w:rFonts w:ascii="Tw Cen MT" w:eastAsia="Times New Roman" w:hAnsi="Tw Cen MT" w:cs="Calibri"/>
                <w:color w:val="C00000"/>
              </w:rPr>
              <w:t>-$169,404</w:t>
            </w:r>
          </w:p>
        </w:tc>
      </w:tr>
      <w:tr w:rsidR="0016759B" w:rsidRPr="0018202C" w14:paraId="74D21C98" w14:textId="77777777" w:rsidTr="00AB5BB0">
        <w:trPr>
          <w:trHeight w:val="303"/>
        </w:trPr>
        <w:tc>
          <w:tcPr>
            <w:tcW w:w="10107" w:type="dxa"/>
            <w:gridSpan w:val="7"/>
            <w:tcBorders>
              <w:top w:val="nil"/>
              <w:left w:val="nil"/>
              <w:bottom w:val="nil"/>
              <w:right w:val="nil"/>
            </w:tcBorders>
            <w:shd w:val="clear" w:color="auto" w:fill="auto"/>
            <w:noWrap/>
            <w:vAlign w:val="center"/>
            <w:hideMark/>
          </w:tcPr>
          <w:p w14:paraId="37488990" w14:textId="77777777" w:rsidR="0016759B" w:rsidRPr="0018202C" w:rsidRDefault="0016759B" w:rsidP="00743E3F">
            <w:pPr>
              <w:spacing w:after="0" w:line="240" w:lineRule="auto"/>
              <w:jc w:val="right"/>
              <w:rPr>
                <w:rFonts w:ascii="Tw Cen MT" w:eastAsia="Times New Roman" w:hAnsi="Tw Cen MT" w:cs="Calibri"/>
                <w:color w:val="000000"/>
                <w:sz w:val="20"/>
                <w:szCs w:val="20"/>
              </w:rPr>
            </w:pPr>
            <w:r w:rsidRPr="0018202C">
              <w:rPr>
                <w:rFonts w:ascii="Tw Cen MT" w:eastAsia="Times New Roman" w:hAnsi="Tw Cen MT" w:cs="Calibri"/>
                <w:color w:val="000000"/>
                <w:sz w:val="20"/>
                <w:szCs w:val="20"/>
              </w:rPr>
              <w:t>Source: Root Policy Research</w:t>
            </w:r>
          </w:p>
        </w:tc>
      </w:tr>
    </w:tbl>
    <w:p w14:paraId="31EEA2AD" w14:textId="722AB632" w:rsidR="005D5A64" w:rsidRPr="00AB5BB0" w:rsidRDefault="00AB5BB0" w:rsidP="00AB5BB0">
      <w:pPr>
        <w:spacing w:line="240" w:lineRule="auto"/>
        <w:rPr>
          <w:i/>
          <w:iCs/>
        </w:rPr>
      </w:pPr>
      <w:r w:rsidRPr="00AB5BB0">
        <w:rPr>
          <w:i/>
          <w:iCs/>
        </w:rPr>
        <w:lastRenderedPageBreak/>
        <w:t>Review of Variables: Based on reported wages, median house price, one and a half wage earners, 30% down payment, 5.5 % interest rate, 40% household income to taxes, utilities etc., to be affordable 30 % or less is dedicated towards rent.</w:t>
      </w:r>
    </w:p>
    <w:p w14:paraId="41DCD9D7" w14:textId="7E09E554" w:rsidR="007B59ED" w:rsidRPr="004C1469" w:rsidRDefault="007B59ED" w:rsidP="00206C45">
      <w:pPr>
        <w:spacing w:line="300" w:lineRule="auto"/>
        <w:rPr>
          <w:rFonts w:eastAsia="Tw Cen MT" w:cs="Tw Cen MT"/>
        </w:rPr>
      </w:pPr>
      <w:r w:rsidRPr="004C1469">
        <w:t xml:space="preserve">Market conditions of 2020-2021 created an incentive for homeownership.  </w:t>
      </w:r>
      <w:proofErr w:type="gramStart"/>
      <w:r w:rsidRPr="004C1469">
        <w:t>In the midst of</w:t>
      </w:r>
      <w:proofErr w:type="gramEnd"/>
      <w:r w:rsidRPr="004C1469">
        <w:t xml:space="preserve"> the COVID-19 Pandemic, New Hampshire renters, homeowners, and homebuyers were largely in a secure position. Record</w:t>
      </w:r>
      <w:r w:rsidR="009C6FCD" w:rsidRPr="004C1469">
        <w:t>-</w:t>
      </w:r>
      <w:r w:rsidRPr="004C1469">
        <w:t xml:space="preserve">low interest rates provided purchasing and refinancing opportunities for homebuyers. A </w:t>
      </w:r>
      <w:r w:rsidRPr="004C1469">
        <w:rPr>
          <w:rFonts w:eastAsia="Tw Cen MT" w:cs="Tw Cen MT"/>
        </w:rPr>
        <w:t xml:space="preserve">state and federal eviction and foreclosure moratoria allowed renters and homeowners to stay in their homes despite potential income or work-hour loss from the COVID-19 Pandemic. Despite these opportunities, an extremely low inventory of houses and continued high demand have pushed the median home sales price to record highs. (Cite Oct 2020, June ‘22 NHHFA report) </w:t>
      </w:r>
    </w:p>
    <w:p w14:paraId="30DF1FD7" w14:textId="3788DA0B" w:rsidR="007B59ED" w:rsidRPr="004C1469" w:rsidRDefault="007B59ED" w:rsidP="00206C45">
      <w:pPr>
        <w:spacing w:line="300" w:lineRule="auto"/>
        <w:rPr>
          <w:rFonts w:eastAsia="Tw Cen MT" w:cs="Tw Cen MT"/>
        </w:rPr>
      </w:pPr>
      <w:r w:rsidRPr="004C1469">
        <w:rPr>
          <w:rFonts w:eastAsia="Tw Cen MT" w:cs="Tw Cen MT"/>
        </w:rPr>
        <w:t>According to the NH Business Review</w:t>
      </w:r>
      <w:r w:rsidR="007001F6" w:rsidRPr="004C1469">
        <w:rPr>
          <w:rStyle w:val="FootnoteReference"/>
          <w:rFonts w:eastAsia="Tw Cen MT" w:cs="Tw Cen MT"/>
        </w:rPr>
        <w:footnoteReference w:id="22"/>
      </w:r>
      <w:r w:rsidR="007001F6" w:rsidRPr="004C1469">
        <w:rPr>
          <w:rFonts w:eastAsia="Tw Cen MT" w:cs="Tw Cen MT"/>
        </w:rPr>
        <w:t xml:space="preserve"> </w:t>
      </w:r>
      <w:r w:rsidRPr="004C1469">
        <w:rPr>
          <w:rStyle w:val="Hyperlink"/>
          <w:rFonts w:eastAsia="Tw Cen MT" w:cs="Tw Cen MT"/>
        </w:rPr>
        <w:t xml:space="preserve">New Hampshire’s housing affordability index sank to an all-time low in September 2022.  </w:t>
      </w:r>
      <w:r w:rsidRPr="004C1469">
        <w:rPr>
          <w:rFonts w:eastAsia="Tw Cen MT" w:cs="Tw Cen MT"/>
          <w:color w:val="333333"/>
        </w:rPr>
        <w:t>The affordability index is determined by calculating the amount of income needed to meet major monthly home ownership expenses — including mortgage (at prevailing rates), property taxes and insurance — on a median-priced single-family home. It assumed a 20</w:t>
      </w:r>
      <w:r w:rsidR="00A41D6C" w:rsidRPr="004C1469">
        <w:rPr>
          <w:rFonts w:eastAsia="Tw Cen MT" w:cs="Tw Cen MT"/>
          <w:color w:val="333333"/>
        </w:rPr>
        <w:t>%</w:t>
      </w:r>
      <w:r w:rsidRPr="004C1469">
        <w:rPr>
          <w:rFonts w:eastAsia="Tw Cen MT" w:cs="Tw Cen MT"/>
          <w:color w:val="333333"/>
        </w:rPr>
        <w:t xml:space="preserve"> down payment and a 28</w:t>
      </w:r>
      <w:r w:rsidR="00A41D6C" w:rsidRPr="004C1469">
        <w:rPr>
          <w:rFonts w:eastAsia="Tw Cen MT" w:cs="Tw Cen MT"/>
          <w:color w:val="333333"/>
        </w:rPr>
        <w:t>%</w:t>
      </w:r>
      <w:r w:rsidRPr="004C1469">
        <w:rPr>
          <w:rFonts w:eastAsia="Tw Cen MT" w:cs="Tw Cen MT"/>
          <w:color w:val="333333"/>
        </w:rPr>
        <w:t xml:space="preserve"> maximum “front-end” debt-to-income ratio. That required income was then compared to annualized average weekly wage data from the U.S. Bureau of Labor Statistics.  </w:t>
      </w:r>
      <w:r w:rsidRPr="004C1469">
        <w:rPr>
          <w:rFonts w:eastAsia="Lato" w:cs="Lato"/>
          <w:color w:val="333333"/>
          <w:sz w:val="27"/>
          <w:szCs w:val="27"/>
        </w:rPr>
        <w:t xml:space="preserve"> </w:t>
      </w:r>
    </w:p>
    <w:p w14:paraId="7D7782DE" w14:textId="7AD5582A" w:rsidR="007B59ED" w:rsidRPr="00C64BA4" w:rsidRDefault="007B59ED" w:rsidP="00206C45">
      <w:pPr>
        <w:spacing w:line="300" w:lineRule="auto"/>
      </w:pPr>
      <w:r w:rsidRPr="004C1469">
        <w:rPr>
          <w:rFonts w:eastAsia="Tw Cen MT" w:cs="Tw Cen MT"/>
          <w:color w:val="333333"/>
        </w:rPr>
        <w:t>A value of 100 indicates that the typical median-income family has exactly enough money to qualify for a home. Any value below 100 means that a family may struggle to qualify for a mortgage on a home in a particular area. The lower the value, the greater the struggle to afford the mortgage.  In September, the statewide value was 69 for a single-family home and 87 for a residential condo.  The report shows that New Hampshire’s four most populated counties have become less affordable:  Hillsborough, Merrimack, Rockingham, and Strafford, with Merrimack being the least affordable.</w:t>
      </w:r>
    </w:p>
    <w:p w14:paraId="565BD8E0" w14:textId="3696D0A2" w:rsidR="00A93D65" w:rsidRPr="00C64BA4" w:rsidRDefault="00574AA5" w:rsidP="00206C45">
      <w:pPr>
        <w:spacing w:line="300" w:lineRule="auto"/>
      </w:pPr>
      <w:r w:rsidRPr="00C64BA4">
        <w:t xml:space="preserve">What We Heard: </w:t>
      </w:r>
      <w:r w:rsidR="00A93D65" w:rsidRPr="00C64BA4">
        <w:t>95 public survey respondents stated that more affordable housing was needed for existing and future residents. Respondents stated many barriers to affordable housing, including a lack of options, the need for living wages, and high property taxes.</w:t>
      </w:r>
    </w:p>
    <w:p w14:paraId="1C9BE46A" w14:textId="77777777" w:rsidR="00A93D65" w:rsidRPr="00C64BA4" w:rsidRDefault="00A93D65" w:rsidP="00206C45">
      <w:pPr>
        <w:pStyle w:val="ListParagraph"/>
        <w:numPr>
          <w:ilvl w:val="0"/>
          <w:numId w:val="24"/>
        </w:numPr>
        <w:spacing w:after="120" w:line="300" w:lineRule="auto"/>
        <w:ind w:right="1166"/>
      </w:pPr>
      <w:r w:rsidRPr="00C64BA4">
        <w:t xml:space="preserve">“We need affordable </w:t>
      </w:r>
      <w:proofErr w:type="gramStart"/>
      <w:r w:rsidRPr="00C64BA4">
        <w:t>housing, and</w:t>
      </w:r>
      <w:proofErr w:type="gramEnd"/>
      <w:r w:rsidRPr="00C64BA4">
        <w:t xml:space="preserve"> living wages. We also need education on the importance of savings and finances.”</w:t>
      </w:r>
    </w:p>
    <w:p w14:paraId="23968496" w14:textId="77777777" w:rsidR="00A93D65" w:rsidRPr="00C64BA4" w:rsidRDefault="00A93D65" w:rsidP="00206C45">
      <w:pPr>
        <w:pStyle w:val="ListParagraph"/>
        <w:numPr>
          <w:ilvl w:val="0"/>
          <w:numId w:val="24"/>
        </w:numPr>
        <w:spacing w:after="120" w:line="300" w:lineRule="auto"/>
        <w:ind w:right="1166"/>
      </w:pPr>
      <w:r w:rsidRPr="00C64BA4">
        <w:t>“The cost of housing in NH is out of control. There are 4 people in my house, because my adult sons cannot afford apartments of their own.”</w:t>
      </w:r>
    </w:p>
    <w:p w14:paraId="3910C65B" w14:textId="3C58B455" w:rsidR="00A93D65" w:rsidRPr="00C64BA4" w:rsidRDefault="00A93D65" w:rsidP="00206C45">
      <w:pPr>
        <w:pStyle w:val="ListParagraph"/>
        <w:numPr>
          <w:ilvl w:val="0"/>
          <w:numId w:val="24"/>
        </w:numPr>
        <w:spacing w:after="120" w:line="300" w:lineRule="auto"/>
        <w:ind w:right="1166"/>
      </w:pPr>
      <w:r w:rsidRPr="00C64BA4">
        <w:t xml:space="preserve">“Taxes make it difficult to stay </w:t>
      </w:r>
      <w:r w:rsidR="00A41D6C">
        <w:t>in y</w:t>
      </w:r>
      <w:r w:rsidRPr="00C64BA4">
        <w:t>our home as you age. The community does very little for the seniors”</w:t>
      </w:r>
    </w:p>
    <w:p w14:paraId="3362BC15" w14:textId="24FA6D42" w:rsidR="004025EA" w:rsidRPr="00C64BA4" w:rsidRDefault="004025EA" w:rsidP="00206C45">
      <w:pPr>
        <w:pStyle w:val="Body"/>
        <w:spacing w:line="300" w:lineRule="auto"/>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91"/>
      </w:tblGrid>
      <w:tr w:rsidR="00B53E71" w:rsidRPr="00C64BA4" w14:paraId="76027906" w14:textId="77777777" w:rsidTr="00B53E71">
        <w:trPr>
          <w:trHeight w:val="5082"/>
        </w:trPr>
        <w:tc>
          <w:tcPr>
            <w:tcW w:w="5643" w:type="dxa"/>
          </w:tcPr>
          <w:p w14:paraId="0F9D949E" w14:textId="52F2BB37" w:rsidR="00B53E71" w:rsidRPr="00C64BA4" w:rsidRDefault="00B53E71" w:rsidP="00206C45">
            <w:pPr>
              <w:pStyle w:val="Body"/>
              <w:spacing w:line="300" w:lineRule="auto"/>
              <w:jc w:val="left"/>
              <w:rPr>
                <w:sz w:val="20"/>
                <w:szCs w:val="20"/>
              </w:rPr>
            </w:pPr>
            <w:bookmarkStart w:id="151" w:name="_Hlk122682731"/>
            <w:r w:rsidRPr="00C64BA4">
              <w:rPr>
                <w:noProof/>
              </w:rPr>
              <w:lastRenderedPageBreak/>
              <w:drawing>
                <wp:inline distT="0" distB="0" distL="0" distR="0" wp14:anchorId="23982B98" wp14:editId="6FC076FB">
                  <wp:extent cx="5762625" cy="3496310"/>
                  <wp:effectExtent l="0" t="0" r="0" b="8890"/>
                  <wp:docPr id="16" name="Chart 16">
                    <a:extLst xmlns:a="http://schemas.openxmlformats.org/drawingml/2006/main">
                      <a:ext uri="{FF2B5EF4-FFF2-40B4-BE49-F238E27FC236}">
                        <a16:creationId xmlns:a16="http://schemas.microsoft.com/office/drawing/2014/main" id="{6F1F246A-44D3-45E2-94F8-8678E86D9F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8A2BB90" w14:textId="33191633" w:rsidR="00B53E71" w:rsidRPr="00C64BA4" w:rsidRDefault="00B53E71" w:rsidP="00206C45">
            <w:pPr>
              <w:pStyle w:val="Body"/>
              <w:keepNext/>
              <w:spacing w:line="300" w:lineRule="auto"/>
              <w:jc w:val="left"/>
              <w:rPr>
                <w:sz w:val="20"/>
                <w:szCs w:val="20"/>
              </w:rPr>
            </w:pPr>
          </w:p>
        </w:tc>
      </w:tr>
    </w:tbl>
    <w:p w14:paraId="5F6D2A54" w14:textId="1C2DEC77" w:rsidR="00574AA5" w:rsidRPr="005547CC" w:rsidRDefault="00CC5585" w:rsidP="005547CC">
      <w:pPr>
        <w:pStyle w:val="Body"/>
        <w:rPr>
          <w:sz w:val="20"/>
          <w:szCs w:val="20"/>
        </w:rPr>
      </w:pPr>
      <w:bookmarkStart w:id="152" w:name="_Toc128137875"/>
      <w:bookmarkEnd w:id="151"/>
      <w:r>
        <w:t xml:space="preserve">Figure </w:t>
      </w:r>
      <w:r w:rsidR="0062538A">
        <w:fldChar w:fldCharType="begin"/>
      </w:r>
      <w:r w:rsidR="0062538A">
        <w:instrText xml:space="preserve"> SEQ Figure \* ARABIC </w:instrText>
      </w:r>
      <w:r w:rsidR="0062538A">
        <w:fldChar w:fldCharType="separate"/>
      </w:r>
      <w:r w:rsidR="00E75682">
        <w:rPr>
          <w:noProof/>
        </w:rPr>
        <w:t>16</w:t>
      </w:r>
      <w:r w:rsidR="0062538A">
        <w:rPr>
          <w:noProof/>
        </w:rPr>
        <w:fldChar w:fldCharType="end"/>
      </w:r>
      <w:r>
        <w:t>: US Construction Costs Have Historically Not Driven the Rising Cost of Housing</w:t>
      </w:r>
      <w:bookmarkEnd w:id="152"/>
    </w:p>
    <w:p w14:paraId="1A6BB1E6" w14:textId="3094957A" w:rsidR="005547CC" w:rsidRDefault="005547CC" w:rsidP="00206C45">
      <w:pPr>
        <w:pStyle w:val="Body"/>
        <w:spacing w:line="300" w:lineRule="auto"/>
        <w:jc w:val="left"/>
      </w:pPr>
      <w:r w:rsidRPr="00C64BA4">
        <w:rPr>
          <w:sz w:val="20"/>
          <w:szCs w:val="20"/>
        </w:rPr>
        <w:t xml:space="preserve">Source: </w:t>
      </w:r>
      <w:hyperlink r:id="rId61" w:history="1">
        <w:r w:rsidRPr="00C64BA4">
          <w:rPr>
            <w:rStyle w:val="Hyperlink"/>
            <w:sz w:val="20"/>
            <w:szCs w:val="20"/>
          </w:rPr>
          <w:t>Robert Shiller</w:t>
        </w:r>
      </w:hyperlink>
    </w:p>
    <w:p w14:paraId="7B2EC377" w14:textId="28D55006" w:rsidR="005A7B38" w:rsidRPr="00C64BA4" w:rsidRDefault="00C16A4D" w:rsidP="00206C45">
      <w:pPr>
        <w:pStyle w:val="Body"/>
        <w:spacing w:line="300" w:lineRule="auto"/>
        <w:jc w:val="left"/>
      </w:pPr>
      <w:r w:rsidRPr="00C64BA4">
        <w:t xml:space="preserve">The cost of constructing and buying a home spiked with </w:t>
      </w:r>
      <w:r w:rsidR="00332B5D" w:rsidRPr="00C64BA4">
        <w:t xml:space="preserve">the </w:t>
      </w:r>
      <w:r w:rsidRPr="00C64BA4">
        <w:t xml:space="preserve">outbreak of the COVID-19 pandemic. </w:t>
      </w:r>
      <w:r w:rsidR="00332B5D" w:rsidRPr="00C64BA4">
        <w:t xml:space="preserve">One issue led to another as the pandemic and emergency measures led to labor shortages.  This created supply complications: goods were unavailable and even if they were, their delivery system was interrupted. </w:t>
      </w:r>
      <w:r w:rsidRPr="00C64BA4">
        <w:t xml:space="preserve">A rise in demand </w:t>
      </w:r>
      <w:r w:rsidR="00332B5D" w:rsidRPr="00C64BA4">
        <w:t xml:space="preserve">was also </w:t>
      </w:r>
      <w:r w:rsidRPr="00C64BA4">
        <w:t xml:space="preserve">fueled in part by low interest rates. </w:t>
      </w:r>
      <w:r w:rsidR="00332B5D" w:rsidRPr="00C64BA4">
        <w:t>Despite the recent shortages,</w:t>
      </w:r>
      <w:r w:rsidRPr="00C64BA4">
        <w:t xml:space="preserve"> historically the increase in housing prices has not been cause by increases in construction costs. Between 1980 and 2020 the growth in real home prices </w:t>
      </w:r>
      <w:r w:rsidR="00107F65" w:rsidRPr="00C64BA4">
        <w:t>greatly outpaced increase in real building costs.</w:t>
      </w:r>
      <w:r w:rsidR="003D1760" w:rsidRPr="00C64BA4">
        <w:t xml:space="preserve"> (</w:t>
      </w:r>
      <w:r w:rsidR="00A41D6C">
        <w:t>S</w:t>
      </w:r>
      <w:r w:rsidR="003D1760" w:rsidRPr="00C64BA4">
        <w:t>ee section VI for more in-depth look at the impacts and costs to housing supply)</w:t>
      </w:r>
      <w:r w:rsidR="00E049C5">
        <w:t>.</w:t>
      </w:r>
    </w:p>
    <w:p w14:paraId="761025D8" w14:textId="0DC040A4" w:rsidR="00FE6870" w:rsidRPr="00C64BA4" w:rsidRDefault="00332B5D" w:rsidP="00206C45">
      <w:pPr>
        <w:pStyle w:val="Body"/>
        <w:spacing w:line="300" w:lineRule="auto"/>
        <w:rPr>
          <w:rStyle w:val="Hyperlink"/>
        </w:rPr>
      </w:pPr>
      <w:r w:rsidRPr="00C64BA4">
        <w:t xml:space="preserve">According to the </w:t>
      </w:r>
      <w:r w:rsidRPr="00A568FD">
        <w:t xml:space="preserve">McKinsey Global </w:t>
      </w:r>
      <w:r w:rsidR="009628F3" w:rsidRPr="00A568FD">
        <w:t>Institute</w:t>
      </w:r>
      <w:r w:rsidR="00A568FD">
        <w:rPr>
          <w:rStyle w:val="FootnoteReference"/>
        </w:rPr>
        <w:footnoteReference w:id="23"/>
      </w:r>
      <w:r w:rsidRPr="00C64BA4">
        <w:t>,</w:t>
      </w:r>
      <w:r w:rsidR="005A7B38" w:rsidRPr="00C64BA4">
        <w:t xml:space="preserve"> the construction industry </w:t>
      </w:r>
      <w:proofErr w:type="gramStart"/>
      <w:r w:rsidR="005A7B38" w:rsidRPr="00C64BA4">
        <w:t>lags behind</w:t>
      </w:r>
      <w:proofErr w:type="gramEnd"/>
      <w:r w:rsidR="005A7B38" w:rsidRPr="00C64BA4">
        <w:t xml:space="preserve"> other sectors that have seen major improvement in productivity. Since 1945 in the United States</w:t>
      </w:r>
      <w:r w:rsidR="009628F3">
        <w:t>, productivity has increased significantly in manufacturing, retail, and agriculture, growing by as much as 1,500%, while construction productivity has remained largely unchanged.</w:t>
      </w:r>
      <w:r w:rsidR="00FE6870" w:rsidRPr="00C64BA4">
        <w:rPr>
          <w:rStyle w:val="Hyperlink"/>
        </w:rPr>
        <w:t xml:space="preserve">  </w:t>
      </w:r>
    </w:p>
    <w:p w14:paraId="10C43BDB" w14:textId="237C7932" w:rsidR="00F27062" w:rsidRPr="00C64BA4" w:rsidRDefault="00FE6870" w:rsidP="00206C45">
      <w:pPr>
        <w:pStyle w:val="Body"/>
        <w:spacing w:line="300" w:lineRule="auto"/>
      </w:pPr>
      <w:r w:rsidRPr="00C64BA4">
        <w:t xml:space="preserve">It is possible that a </w:t>
      </w:r>
      <w:r w:rsidR="005A7B38" w:rsidRPr="00C64BA4">
        <w:t>lack of competition in the homebuilding industry over the past decade has also contributed to fewer homes being built and for a higher price</w:t>
      </w:r>
      <w:r w:rsidR="00FE7D0A">
        <w:t xml:space="preserve">. </w:t>
      </w:r>
      <w:r w:rsidR="005A7B38" w:rsidRPr="00C64BA4">
        <w:t>It is possible that higher housing and land costs could be a cause of industry consolidation rather than an effect</w:t>
      </w:r>
      <w:bookmarkStart w:id="153" w:name="_Toc505757053"/>
      <w:bookmarkStart w:id="154" w:name="_Toc907797168"/>
      <w:r w:rsidR="00FE7D0A">
        <w:t>.</w:t>
      </w:r>
    </w:p>
    <w:p w14:paraId="195B339A" w14:textId="27C47A77" w:rsidR="26F2F7A2" w:rsidRPr="00CC5585" w:rsidRDefault="00A33E40" w:rsidP="00206C45">
      <w:pPr>
        <w:pStyle w:val="Heading2"/>
        <w:spacing w:line="300" w:lineRule="auto"/>
      </w:pPr>
      <w:bookmarkStart w:id="155" w:name="_Toc128137969"/>
      <w:bookmarkEnd w:id="137"/>
      <w:bookmarkEnd w:id="153"/>
      <w:bookmarkEnd w:id="154"/>
      <w:r w:rsidRPr="00CC5585">
        <w:lastRenderedPageBreak/>
        <w:t xml:space="preserve">Current Housing </w:t>
      </w:r>
      <w:r w:rsidR="00906883" w:rsidRPr="00CC5585">
        <w:t>Gaps</w:t>
      </w:r>
      <w:bookmarkEnd w:id="155"/>
    </w:p>
    <w:p w14:paraId="0631FA4F" w14:textId="1261F5AF" w:rsidR="3E500B8C" w:rsidRPr="00C64BA4" w:rsidRDefault="6AB4ACD1" w:rsidP="00206C45">
      <w:pPr>
        <w:pStyle w:val="BodyText"/>
        <w:spacing w:after="240" w:line="300" w:lineRule="auto"/>
        <w:jc w:val="both"/>
        <w:rPr>
          <w:rFonts w:asciiTheme="minorHAnsi" w:eastAsia="Times" w:hAnsiTheme="minorHAnsi" w:cs="Times"/>
          <w:color w:val="000000" w:themeColor="text1"/>
          <w:sz w:val="22"/>
          <w:szCs w:val="22"/>
          <w:lang w:val="en"/>
        </w:rPr>
      </w:pPr>
      <w:r w:rsidRPr="00C64BA4">
        <w:rPr>
          <w:rFonts w:asciiTheme="minorHAnsi" w:eastAsiaTheme="majorEastAsia" w:hAnsiTheme="minorHAnsi" w:cstheme="majorBidi"/>
          <w:color w:val="000000" w:themeColor="text1"/>
          <w:sz w:val="22"/>
          <w:szCs w:val="22"/>
        </w:rPr>
        <w:t>Th</w:t>
      </w:r>
      <w:r w:rsidR="3E500B8C" w:rsidRPr="00C64BA4">
        <w:rPr>
          <w:rFonts w:asciiTheme="minorHAnsi" w:eastAsiaTheme="majorEastAsia" w:hAnsiTheme="minorHAnsi" w:cstheme="majorBidi"/>
          <w:color w:val="000000" w:themeColor="text1"/>
          <w:sz w:val="22"/>
          <w:szCs w:val="22"/>
        </w:rPr>
        <w:t>e ownership gaps analysis compares renters, renter income levels, the maximum monthly housing payment they could afford, and the proportion of units in the market that were affordable to them. Renters are used for the demand side of the ownership gaps because the analysis intends to capture renters’ ability to purchase a home (as opposed to measuring existing owners’ ability to buy and sell).</w:t>
      </w:r>
    </w:p>
    <w:p w14:paraId="624027B6" w14:textId="3EB6A004" w:rsidR="3E500B8C" w:rsidRPr="00C64BA4" w:rsidRDefault="3E500B8C" w:rsidP="00206C45">
      <w:pPr>
        <w:pStyle w:val="BodyText"/>
        <w:spacing w:after="240" w:line="300" w:lineRule="auto"/>
        <w:jc w:val="both"/>
        <w:rPr>
          <w:rFonts w:asciiTheme="minorHAnsi" w:eastAsia="Times" w:hAnsiTheme="minorHAnsi" w:cs="Times"/>
          <w:color w:val="000000" w:themeColor="text1"/>
          <w:sz w:val="22"/>
          <w:szCs w:val="22"/>
          <w:lang w:val="en"/>
        </w:rPr>
      </w:pPr>
      <w:r w:rsidRPr="00C64BA4">
        <w:rPr>
          <w:rFonts w:asciiTheme="minorHAnsi" w:eastAsiaTheme="majorEastAsia" w:hAnsiTheme="minorHAnsi" w:cstheme="majorBidi"/>
          <w:color w:val="000000" w:themeColor="text1"/>
          <w:sz w:val="22"/>
          <w:szCs w:val="22"/>
        </w:rPr>
        <w:t>Maximum affordable home prices used for the analysis assume a 30-year mortgage with a 10% down payment and an interest rate of 5.5%.4 The estimates also incorporate property taxes, insurance, HOA payments and utilities—assumed to collectively account for 40% of the monthly payment.</w:t>
      </w:r>
    </w:p>
    <w:p w14:paraId="21BB5D85" w14:textId="622BEA6D" w:rsidR="3E500B8C" w:rsidRPr="007533C4" w:rsidRDefault="3E500B8C" w:rsidP="00206C45">
      <w:pPr>
        <w:pStyle w:val="ListParagraph"/>
        <w:numPr>
          <w:ilvl w:val="0"/>
          <w:numId w:val="25"/>
        </w:numPr>
        <w:spacing w:before="240" w:after="240" w:line="300" w:lineRule="auto"/>
        <w:jc w:val="both"/>
        <w:rPr>
          <w:rFonts w:eastAsia="Times" w:cs="Times"/>
          <w:color w:val="000000" w:themeColor="text1"/>
          <w:lang w:val="en"/>
        </w:rPr>
      </w:pPr>
      <w:r w:rsidRPr="007533C4">
        <w:rPr>
          <w:b/>
          <w:bCs/>
          <w:color w:val="000000" w:themeColor="text1"/>
        </w:rPr>
        <w:t>Demand side</w:t>
      </w:r>
      <w:r w:rsidRPr="007533C4">
        <w:rPr>
          <w:color w:val="000000" w:themeColor="text1"/>
        </w:rPr>
        <w:t>. The number of renter households at different income levels is estimated in the same manner as it is estimated for the rental gaps—using the maximum affordable home price for each income threshold, and assuming households spend no more than 30% of their income on housing costs. Once the number of renter households in each income bracket is estimated, the percent of renters in each income bracket is calculated.</w:t>
      </w:r>
    </w:p>
    <w:p w14:paraId="2CA3C14F" w14:textId="6485B8EB" w:rsidR="00B1285C" w:rsidRDefault="3E500B8C" w:rsidP="00206C45">
      <w:pPr>
        <w:pStyle w:val="ListParagraph"/>
        <w:numPr>
          <w:ilvl w:val="0"/>
          <w:numId w:val="25"/>
        </w:numPr>
        <w:spacing w:after="240" w:line="300" w:lineRule="auto"/>
        <w:jc w:val="both"/>
      </w:pPr>
      <w:r w:rsidRPr="007533C4">
        <w:rPr>
          <w:b/>
          <w:bCs/>
          <w:color w:val="000000" w:themeColor="text1"/>
        </w:rPr>
        <w:t xml:space="preserve">Supply side. </w:t>
      </w:r>
      <w:r w:rsidRPr="007533C4">
        <w:rPr>
          <w:color w:val="000000" w:themeColor="text1"/>
        </w:rPr>
        <w:t>The number of units affordable to renter households is calculated by adding the number of units that were sold at or below the corresponding affordable price threshold, using MLS data on sold properties in a specific year. Once the number of homes sold in each price bracket is estimated, the percent of units in each price bracket is estimated.</w:t>
      </w:r>
    </w:p>
    <w:p w14:paraId="7FC0A30B" w14:textId="7ECA80C1" w:rsidR="003D1760" w:rsidRPr="007533C4" w:rsidRDefault="3E500B8C" w:rsidP="00206C45">
      <w:pPr>
        <w:pStyle w:val="ListParagraph"/>
        <w:numPr>
          <w:ilvl w:val="0"/>
          <w:numId w:val="25"/>
        </w:numPr>
        <w:spacing w:after="240" w:line="300" w:lineRule="auto"/>
        <w:jc w:val="both"/>
        <w:rPr>
          <w:color w:val="000000" w:themeColor="text1"/>
        </w:rPr>
      </w:pPr>
      <w:r w:rsidRPr="007533C4">
        <w:rPr>
          <w:b/>
          <w:bCs/>
        </w:rPr>
        <w:t>Ownership Gaps.</w:t>
      </w:r>
      <w:r w:rsidRPr="00C64BA4">
        <w:t xml:space="preserve"> Finally, the ownership gap is calculated as the percent of units that sold at or below the maximum affordable home price for a particular income level (supply) minus the percent of renter households at or below the </w:t>
      </w:r>
      <w:proofErr w:type="gramStart"/>
      <w:r w:rsidRPr="00C64BA4">
        <w:t>particular income</w:t>
      </w:r>
      <w:proofErr w:type="gramEnd"/>
      <w:r w:rsidRPr="00C64BA4">
        <w:t xml:space="preserve"> level (demand). This renter purchase gap shows the difference between the proportion of renter households and the proportion of homes sold that were affordable to them. Negative numbers indicate a shortage of units at the specific income </w:t>
      </w:r>
      <w:r w:rsidRPr="007533C4">
        <w:rPr>
          <w:color w:val="000000" w:themeColor="text1"/>
        </w:rPr>
        <w:t>level; positive units indicate an excess of units.</w:t>
      </w:r>
      <w:r w:rsidR="00CB2BF3">
        <w:rPr>
          <w:color w:val="000000" w:themeColor="text1"/>
        </w:rPr>
        <w:t xml:space="preserve"> </w:t>
      </w:r>
    </w:p>
    <w:p w14:paraId="1F53F25C" w14:textId="77777777" w:rsidR="003D1760" w:rsidRPr="00C64BA4" w:rsidRDefault="003D1760" w:rsidP="00206C45">
      <w:pPr>
        <w:spacing w:line="300" w:lineRule="auto"/>
        <w:rPr>
          <w:color w:val="000000" w:themeColor="text1"/>
        </w:rPr>
      </w:pPr>
      <w:r w:rsidRPr="00C64BA4">
        <w:rPr>
          <w:color w:val="000000" w:themeColor="text1"/>
        </w:rPr>
        <w:br w:type="page"/>
      </w:r>
    </w:p>
    <w:p w14:paraId="7AED9098" w14:textId="77777777" w:rsidR="007B59ED" w:rsidRPr="00C64BA4" w:rsidRDefault="007B59ED" w:rsidP="00206C45">
      <w:pPr>
        <w:spacing w:after="240" w:line="300" w:lineRule="auto"/>
        <w:jc w:val="both"/>
        <w:rPr>
          <w:color w:val="000000" w:themeColor="text1"/>
        </w:rPr>
      </w:pPr>
    </w:p>
    <w:p w14:paraId="05ABD16F" w14:textId="1B1B2223" w:rsidR="00D82A33" w:rsidRDefault="00D82A33" w:rsidP="00206C45">
      <w:pPr>
        <w:pStyle w:val="Caption"/>
        <w:keepNext/>
        <w:spacing w:line="300" w:lineRule="auto"/>
      </w:pPr>
      <w:bookmarkStart w:id="156" w:name="_Toc128137920"/>
      <w:r>
        <w:t xml:space="preserve">Table </w:t>
      </w:r>
      <w:r w:rsidR="0062538A">
        <w:fldChar w:fldCharType="begin"/>
      </w:r>
      <w:r w:rsidR="0062538A">
        <w:instrText xml:space="preserve"> SEQ Table \* ARABIC </w:instrText>
      </w:r>
      <w:r w:rsidR="0062538A">
        <w:fldChar w:fldCharType="separate"/>
      </w:r>
      <w:r w:rsidR="008B512A">
        <w:rPr>
          <w:noProof/>
        </w:rPr>
        <w:t>29</w:t>
      </w:r>
      <w:r w:rsidR="0062538A">
        <w:rPr>
          <w:noProof/>
        </w:rPr>
        <w:fldChar w:fldCharType="end"/>
      </w:r>
      <w:r>
        <w:t>: Potential Homeowner Gap</w:t>
      </w:r>
      <w:bookmarkEnd w:id="156"/>
    </w:p>
    <w:tbl>
      <w:tblPr>
        <w:tblW w:w="10580" w:type="dxa"/>
        <w:tblLook w:val="04A0" w:firstRow="1" w:lastRow="0" w:firstColumn="1" w:lastColumn="0" w:noHBand="0" w:noVBand="1"/>
      </w:tblPr>
      <w:tblGrid>
        <w:gridCol w:w="1445"/>
        <w:gridCol w:w="727"/>
        <w:gridCol w:w="1219"/>
        <w:gridCol w:w="1205"/>
        <w:gridCol w:w="1153"/>
        <w:gridCol w:w="1111"/>
        <w:gridCol w:w="1196"/>
        <w:gridCol w:w="1210"/>
        <w:gridCol w:w="1314"/>
      </w:tblGrid>
      <w:tr w:rsidR="007B59ED" w:rsidRPr="00C64BA4" w14:paraId="56324735" w14:textId="77777777" w:rsidTr="00D65D0C">
        <w:trPr>
          <w:trHeight w:val="285"/>
        </w:trPr>
        <w:tc>
          <w:tcPr>
            <w:tcW w:w="1445" w:type="dxa"/>
            <w:tcBorders>
              <w:top w:val="nil"/>
              <w:left w:val="nil"/>
              <w:bottom w:val="nil"/>
              <w:right w:val="nil"/>
            </w:tcBorders>
            <w:shd w:val="clear" w:color="auto" w:fill="auto"/>
            <w:noWrap/>
            <w:vAlign w:val="bottom"/>
            <w:hideMark/>
          </w:tcPr>
          <w:p w14:paraId="656D63BC"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9135" w:type="dxa"/>
            <w:gridSpan w:val="8"/>
            <w:tcBorders>
              <w:top w:val="nil"/>
              <w:left w:val="nil"/>
              <w:bottom w:val="nil"/>
              <w:right w:val="nil"/>
            </w:tcBorders>
            <w:shd w:val="clear" w:color="auto" w:fill="auto"/>
            <w:noWrap/>
            <w:vAlign w:val="bottom"/>
            <w:hideMark/>
          </w:tcPr>
          <w:p w14:paraId="30981A36" w14:textId="77777777" w:rsidR="007B59ED" w:rsidRPr="00C64BA4" w:rsidRDefault="007B59ED" w:rsidP="00206C45">
            <w:pPr>
              <w:spacing w:after="0" w:line="300" w:lineRule="auto"/>
              <w:jc w:val="center"/>
              <w:rPr>
                <w:rFonts w:eastAsia="Times New Roman" w:cs="Calibri"/>
                <w:b/>
                <w:bCs/>
                <w:color w:val="595959" w:themeColor="text1" w:themeTint="A6"/>
              </w:rPr>
            </w:pPr>
            <w:r w:rsidRPr="00C64BA4">
              <w:rPr>
                <w:rFonts w:eastAsia="Times New Roman" w:cs="Calibri"/>
                <w:b/>
                <w:bCs/>
                <w:color w:val="595959" w:themeColor="text1" w:themeTint="A6"/>
              </w:rPr>
              <w:t>Potential Homeowner Gap</w:t>
            </w:r>
          </w:p>
        </w:tc>
      </w:tr>
      <w:tr w:rsidR="007B59ED" w:rsidRPr="00C64BA4" w14:paraId="125C9753" w14:textId="77777777" w:rsidTr="00D65D0C">
        <w:trPr>
          <w:trHeight w:val="285"/>
        </w:trPr>
        <w:tc>
          <w:tcPr>
            <w:tcW w:w="1445" w:type="dxa"/>
            <w:tcBorders>
              <w:top w:val="nil"/>
              <w:left w:val="nil"/>
              <w:bottom w:val="nil"/>
              <w:right w:val="nil"/>
            </w:tcBorders>
            <w:shd w:val="clear" w:color="auto" w:fill="auto"/>
            <w:noWrap/>
            <w:vAlign w:val="bottom"/>
            <w:hideMark/>
          </w:tcPr>
          <w:p w14:paraId="61E2A1EE" w14:textId="77777777" w:rsidR="007B59ED" w:rsidRPr="00C64BA4" w:rsidRDefault="007B59ED" w:rsidP="00206C45">
            <w:pPr>
              <w:spacing w:after="0" w:line="300" w:lineRule="auto"/>
              <w:jc w:val="center"/>
              <w:rPr>
                <w:rFonts w:eastAsia="Times New Roman" w:cs="Calibri"/>
                <w:b/>
                <w:bCs/>
                <w:color w:val="595959" w:themeColor="text1" w:themeTint="A6"/>
              </w:rPr>
            </w:pPr>
          </w:p>
        </w:tc>
        <w:tc>
          <w:tcPr>
            <w:tcW w:w="727" w:type="dxa"/>
            <w:tcBorders>
              <w:top w:val="nil"/>
              <w:left w:val="nil"/>
              <w:bottom w:val="nil"/>
              <w:right w:val="nil"/>
            </w:tcBorders>
            <w:shd w:val="clear" w:color="auto" w:fill="auto"/>
            <w:noWrap/>
            <w:vAlign w:val="bottom"/>
            <w:hideMark/>
          </w:tcPr>
          <w:p w14:paraId="4E6B13F5"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1219" w:type="dxa"/>
            <w:tcBorders>
              <w:top w:val="nil"/>
              <w:left w:val="nil"/>
              <w:bottom w:val="nil"/>
              <w:right w:val="nil"/>
            </w:tcBorders>
            <w:shd w:val="clear" w:color="auto" w:fill="auto"/>
            <w:noWrap/>
            <w:vAlign w:val="bottom"/>
            <w:hideMark/>
          </w:tcPr>
          <w:p w14:paraId="7CE97870" w14:textId="77777777" w:rsidR="007B59ED" w:rsidRPr="00C64BA4" w:rsidRDefault="007B59ED" w:rsidP="00206C45">
            <w:pPr>
              <w:spacing w:after="0" w:line="300" w:lineRule="auto"/>
              <w:jc w:val="center"/>
              <w:rPr>
                <w:rFonts w:eastAsia="Times New Roman" w:cs="Times New Roman"/>
                <w:b/>
                <w:bCs/>
                <w:color w:val="595959" w:themeColor="text1" w:themeTint="A6"/>
                <w:sz w:val="20"/>
                <w:szCs w:val="20"/>
              </w:rPr>
            </w:pPr>
          </w:p>
        </w:tc>
        <w:tc>
          <w:tcPr>
            <w:tcW w:w="1205" w:type="dxa"/>
            <w:tcBorders>
              <w:top w:val="nil"/>
              <w:left w:val="nil"/>
              <w:bottom w:val="nil"/>
              <w:right w:val="nil"/>
            </w:tcBorders>
            <w:shd w:val="clear" w:color="auto" w:fill="auto"/>
            <w:noWrap/>
            <w:vAlign w:val="bottom"/>
            <w:hideMark/>
          </w:tcPr>
          <w:p w14:paraId="23BE6A1C" w14:textId="77777777" w:rsidR="007B59ED" w:rsidRPr="00C64BA4" w:rsidRDefault="007B59ED" w:rsidP="00206C45">
            <w:pPr>
              <w:spacing w:after="0" w:line="300" w:lineRule="auto"/>
              <w:jc w:val="center"/>
              <w:rPr>
                <w:rFonts w:eastAsia="Times New Roman" w:cs="Times New Roman"/>
                <w:b/>
                <w:bCs/>
                <w:color w:val="595959" w:themeColor="text1" w:themeTint="A6"/>
                <w:sz w:val="20"/>
                <w:szCs w:val="20"/>
              </w:rPr>
            </w:pPr>
          </w:p>
        </w:tc>
        <w:tc>
          <w:tcPr>
            <w:tcW w:w="1153" w:type="dxa"/>
            <w:tcBorders>
              <w:top w:val="nil"/>
              <w:left w:val="nil"/>
              <w:bottom w:val="nil"/>
              <w:right w:val="nil"/>
            </w:tcBorders>
            <w:shd w:val="clear" w:color="auto" w:fill="auto"/>
            <w:noWrap/>
            <w:vAlign w:val="bottom"/>
            <w:hideMark/>
          </w:tcPr>
          <w:p w14:paraId="5AF96CBE" w14:textId="77777777" w:rsidR="007B59ED" w:rsidRPr="00C64BA4" w:rsidRDefault="007B59ED" w:rsidP="00206C45">
            <w:pPr>
              <w:spacing w:after="0" w:line="300" w:lineRule="auto"/>
              <w:jc w:val="center"/>
              <w:rPr>
                <w:rFonts w:eastAsia="Times New Roman" w:cs="Times New Roman"/>
                <w:b/>
                <w:bCs/>
                <w:color w:val="595959" w:themeColor="text1" w:themeTint="A6"/>
                <w:sz w:val="20"/>
                <w:szCs w:val="20"/>
              </w:rPr>
            </w:pPr>
          </w:p>
        </w:tc>
        <w:tc>
          <w:tcPr>
            <w:tcW w:w="1111" w:type="dxa"/>
            <w:tcBorders>
              <w:top w:val="nil"/>
              <w:left w:val="nil"/>
              <w:bottom w:val="nil"/>
              <w:right w:val="nil"/>
            </w:tcBorders>
            <w:shd w:val="clear" w:color="auto" w:fill="auto"/>
            <w:noWrap/>
            <w:vAlign w:val="bottom"/>
            <w:hideMark/>
          </w:tcPr>
          <w:p w14:paraId="2DCD942F" w14:textId="77777777" w:rsidR="007B59ED" w:rsidRPr="00C64BA4" w:rsidRDefault="007B59ED" w:rsidP="00206C45">
            <w:pPr>
              <w:spacing w:after="0" w:line="300" w:lineRule="auto"/>
              <w:jc w:val="center"/>
              <w:rPr>
                <w:rFonts w:eastAsia="Times New Roman" w:cs="Times New Roman"/>
                <w:b/>
                <w:bCs/>
                <w:color w:val="595959" w:themeColor="text1" w:themeTint="A6"/>
                <w:sz w:val="20"/>
                <w:szCs w:val="20"/>
              </w:rPr>
            </w:pPr>
          </w:p>
        </w:tc>
        <w:tc>
          <w:tcPr>
            <w:tcW w:w="1196" w:type="dxa"/>
            <w:tcBorders>
              <w:top w:val="nil"/>
              <w:left w:val="nil"/>
              <w:bottom w:val="nil"/>
              <w:right w:val="nil"/>
            </w:tcBorders>
            <w:shd w:val="clear" w:color="auto" w:fill="auto"/>
            <w:noWrap/>
            <w:vAlign w:val="bottom"/>
            <w:hideMark/>
          </w:tcPr>
          <w:p w14:paraId="42BA9CC6" w14:textId="77777777" w:rsidR="007B59ED" w:rsidRPr="00C64BA4" w:rsidRDefault="007B59ED" w:rsidP="00206C45">
            <w:pPr>
              <w:spacing w:after="0" w:line="300" w:lineRule="auto"/>
              <w:jc w:val="center"/>
              <w:rPr>
                <w:rFonts w:eastAsia="Times New Roman" w:cs="Times New Roman"/>
                <w:b/>
                <w:bCs/>
                <w:color w:val="595959" w:themeColor="text1" w:themeTint="A6"/>
                <w:sz w:val="20"/>
                <w:szCs w:val="20"/>
              </w:rPr>
            </w:pPr>
          </w:p>
        </w:tc>
        <w:tc>
          <w:tcPr>
            <w:tcW w:w="1210" w:type="dxa"/>
            <w:tcBorders>
              <w:top w:val="nil"/>
              <w:left w:val="nil"/>
              <w:bottom w:val="nil"/>
              <w:right w:val="nil"/>
            </w:tcBorders>
            <w:shd w:val="clear" w:color="auto" w:fill="auto"/>
            <w:noWrap/>
            <w:vAlign w:val="bottom"/>
            <w:hideMark/>
          </w:tcPr>
          <w:p w14:paraId="0C1D3FA2" w14:textId="77777777" w:rsidR="007B59ED" w:rsidRPr="00C64BA4" w:rsidRDefault="007B59ED" w:rsidP="00206C45">
            <w:pPr>
              <w:spacing w:after="0" w:line="300" w:lineRule="auto"/>
              <w:jc w:val="center"/>
              <w:rPr>
                <w:rFonts w:eastAsia="Times New Roman" w:cs="Times New Roman"/>
                <w:b/>
                <w:bCs/>
                <w:color w:val="595959" w:themeColor="text1" w:themeTint="A6"/>
                <w:sz w:val="20"/>
                <w:szCs w:val="20"/>
              </w:rPr>
            </w:pPr>
          </w:p>
        </w:tc>
        <w:tc>
          <w:tcPr>
            <w:tcW w:w="1314" w:type="dxa"/>
            <w:tcBorders>
              <w:top w:val="nil"/>
              <w:left w:val="nil"/>
              <w:bottom w:val="nil"/>
              <w:right w:val="nil"/>
            </w:tcBorders>
            <w:shd w:val="clear" w:color="auto" w:fill="auto"/>
            <w:noWrap/>
            <w:vAlign w:val="bottom"/>
            <w:hideMark/>
          </w:tcPr>
          <w:p w14:paraId="591EEC50" w14:textId="77777777" w:rsidR="007B59ED" w:rsidRPr="00C64BA4" w:rsidRDefault="007B59ED" w:rsidP="00206C45">
            <w:pPr>
              <w:spacing w:after="0" w:line="300" w:lineRule="auto"/>
              <w:jc w:val="center"/>
              <w:rPr>
                <w:rFonts w:eastAsia="Times New Roman" w:cs="Times New Roman"/>
                <w:b/>
                <w:bCs/>
                <w:color w:val="595959" w:themeColor="text1" w:themeTint="A6"/>
                <w:sz w:val="20"/>
                <w:szCs w:val="20"/>
              </w:rPr>
            </w:pPr>
          </w:p>
        </w:tc>
      </w:tr>
      <w:tr w:rsidR="007B59ED" w:rsidRPr="00C64BA4" w14:paraId="2FBC0E14" w14:textId="77777777" w:rsidTr="00D65D0C">
        <w:trPr>
          <w:trHeight w:val="615"/>
        </w:trPr>
        <w:tc>
          <w:tcPr>
            <w:tcW w:w="1445" w:type="dxa"/>
            <w:tcBorders>
              <w:top w:val="nil"/>
              <w:left w:val="nil"/>
              <w:bottom w:val="nil"/>
              <w:right w:val="nil"/>
            </w:tcBorders>
            <w:shd w:val="clear" w:color="auto" w:fill="auto"/>
            <w:noWrap/>
            <w:vAlign w:val="bottom"/>
            <w:hideMark/>
          </w:tcPr>
          <w:p w14:paraId="052611F7" w14:textId="77777777" w:rsidR="007B59ED" w:rsidRPr="00C64BA4" w:rsidRDefault="007B59ED" w:rsidP="00206C45">
            <w:pPr>
              <w:spacing w:after="0" w:line="300" w:lineRule="auto"/>
              <w:jc w:val="center"/>
              <w:rPr>
                <w:rFonts w:eastAsia="Times New Roman" w:cs="Times New Roman"/>
                <w:b/>
                <w:bCs/>
                <w:color w:val="595959" w:themeColor="text1" w:themeTint="A6"/>
                <w:sz w:val="20"/>
                <w:szCs w:val="20"/>
              </w:rPr>
            </w:pPr>
          </w:p>
        </w:tc>
        <w:tc>
          <w:tcPr>
            <w:tcW w:w="9135" w:type="dxa"/>
            <w:gridSpan w:val="8"/>
            <w:tcBorders>
              <w:top w:val="nil"/>
              <w:left w:val="nil"/>
              <w:bottom w:val="nil"/>
              <w:right w:val="nil"/>
            </w:tcBorders>
            <w:shd w:val="clear" w:color="auto" w:fill="auto"/>
            <w:vAlign w:val="bottom"/>
            <w:hideMark/>
          </w:tcPr>
          <w:p w14:paraId="208BD6CC" w14:textId="77777777" w:rsidR="007B59ED" w:rsidRPr="00C64BA4" w:rsidRDefault="007B59ED" w:rsidP="00206C45">
            <w:pPr>
              <w:spacing w:after="0" w:line="300" w:lineRule="auto"/>
              <w:jc w:val="center"/>
              <w:rPr>
                <w:rFonts w:eastAsia="Times New Roman" w:cs="Calibri"/>
                <w:b/>
                <w:bCs/>
                <w:color w:val="595959" w:themeColor="text1" w:themeTint="A6"/>
              </w:rPr>
            </w:pPr>
            <w:r w:rsidRPr="00C64BA4">
              <w:rPr>
                <w:rFonts w:eastAsia="Times New Roman" w:cs="Calibri"/>
                <w:b/>
                <w:bCs/>
                <w:color w:val="595959" w:themeColor="text1" w:themeTint="A6"/>
              </w:rPr>
              <w:t>The Relative Market Mismatch Between Home Sales &amp; Renting Households That May Want to Purchase Them</w:t>
            </w:r>
          </w:p>
        </w:tc>
      </w:tr>
      <w:tr w:rsidR="007B59ED" w:rsidRPr="00C64BA4" w14:paraId="3EEE05D9" w14:textId="77777777" w:rsidTr="00D65D0C">
        <w:trPr>
          <w:trHeight w:val="540"/>
        </w:trPr>
        <w:tc>
          <w:tcPr>
            <w:tcW w:w="1445" w:type="dxa"/>
            <w:tcBorders>
              <w:top w:val="nil"/>
              <w:left w:val="nil"/>
              <w:bottom w:val="nil"/>
              <w:right w:val="nil"/>
            </w:tcBorders>
            <w:shd w:val="clear" w:color="auto" w:fill="auto"/>
            <w:noWrap/>
            <w:vAlign w:val="bottom"/>
            <w:hideMark/>
          </w:tcPr>
          <w:p w14:paraId="5C74D10F" w14:textId="77777777" w:rsidR="007B59ED" w:rsidRPr="00C64BA4" w:rsidRDefault="007B59ED" w:rsidP="00206C45">
            <w:pPr>
              <w:spacing w:after="0" w:line="300" w:lineRule="auto"/>
              <w:jc w:val="center"/>
              <w:rPr>
                <w:rFonts w:eastAsia="Times New Roman" w:cs="Calibri"/>
                <w:b/>
                <w:bCs/>
                <w:color w:val="595959" w:themeColor="text1" w:themeTint="A6"/>
              </w:rPr>
            </w:pPr>
          </w:p>
        </w:tc>
        <w:tc>
          <w:tcPr>
            <w:tcW w:w="727" w:type="dxa"/>
            <w:tcBorders>
              <w:top w:val="nil"/>
              <w:left w:val="nil"/>
              <w:bottom w:val="nil"/>
              <w:right w:val="nil"/>
            </w:tcBorders>
            <w:shd w:val="clear" w:color="auto" w:fill="auto"/>
            <w:noWrap/>
            <w:vAlign w:val="bottom"/>
            <w:hideMark/>
          </w:tcPr>
          <w:p w14:paraId="08850458"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7094" w:type="dxa"/>
            <w:gridSpan w:val="6"/>
            <w:tcBorders>
              <w:top w:val="nil"/>
              <w:left w:val="nil"/>
              <w:bottom w:val="nil"/>
              <w:right w:val="nil"/>
            </w:tcBorders>
            <w:shd w:val="clear" w:color="auto" w:fill="auto"/>
            <w:vAlign w:val="bottom"/>
            <w:hideMark/>
          </w:tcPr>
          <w:p w14:paraId="720459EA" w14:textId="48E79BA6" w:rsidR="007B59ED" w:rsidRPr="00C64BA4" w:rsidRDefault="007B59ED" w:rsidP="00206C45">
            <w:pPr>
              <w:spacing w:after="0" w:line="300" w:lineRule="auto"/>
              <w:jc w:val="center"/>
              <w:rPr>
                <w:rFonts w:eastAsia="Times New Roman" w:cs="Calibri"/>
                <w:b/>
                <w:bCs/>
                <w:i/>
                <w:iCs/>
                <w:color w:val="595959" w:themeColor="text1" w:themeTint="A6"/>
                <w:sz w:val="21"/>
                <w:szCs w:val="21"/>
              </w:rPr>
            </w:pPr>
            <w:r w:rsidRPr="00C64BA4">
              <w:rPr>
                <w:rFonts w:eastAsia="Times New Roman" w:cs="Calibri"/>
                <w:b/>
                <w:bCs/>
                <w:i/>
                <w:iCs/>
                <w:color w:val="595959" w:themeColor="text1" w:themeTint="A6"/>
                <w:sz w:val="21"/>
                <w:szCs w:val="21"/>
              </w:rPr>
              <w:t xml:space="preserve">Positive Percentages Represent a Surplus of Units </w:t>
            </w:r>
            <w:r w:rsidR="005270F0">
              <w:rPr>
                <w:rFonts w:eastAsia="Times New Roman" w:cs="Calibri"/>
                <w:b/>
                <w:bCs/>
                <w:i/>
                <w:iCs/>
                <w:color w:val="595959" w:themeColor="text1" w:themeTint="A6"/>
                <w:sz w:val="21"/>
                <w:szCs w:val="21"/>
              </w:rPr>
              <w:t>i</w:t>
            </w:r>
            <w:r w:rsidRPr="00C64BA4">
              <w:rPr>
                <w:rFonts w:eastAsia="Times New Roman" w:cs="Calibri"/>
                <w:b/>
                <w:bCs/>
                <w:i/>
                <w:iCs/>
                <w:color w:val="595959" w:themeColor="text1" w:themeTint="A6"/>
                <w:sz w:val="21"/>
                <w:szCs w:val="21"/>
              </w:rPr>
              <w:t xml:space="preserve">n That Price Range. Negative Percentages Represent </w:t>
            </w:r>
            <w:r w:rsidR="005270F0">
              <w:rPr>
                <w:rFonts w:eastAsia="Times New Roman" w:cs="Calibri"/>
                <w:b/>
                <w:bCs/>
                <w:i/>
                <w:iCs/>
                <w:color w:val="595959" w:themeColor="text1" w:themeTint="A6"/>
                <w:sz w:val="21"/>
                <w:szCs w:val="21"/>
              </w:rPr>
              <w:t>a</w:t>
            </w:r>
            <w:r w:rsidRPr="00C64BA4">
              <w:rPr>
                <w:rFonts w:eastAsia="Times New Roman" w:cs="Calibri"/>
                <w:b/>
                <w:bCs/>
                <w:i/>
                <w:iCs/>
                <w:color w:val="595959" w:themeColor="text1" w:themeTint="A6"/>
                <w:sz w:val="21"/>
                <w:szCs w:val="21"/>
              </w:rPr>
              <w:t xml:space="preserve"> Shortage.</w:t>
            </w:r>
          </w:p>
        </w:tc>
        <w:tc>
          <w:tcPr>
            <w:tcW w:w="1314" w:type="dxa"/>
            <w:tcBorders>
              <w:top w:val="nil"/>
              <w:left w:val="nil"/>
              <w:bottom w:val="nil"/>
              <w:right w:val="nil"/>
            </w:tcBorders>
            <w:shd w:val="clear" w:color="auto" w:fill="auto"/>
            <w:vAlign w:val="bottom"/>
            <w:hideMark/>
          </w:tcPr>
          <w:p w14:paraId="2BFA5DD2" w14:textId="77777777" w:rsidR="007B59ED" w:rsidRPr="00C64BA4" w:rsidRDefault="007B59ED" w:rsidP="00206C45">
            <w:pPr>
              <w:spacing w:after="0" w:line="300" w:lineRule="auto"/>
              <w:jc w:val="center"/>
              <w:rPr>
                <w:rFonts w:eastAsia="Times New Roman" w:cs="Calibri"/>
                <w:b/>
                <w:bCs/>
                <w:i/>
                <w:iCs/>
                <w:color w:val="595959" w:themeColor="text1" w:themeTint="A6"/>
                <w:sz w:val="21"/>
                <w:szCs w:val="21"/>
              </w:rPr>
            </w:pPr>
          </w:p>
        </w:tc>
      </w:tr>
      <w:tr w:rsidR="007B59ED" w:rsidRPr="00C64BA4" w14:paraId="763BFF91" w14:textId="77777777" w:rsidTr="00D65D0C">
        <w:trPr>
          <w:trHeight w:val="285"/>
        </w:trPr>
        <w:tc>
          <w:tcPr>
            <w:tcW w:w="1445" w:type="dxa"/>
            <w:tcBorders>
              <w:top w:val="nil"/>
              <w:left w:val="nil"/>
              <w:bottom w:val="nil"/>
              <w:right w:val="nil"/>
            </w:tcBorders>
            <w:shd w:val="clear" w:color="auto" w:fill="auto"/>
            <w:noWrap/>
            <w:vAlign w:val="bottom"/>
            <w:hideMark/>
          </w:tcPr>
          <w:p w14:paraId="4C633763"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727" w:type="dxa"/>
            <w:tcBorders>
              <w:top w:val="nil"/>
              <w:left w:val="nil"/>
              <w:bottom w:val="nil"/>
              <w:right w:val="nil"/>
            </w:tcBorders>
            <w:shd w:val="clear" w:color="auto" w:fill="auto"/>
            <w:noWrap/>
            <w:vAlign w:val="bottom"/>
            <w:hideMark/>
          </w:tcPr>
          <w:p w14:paraId="1550BDD7"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1219" w:type="dxa"/>
            <w:tcBorders>
              <w:top w:val="nil"/>
              <w:left w:val="nil"/>
              <w:bottom w:val="nil"/>
              <w:right w:val="nil"/>
            </w:tcBorders>
            <w:shd w:val="clear" w:color="auto" w:fill="auto"/>
            <w:noWrap/>
            <w:vAlign w:val="bottom"/>
            <w:hideMark/>
          </w:tcPr>
          <w:p w14:paraId="558F91A8"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1205" w:type="dxa"/>
            <w:tcBorders>
              <w:top w:val="nil"/>
              <w:left w:val="nil"/>
              <w:bottom w:val="nil"/>
              <w:right w:val="nil"/>
            </w:tcBorders>
            <w:shd w:val="clear" w:color="auto" w:fill="auto"/>
            <w:noWrap/>
            <w:vAlign w:val="bottom"/>
            <w:hideMark/>
          </w:tcPr>
          <w:p w14:paraId="7FD3CED7"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1153" w:type="dxa"/>
            <w:tcBorders>
              <w:top w:val="nil"/>
              <w:left w:val="nil"/>
              <w:bottom w:val="nil"/>
              <w:right w:val="nil"/>
            </w:tcBorders>
            <w:shd w:val="clear" w:color="auto" w:fill="auto"/>
            <w:noWrap/>
            <w:vAlign w:val="bottom"/>
            <w:hideMark/>
          </w:tcPr>
          <w:p w14:paraId="7BB3151F"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1111" w:type="dxa"/>
            <w:tcBorders>
              <w:top w:val="nil"/>
              <w:left w:val="nil"/>
              <w:bottom w:val="nil"/>
              <w:right w:val="nil"/>
            </w:tcBorders>
            <w:shd w:val="clear" w:color="auto" w:fill="auto"/>
            <w:noWrap/>
            <w:vAlign w:val="bottom"/>
            <w:hideMark/>
          </w:tcPr>
          <w:p w14:paraId="203E52C1"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1196" w:type="dxa"/>
            <w:tcBorders>
              <w:top w:val="nil"/>
              <w:left w:val="nil"/>
              <w:bottom w:val="nil"/>
              <w:right w:val="nil"/>
            </w:tcBorders>
            <w:shd w:val="clear" w:color="auto" w:fill="auto"/>
            <w:noWrap/>
            <w:vAlign w:val="bottom"/>
            <w:hideMark/>
          </w:tcPr>
          <w:p w14:paraId="11F97FC5"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1210" w:type="dxa"/>
            <w:tcBorders>
              <w:top w:val="nil"/>
              <w:left w:val="nil"/>
              <w:bottom w:val="nil"/>
              <w:right w:val="nil"/>
            </w:tcBorders>
            <w:shd w:val="clear" w:color="auto" w:fill="auto"/>
            <w:noWrap/>
            <w:vAlign w:val="bottom"/>
            <w:hideMark/>
          </w:tcPr>
          <w:p w14:paraId="2BA77140"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1314" w:type="dxa"/>
            <w:tcBorders>
              <w:top w:val="nil"/>
              <w:left w:val="nil"/>
              <w:bottom w:val="nil"/>
              <w:right w:val="nil"/>
            </w:tcBorders>
            <w:shd w:val="clear" w:color="auto" w:fill="auto"/>
            <w:noWrap/>
            <w:vAlign w:val="bottom"/>
            <w:hideMark/>
          </w:tcPr>
          <w:p w14:paraId="51B05F11"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r>
      <w:tr w:rsidR="007B59ED" w:rsidRPr="00C64BA4" w14:paraId="7DE4AADD" w14:textId="77777777" w:rsidTr="00D65D0C">
        <w:trPr>
          <w:trHeight w:val="285"/>
        </w:trPr>
        <w:tc>
          <w:tcPr>
            <w:tcW w:w="1445" w:type="dxa"/>
            <w:tcBorders>
              <w:top w:val="nil"/>
              <w:left w:val="nil"/>
              <w:bottom w:val="nil"/>
              <w:right w:val="nil"/>
            </w:tcBorders>
            <w:shd w:val="clear" w:color="auto" w:fill="auto"/>
            <w:noWrap/>
            <w:vAlign w:val="bottom"/>
            <w:hideMark/>
          </w:tcPr>
          <w:p w14:paraId="76C84932"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727" w:type="dxa"/>
            <w:tcBorders>
              <w:top w:val="nil"/>
              <w:left w:val="nil"/>
              <w:bottom w:val="nil"/>
              <w:right w:val="nil"/>
            </w:tcBorders>
            <w:shd w:val="clear" w:color="auto" w:fill="auto"/>
            <w:noWrap/>
            <w:vAlign w:val="bottom"/>
            <w:hideMark/>
          </w:tcPr>
          <w:p w14:paraId="7CACF62D" w14:textId="77777777" w:rsidR="007B59ED" w:rsidRPr="00C64BA4" w:rsidRDefault="007B59ED" w:rsidP="00206C45">
            <w:pPr>
              <w:spacing w:after="0" w:line="300" w:lineRule="auto"/>
              <w:rPr>
                <w:rFonts w:eastAsia="Times New Roman" w:cs="Times New Roman"/>
                <w:b/>
                <w:bCs/>
                <w:color w:val="595959" w:themeColor="text1" w:themeTint="A6"/>
                <w:sz w:val="20"/>
                <w:szCs w:val="20"/>
              </w:rPr>
            </w:pPr>
          </w:p>
        </w:tc>
        <w:tc>
          <w:tcPr>
            <w:tcW w:w="8408" w:type="dxa"/>
            <w:gridSpan w:val="7"/>
            <w:tcBorders>
              <w:top w:val="nil"/>
              <w:left w:val="nil"/>
              <w:bottom w:val="nil"/>
              <w:right w:val="nil"/>
            </w:tcBorders>
            <w:shd w:val="clear" w:color="auto" w:fill="auto"/>
            <w:noWrap/>
            <w:vAlign w:val="bottom"/>
            <w:hideMark/>
          </w:tcPr>
          <w:p w14:paraId="126D15A9" w14:textId="77777777" w:rsidR="007B59ED" w:rsidRPr="00C64BA4" w:rsidRDefault="007B59ED" w:rsidP="00206C45">
            <w:pPr>
              <w:spacing w:after="0" w:line="300" w:lineRule="auto"/>
              <w:jc w:val="center"/>
              <w:rPr>
                <w:rFonts w:eastAsia="Times New Roman" w:cs="Calibri"/>
                <w:b/>
                <w:bCs/>
                <w:color w:val="595959" w:themeColor="text1" w:themeTint="A6"/>
              </w:rPr>
            </w:pPr>
            <w:r w:rsidRPr="00C64BA4">
              <w:rPr>
                <w:rFonts w:eastAsia="Times New Roman" w:cs="Calibri"/>
                <w:b/>
                <w:bCs/>
                <w:color w:val="595959" w:themeColor="text1" w:themeTint="A6"/>
              </w:rPr>
              <w:t>Household Income As % of Area Median Income (AMI)</w:t>
            </w:r>
          </w:p>
        </w:tc>
      </w:tr>
      <w:tr w:rsidR="007B59ED" w:rsidRPr="00C64BA4" w14:paraId="4D7959EC" w14:textId="77777777" w:rsidTr="00D65D0C">
        <w:trPr>
          <w:trHeight w:val="285"/>
        </w:trPr>
        <w:tc>
          <w:tcPr>
            <w:tcW w:w="1445" w:type="dxa"/>
            <w:tcBorders>
              <w:top w:val="nil"/>
              <w:left w:val="nil"/>
              <w:bottom w:val="single" w:sz="4" w:space="0" w:color="auto"/>
              <w:right w:val="nil"/>
            </w:tcBorders>
            <w:shd w:val="clear" w:color="auto" w:fill="auto"/>
            <w:noWrap/>
            <w:vAlign w:val="bottom"/>
            <w:hideMark/>
          </w:tcPr>
          <w:p w14:paraId="487BE283" w14:textId="77777777" w:rsidR="007B59ED" w:rsidRPr="00C64BA4" w:rsidRDefault="007B59ED" w:rsidP="00206C45">
            <w:pPr>
              <w:spacing w:after="0" w:line="300" w:lineRule="auto"/>
              <w:rPr>
                <w:rFonts w:eastAsia="Times New Roman" w:cs="Calibri"/>
                <w:b/>
                <w:bCs/>
                <w:color w:val="595959" w:themeColor="text1" w:themeTint="A6"/>
              </w:rPr>
            </w:pPr>
            <w:r w:rsidRPr="00C64BA4">
              <w:rPr>
                <w:rFonts w:eastAsia="Times New Roman" w:cs="Calibri"/>
                <w:b/>
                <w:bCs/>
                <w:color w:val="595959" w:themeColor="text1" w:themeTint="A6"/>
              </w:rPr>
              <w:t> </w:t>
            </w:r>
          </w:p>
        </w:tc>
        <w:tc>
          <w:tcPr>
            <w:tcW w:w="727" w:type="dxa"/>
            <w:tcBorders>
              <w:top w:val="nil"/>
              <w:left w:val="nil"/>
              <w:bottom w:val="single" w:sz="4" w:space="0" w:color="auto"/>
              <w:right w:val="nil"/>
            </w:tcBorders>
            <w:shd w:val="clear" w:color="auto" w:fill="auto"/>
            <w:noWrap/>
            <w:vAlign w:val="bottom"/>
            <w:hideMark/>
          </w:tcPr>
          <w:p w14:paraId="53AD89BD" w14:textId="77777777" w:rsidR="007B59ED" w:rsidRPr="00C64BA4" w:rsidRDefault="007B59ED" w:rsidP="00206C45">
            <w:pPr>
              <w:spacing w:after="0" w:line="300" w:lineRule="auto"/>
              <w:rPr>
                <w:rFonts w:eastAsia="Times New Roman" w:cs="Calibri"/>
                <w:b/>
                <w:bCs/>
                <w:color w:val="595959" w:themeColor="text1" w:themeTint="A6"/>
              </w:rPr>
            </w:pPr>
            <w:r w:rsidRPr="00C64BA4">
              <w:rPr>
                <w:rFonts w:eastAsia="Times New Roman" w:cs="Calibri"/>
                <w:b/>
                <w:bCs/>
                <w:color w:val="595959" w:themeColor="text1" w:themeTint="A6"/>
              </w:rPr>
              <w:t> </w:t>
            </w:r>
          </w:p>
        </w:tc>
        <w:tc>
          <w:tcPr>
            <w:tcW w:w="1219" w:type="dxa"/>
            <w:tcBorders>
              <w:top w:val="nil"/>
              <w:left w:val="nil"/>
              <w:bottom w:val="single" w:sz="4" w:space="0" w:color="auto"/>
              <w:right w:val="nil"/>
            </w:tcBorders>
            <w:shd w:val="clear" w:color="auto" w:fill="auto"/>
            <w:vAlign w:val="bottom"/>
            <w:hideMark/>
          </w:tcPr>
          <w:p w14:paraId="438A02CF" w14:textId="77777777" w:rsidR="007B59ED" w:rsidRPr="00C64BA4" w:rsidRDefault="007B59ED" w:rsidP="00206C45">
            <w:pPr>
              <w:spacing w:after="0" w:line="300" w:lineRule="auto"/>
              <w:jc w:val="center"/>
              <w:rPr>
                <w:rFonts w:eastAsia="Times New Roman" w:cs="Calibri"/>
                <w:b/>
                <w:bCs/>
                <w:color w:val="595959" w:themeColor="text1" w:themeTint="A6"/>
              </w:rPr>
            </w:pPr>
            <w:r w:rsidRPr="00C64BA4">
              <w:rPr>
                <w:rFonts w:eastAsia="Times New Roman" w:cs="Calibri"/>
                <w:b/>
                <w:bCs/>
                <w:color w:val="595959" w:themeColor="text1" w:themeTint="A6"/>
              </w:rPr>
              <w:t>0-30%</w:t>
            </w:r>
          </w:p>
        </w:tc>
        <w:tc>
          <w:tcPr>
            <w:tcW w:w="1205" w:type="dxa"/>
            <w:tcBorders>
              <w:top w:val="nil"/>
              <w:left w:val="nil"/>
              <w:bottom w:val="single" w:sz="4" w:space="0" w:color="auto"/>
              <w:right w:val="nil"/>
            </w:tcBorders>
            <w:shd w:val="clear" w:color="auto" w:fill="auto"/>
            <w:vAlign w:val="bottom"/>
            <w:hideMark/>
          </w:tcPr>
          <w:p w14:paraId="209A8F4D" w14:textId="77777777" w:rsidR="007B59ED" w:rsidRPr="00C64BA4" w:rsidRDefault="007B59ED" w:rsidP="00206C45">
            <w:pPr>
              <w:spacing w:after="0" w:line="300" w:lineRule="auto"/>
              <w:jc w:val="center"/>
              <w:rPr>
                <w:rFonts w:eastAsia="Times New Roman" w:cs="Calibri"/>
                <w:b/>
                <w:bCs/>
                <w:color w:val="595959" w:themeColor="text1" w:themeTint="A6"/>
              </w:rPr>
            </w:pPr>
            <w:r w:rsidRPr="00C64BA4">
              <w:rPr>
                <w:rFonts w:eastAsia="Times New Roman" w:cs="Calibri"/>
                <w:b/>
                <w:bCs/>
                <w:color w:val="595959" w:themeColor="text1" w:themeTint="A6"/>
              </w:rPr>
              <w:t>31-50%</w:t>
            </w:r>
          </w:p>
        </w:tc>
        <w:tc>
          <w:tcPr>
            <w:tcW w:w="1153" w:type="dxa"/>
            <w:tcBorders>
              <w:top w:val="nil"/>
              <w:left w:val="nil"/>
              <w:bottom w:val="single" w:sz="4" w:space="0" w:color="auto"/>
              <w:right w:val="nil"/>
            </w:tcBorders>
            <w:shd w:val="clear" w:color="auto" w:fill="auto"/>
            <w:vAlign w:val="bottom"/>
            <w:hideMark/>
          </w:tcPr>
          <w:p w14:paraId="6478371D" w14:textId="77777777" w:rsidR="007B59ED" w:rsidRPr="00C64BA4" w:rsidRDefault="007B59ED" w:rsidP="00206C45">
            <w:pPr>
              <w:spacing w:after="0" w:line="300" w:lineRule="auto"/>
              <w:jc w:val="center"/>
              <w:rPr>
                <w:rFonts w:eastAsia="Times New Roman" w:cs="Calibri"/>
                <w:b/>
                <w:bCs/>
                <w:color w:val="595959" w:themeColor="text1" w:themeTint="A6"/>
              </w:rPr>
            </w:pPr>
            <w:r w:rsidRPr="00C64BA4">
              <w:rPr>
                <w:rFonts w:eastAsia="Times New Roman" w:cs="Calibri"/>
                <w:b/>
                <w:bCs/>
                <w:color w:val="595959" w:themeColor="text1" w:themeTint="A6"/>
              </w:rPr>
              <w:t>51-60%</w:t>
            </w:r>
          </w:p>
        </w:tc>
        <w:tc>
          <w:tcPr>
            <w:tcW w:w="1111" w:type="dxa"/>
            <w:tcBorders>
              <w:top w:val="nil"/>
              <w:left w:val="nil"/>
              <w:bottom w:val="single" w:sz="4" w:space="0" w:color="auto"/>
              <w:right w:val="nil"/>
            </w:tcBorders>
            <w:shd w:val="clear" w:color="auto" w:fill="auto"/>
            <w:vAlign w:val="bottom"/>
            <w:hideMark/>
          </w:tcPr>
          <w:p w14:paraId="72E751F0" w14:textId="77777777" w:rsidR="007B59ED" w:rsidRPr="00C64BA4" w:rsidRDefault="007B59ED" w:rsidP="00206C45">
            <w:pPr>
              <w:spacing w:after="0" w:line="300" w:lineRule="auto"/>
              <w:jc w:val="center"/>
              <w:rPr>
                <w:rFonts w:eastAsia="Times New Roman" w:cs="Calibri"/>
                <w:b/>
                <w:bCs/>
                <w:color w:val="595959" w:themeColor="text1" w:themeTint="A6"/>
              </w:rPr>
            </w:pPr>
            <w:r w:rsidRPr="00C64BA4">
              <w:rPr>
                <w:rFonts w:eastAsia="Times New Roman" w:cs="Calibri"/>
                <w:b/>
                <w:bCs/>
                <w:color w:val="595959" w:themeColor="text1" w:themeTint="A6"/>
              </w:rPr>
              <w:t>61-80%</w:t>
            </w:r>
          </w:p>
        </w:tc>
        <w:tc>
          <w:tcPr>
            <w:tcW w:w="1196" w:type="dxa"/>
            <w:tcBorders>
              <w:top w:val="nil"/>
              <w:left w:val="nil"/>
              <w:bottom w:val="single" w:sz="4" w:space="0" w:color="auto"/>
              <w:right w:val="nil"/>
            </w:tcBorders>
            <w:shd w:val="clear" w:color="auto" w:fill="auto"/>
            <w:vAlign w:val="bottom"/>
            <w:hideMark/>
          </w:tcPr>
          <w:p w14:paraId="2F3F4E70" w14:textId="77777777" w:rsidR="007B59ED" w:rsidRPr="00C64BA4" w:rsidRDefault="007B59ED" w:rsidP="00206C45">
            <w:pPr>
              <w:spacing w:after="0" w:line="300" w:lineRule="auto"/>
              <w:jc w:val="center"/>
              <w:rPr>
                <w:rFonts w:eastAsia="Times New Roman" w:cs="Calibri"/>
                <w:b/>
                <w:bCs/>
                <w:color w:val="595959" w:themeColor="text1" w:themeTint="A6"/>
              </w:rPr>
            </w:pPr>
            <w:r w:rsidRPr="00C64BA4">
              <w:rPr>
                <w:rFonts w:eastAsia="Times New Roman" w:cs="Calibri"/>
                <w:b/>
                <w:bCs/>
                <w:color w:val="595959" w:themeColor="text1" w:themeTint="A6"/>
              </w:rPr>
              <w:t>81-100%</w:t>
            </w:r>
          </w:p>
        </w:tc>
        <w:tc>
          <w:tcPr>
            <w:tcW w:w="1210" w:type="dxa"/>
            <w:tcBorders>
              <w:top w:val="nil"/>
              <w:left w:val="nil"/>
              <w:bottom w:val="single" w:sz="4" w:space="0" w:color="auto"/>
              <w:right w:val="nil"/>
            </w:tcBorders>
            <w:shd w:val="clear" w:color="auto" w:fill="auto"/>
            <w:vAlign w:val="bottom"/>
            <w:hideMark/>
          </w:tcPr>
          <w:p w14:paraId="2AB0E80B" w14:textId="77777777" w:rsidR="007B59ED" w:rsidRPr="00C64BA4" w:rsidRDefault="007B59ED" w:rsidP="00206C45">
            <w:pPr>
              <w:spacing w:after="0" w:line="300" w:lineRule="auto"/>
              <w:jc w:val="center"/>
              <w:rPr>
                <w:rFonts w:eastAsia="Times New Roman" w:cs="Calibri"/>
                <w:b/>
                <w:bCs/>
                <w:color w:val="595959" w:themeColor="text1" w:themeTint="A6"/>
              </w:rPr>
            </w:pPr>
            <w:r w:rsidRPr="00C64BA4">
              <w:rPr>
                <w:rFonts w:eastAsia="Times New Roman" w:cs="Calibri"/>
                <w:b/>
                <w:bCs/>
                <w:color w:val="595959" w:themeColor="text1" w:themeTint="A6"/>
              </w:rPr>
              <w:t>101-120%</w:t>
            </w:r>
          </w:p>
        </w:tc>
        <w:tc>
          <w:tcPr>
            <w:tcW w:w="1314" w:type="dxa"/>
            <w:tcBorders>
              <w:top w:val="nil"/>
              <w:left w:val="nil"/>
              <w:bottom w:val="single" w:sz="4" w:space="0" w:color="auto"/>
              <w:right w:val="nil"/>
            </w:tcBorders>
            <w:shd w:val="clear" w:color="auto" w:fill="auto"/>
            <w:vAlign w:val="bottom"/>
            <w:hideMark/>
          </w:tcPr>
          <w:p w14:paraId="5FC2C12A" w14:textId="77777777" w:rsidR="007B59ED" w:rsidRPr="00C64BA4" w:rsidRDefault="007B59ED" w:rsidP="00206C45">
            <w:pPr>
              <w:spacing w:after="0" w:line="300" w:lineRule="auto"/>
              <w:jc w:val="center"/>
              <w:rPr>
                <w:rFonts w:eastAsia="Times New Roman" w:cs="Calibri"/>
                <w:b/>
                <w:bCs/>
                <w:color w:val="595959" w:themeColor="text1" w:themeTint="A6"/>
              </w:rPr>
            </w:pPr>
            <w:r w:rsidRPr="00C64BA4">
              <w:rPr>
                <w:rFonts w:eastAsia="Times New Roman" w:cs="Calibri"/>
                <w:b/>
                <w:bCs/>
                <w:color w:val="595959" w:themeColor="text1" w:themeTint="A6"/>
              </w:rPr>
              <w:t>120%+</w:t>
            </w:r>
          </w:p>
        </w:tc>
      </w:tr>
      <w:tr w:rsidR="007B59ED" w:rsidRPr="00C64BA4" w14:paraId="02EA123A" w14:textId="77777777" w:rsidTr="00D65D0C">
        <w:trPr>
          <w:trHeight w:val="285"/>
        </w:trPr>
        <w:tc>
          <w:tcPr>
            <w:tcW w:w="1445" w:type="dxa"/>
            <w:vMerge w:val="restart"/>
            <w:tcBorders>
              <w:top w:val="nil"/>
              <w:left w:val="nil"/>
              <w:bottom w:val="single" w:sz="8" w:space="0" w:color="000000"/>
              <w:right w:val="nil"/>
            </w:tcBorders>
            <w:shd w:val="clear" w:color="auto" w:fill="auto"/>
            <w:noWrap/>
            <w:vAlign w:val="center"/>
            <w:hideMark/>
          </w:tcPr>
          <w:p w14:paraId="437BA1A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Manchester</w:t>
            </w:r>
          </w:p>
        </w:tc>
        <w:tc>
          <w:tcPr>
            <w:tcW w:w="727" w:type="dxa"/>
            <w:tcBorders>
              <w:top w:val="nil"/>
              <w:left w:val="nil"/>
              <w:bottom w:val="single" w:sz="4" w:space="0" w:color="auto"/>
              <w:right w:val="nil"/>
            </w:tcBorders>
            <w:shd w:val="clear" w:color="auto" w:fill="auto"/>
            <w:noWrap/>
            <w:vAlign w:val="bottom"/>
            <w:hideMark/>
          </w:tcPr>
          <w:p w14:paraId="78F470B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2010</w:t>
            </w:r>
          </w:p>
        </w:tc>
        <w:tc>
          <w:tcPr>
            <w:tcW w:w="1219" w:type="dxa"/>
            <w:tcBorders>
              <w:top w:val="single" w:sz="4" w:space="0" w:color="auto"/>
              <w:left w:val="nil"/>
              <w:bottom w:val="single" w:sz="4" w:space="0" w:color="auto"/>
              <w:right w:val="nil"/>
            </w:tcBorders>
            <w:shd w:val="clear" w:color="000000" w:fill="5A8AC6"/>
            <w:noWrap/>
            <w:vAlign w:val="bottom"/>
            <w:hideMark/>
          </w:tcPr>
          <w:p w14:paraId="5495AE91"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-30%</w:t>
            </w:r>
          </w:p>
        </w:tc>
        <w:tc>
          <w:tcPr>
            <w:tcW w:w="1205" w:type="dxa"/>
            <w:tcBorders>
              <w:top w:val="single" w:sz="4" w:space="0" w:color="auto"/>
              <w:left w:val="nil"/>
              <w:bottom w:val="single" w:sz="4" w:space="0" w:color="auto"/>
              <w:right w:val="nil"/>
            </w:tcBorders>
            <w:shd w:val="clear" w:color="000000" w:fill="B6CBE6"/>
            <w:noWrap/>
            <w:vAlign w:val="bottom"/>
            <w:hideMark/>
          </w:tcPr>
          <w:p w14:paraId="0D56DB9A"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-10%</w:t>
            </w:r>
          </w:p>
        </w:tc>
        <w:tc>
          <w:tcPr>
            <w:tcW w:w="1153" w:type="dxa"/>
            <w:tcBorders>
              <w:top w:val="single" w:sz="4" w:space="0" w:color="auto"/>
              <w:left w:val="nil"/>
              <w:bottom w:val="single" w:sz="4" w:space="0" w:color="auto"/>
              <w:right w:val="nil"/>
            </w:tcBorders>
            <w:shd w:val="clear" w:color="000000" w:fill="EEF2FA"/>
            <w:noWrap/>
            <w:vAlign w:val="bottom"/>
            <w:hideMark/>
          </w:tcPr>
          <w:p w14:paraId="58335E23"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w:t>
            </w:r>
          </w:p>
        </w:tc>
        <w:tc>
          <w:tcPr>
            <w:tcW w:w="1111" w:type="dxa"/>
            <w:tcBorders>
              <w:top w:val="single" w:sz="4" w:space="0" w:color="auto"/>
              <w:left w:val="nil"/>
              <w:bottom w:val="single" w:sz="4" w:space="0" w:color="auto"/>
              <w:right w:val="nil"/>
            </w:tcBorders>
            <w:shd w:val="clear" w:color="000000" w:fill="FBD5D8"/>
            <w:noWrap/>
            <w:vAlign w:val="bottom"/>
            <w:hideMark/>
          </w:tcPr>
          <w:p w14:paraId="45AF5196"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c>
          <w:tcPr>
            <w:tcW w:w="1196" w:type="dxa"/>
            <w:tcBorders>
              <w:top w:val="single" w:sz="4" w:space="0" w:color="auto"/>
              <w:left w:val="nil"/>
              <w:bottom w:val="single" w:sz="4" w:space="0" w:color="auto"/>
              <w:right w:val="nil"/>
            </w:tcBorders>
            <w:shd w:val="clear" w:color="000000" w:fill="FBB8BA"/>
            <w:noWrap/>
            <w:vAlign w:val="bottom"/>
            <w:hideMark/>
          </w:tcPr>
          <w:p w14:paraId="71D9BE68"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12%</w:t>
            </w:r>
          </w:p>
        </w:tc>
        <w:tc>
          <w:tcPr>
            <w:tcW w:w="1210" w:type="dxa"/>
            <w:tcBorders>
              <w:top w:val="single" w:sz="4" w:space="0" w:color="auto"/>
              <w:left w:val="nil"/>
              <w:bottom w:val="single" w:sz="4" w:space="0" w:color="auto"/>
              <w:right w:val="nil"/>
            </w:tcBorders>
            <w:shd w:val="clear" w:color="000000" w:fill="FCDFE2"/>
            <w:noWrap/>
            <w:vAlign w:val="bottom"/>
            <w:hideMark/>
          </w:tcPr>
          <w:p w14:paraId="496A9098"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8%</w:t>
            </w:r>
          </w:p>
        </w:tc>
        <w:tc>
          <w:tcPr>
            <w:tcW w:w="1314" w:type="dxa"/>
            <w:tcBorders>
              <w:top w:val="single" w:sz="4" w:space="0" w:color="auto"/>
              <w:left w:val="nil"/>
              <w:bottom w:val="single" w:sz="4" w:space="0" w:color="auto"/>
              <w:right w:val="nil"/>
            </w:tcBorders>
            <w:shd w:val="clear" w:color="000000" w:fill="FBD5D8"/>
            <w:noWrap/>
            <w:vAlign w:val="bottom"/>
            <w:hideMark/>
          </w:tcPr>
          <w:p w14:paraId="1839F7F4"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r>
      <w:tr w:rsidR="007B59ED" w:rsidRPr="00C64BA4" w14:paraId="2788701A" w14:textId="77777777" w:rsidTr="00D65D0C">
        <w:trPr>
          <w:trHeight w:val="300"/>
        </w:trPr>
        <w:tc>
          <w:tcPr>
            <w:tcW w:w="1445" w:type="dxa"/>
            <w:vMerge/>
            <w:tcBorders>
              <w:top w:val="nil"/>
              <w:left w:val="nil"/>
              <w:bottom w:val="single" w:sz="12" w:space="0" w:color="404040" w:themeColor="text1" w:themeTint="BF"/>
              <w:right w:val="nil"/>
            </w:tcBorders>
            <w:vAlign w:val="center"/>
            <w:hideMark/>
          </w:tcPr>
          <w:p w14:paraId="68C9F297" w14:textId="77777777" w:rsidR="007B59ED" w:rsidRPr="00C64BA4" w:rsidRDefault="007B59ED" w:rsidP="00206C45">
            <w:pPr>
              <w:spacing w:after="0" w:line="300" w:lineRule="auto"/>
              <w:rPr>
                <w:rFonts w:eastAsia="Times New Roman" w:cs="Calibri"/>
                <w:color w:val="000000"/>
              </w:rPr>
            </w:pPr>
          </w:p>
        </w:tc>
        <w:tc>
          <w:tcPr>
            <w:tcW w:w="727" w:type="dxa"/>
            <w:tcBorders>
              <w:top w:val="nil"/>
              <w:left w:val="nil"/>
              <w:bottom w:val="single" w:sz="12" w:space="0" w:color="404040" w:themeColor="text1" w:themeTint="BF"/>
              <w:right w:val="nil"/>
            </w:tcBorders>
            <w:shd w:val="clear" w:color="auto" w:fill="auto"/>
            <w:noWrap/>
            <w:vAlign w:val="bottom"/>
            <w:hideMark/>
          </w:tcPr>
          <w:p w14:paraId="266C7B8D"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2020</w:t>
            </w:r>
          </w:p>
        </w:tc>
        <w:tc>
          <w:tcPr>
            <w:tcW w:w="1219" w:type="dxa"/>
            <w:tcBorders>
              <w:top w:val="nil"/>
              <w:left w:val="nil"/>
              <w:bottom w:val="single" w:sz="12" w:space="0" w:color="404040" w:themeColor="text1" w:themeTint="BF"/>
              <w:right w:val="nil"/>
            </w:tcBorders>
            <w:shd w:val="clear" w:color="000000" w:fill="5E8DC7"/>
            <w:noWrap/>
            <w:vAlign w:val="bottom"/>
            <w:hideMark/>
          </w:tcPr>
          <w:p w14:paraId="2ACCA1E5"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-29%</w:t>
            </w:r>
          </w:p>
        </w:tc>
        <w:tc>
          <w:tcPr>
            <w:tcW w:w="1205" w:type="dxa"/>
            <w:tcBorders>
              <w:top w:val="nil"/>
              <w:left w:val="nil"/>
              <w:bottom w:val="single" w:sz="12" w:space="0" w:color="404040" w:themeColor="text1" w:themeTint="BF"/>
              <w:right w:val="nil"/>
            </w:tcBorders>
            <w:shd w:val="clear" w:color="000000" w:fill="A4BEE0"/>
            <w:noWrap/>
            <w:vAlign w:val="bottom"/>
            <w:hideMark/>
          </w:tcPr>
          <w:p w14:paraId="076BA796"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-14%</w:t>
            </w:r>
          </w:p>
        </w:tc>
        <w:tc>
          <w:tcPr>
            <w:tcW w:w="1153" w:type="dxa"/>
            <w:tcBorders>
              <w:top w:val="nil"/>
              <w:left w:val="nil"/>
              <w:bottom w:val="single" w:sz="12" w:space="0" w:color="404040" w:themeColor="text1" w:themeTint="BF"/>
              <w:right w:val="nil"/>
            </w:tcBorders>
            <w:shd w:val="clear" w:color="000000" w:fill="D6E1F1"/>
            <w:noWrap/>
            <w:vAlign w:val="bottom"/>
            <w:hideMark/>
          </w:tcPr>
          <w:p w14:paraId="4808CD5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-3%</w:t>
            </w:r>
          </w:p>
        </w:tc>
        <w:tc>
          <w:tcPr>
            <w:tcW w:w="1111" w:type="dxa"/>
            <w:tcBorders>
              <w:top w:val="nil"/>
              <w:left w:val="nil"/>
              <w:bottom w:val="single" w:sz="12" w:space="0" w:color="404040" w:themeColor="text1" w:themeTint="BF"/>
              <w:right w:val="nil"/>
            </w:tcBorders>
            <w:shd w:val="clear" w:color="000000" w:fill="D2DEF0"/>
            <w:noWrap/>
            <w:vAlign w:val="bottom"/>
            <w:hideMark/>
          </w:tcPr>
          <w:p w14:paraId="14BAE7D0"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-4%</w:t>
            </w:r>
          </w:p>
        </w:tc>
        <w:tc>
          <w:tcPr>
            <w:tcW w:w="1196" w:type="dxa"/>
            <w:tcBorders>
              <w:top w:val="nil"/>
              <w:left w:val="nil"/>
              <w:bottom w:val="single" w:sz="12" w:space="0" w:color="404040" w:themeColor="text1" w:themeTint="BF"/>
              <w:right w:val="nil"/>
            </w:tcBorders>
            <w:shd w:val="clear" w:color="000000" w:fill="FBB8BA"/>
            <w:noWrap/>
            <w:vAlign w:val="bottom"/>
            <w:hideMark/>
          </w:tcPr>
          <w:p w14:paraId="615BE28A"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12%</w:t>
            </w:r>
          </w:p>
        </w:tc>
        <w:tc>
          <w:tcPr>
            <w:tcW w:w="1210" w:type="dxa"/>
            <w:tcBorders>
              <w:top w:val="nil"/>
              <w:left w:val="nil"/>
              <w:bottom w:val="single" w:sz="12" w:space="0" w:color="404040" w:themeColor="text1" w:themeTint="BF"/>
              <w:right w:val="nil"/>
            </w:tcBorders>
            <w:shd w:val="clear" w:color="000000" w:fill="F8696B"/>
            <w:noWrap/>
            <w:vAlign w:val="bottom"/>
            <w:hideMark/>
          </w:tcPr>
          <w:p w14:paraId="1D0EA904"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w:t>
            </w:r>
          </w:p>
        </w:tc>
        <w:tc>
          <w:tcPr>
            <w:tcW w:w="1314" w:type="dxa"/>
            <w:tcBorders>
              <w:top w:val="nil"/>
              <w:left w:val="nil"/>
              <w:bottom w:val="single" w:sz="12" w:space="0" w:color="404040" w:themeColor="text1" w:themeTint="BF"/>
              <w:right w:val="nil"/>
            </w:tcBorders>
            <w:shd w:val="clear" w:color="000000" w:fill="F97D7F"/>
            <w:noWrap/>
            <w:vAlign w:val="bottom"/>
            <w:hideMark/>
          </w:tcPr>
          <w:p w14:paraId="5676D2F9"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18%</w:t>
            </w:r>
          </w:p>
        </w:tc>
      </w:tr>
      <w:tr w:rsidR="007B59ED" w:rsidRPr="00C64BA4" w14:paraId="67E3A9AA" w14:textId="77777777" w:rsidTr="00D65D0C">
        <w:trPr>
          <w:trHeight w:val="285"/>
        </w:trPr>
        <w:tc>
          <w:tcPr>
            <w:tcW w:w="1445" w:type="dxa"/>
            <w:vMerge w:val="restart"/>
            <w:tcBorders>
              <w:top w:val="single" w:sz="12" w:space="0" w:color="404040" w:themeColor="text1" w:themeTint="BF"/>
              <w:left w:val="nil"/>
              <w:bottom w:val="single" w:sz="8" w:space="0" w:color="000000"/>
              <w:right w:val="nil"/>
            </w:tcBorders>
            <w:shd w:val="clear" w:color="auto" w:fill="auto"/>
            <w:noWrap/>
            <w:vAlign w:val="center"/>
            <w:hideMark/>
          </w:tcPr>
          <w:p w14:paraId="38416086"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SNHPC</w:t>
            </w:r>
          </w:p>
        </w:tc>
        <w:tc>
          <w:tcPr>
            <w:tcW w:w="727" w:type="dxa"/>
            <w:tcBorders>
              <w:top w:val="single" w:sz="12" w:space="0" w:color="404040" w:themeColor="text1" w:themeTint="BF"/>
              <w:left w:val="nil"/>
              <w:bottom w:val="single" w:sz="4" w:space="0" w:color="auto"/>
              <w:right w:val="nil"/>
            </w:tcBorders>
            <w:shd w:val="clear" w:color="auto" w:fill="auto"/>
            <w:noWrap/>
            <w:vAlign w:val="bottom"/>
            <w:hideMark/>
          </w:tcPr>
          <w:p w14:paraId="3F20CEA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2010</w:t>
            </w:r>
          </w:p>
        </w:tc>
        <w:tc>
          <w:tcPr>
            <w:tcW w:w="1219" w:type="dxa"/>
            <w:tcBorders>
              <w:top w:val="single" w:sz="12" w:space="0" w:color="404040" w:themeColor="text1" w:themeTint="BF"/>
              <w:left w:val="nil"/>
              <w:bottom w:val="single" w:sz="4" w:space="0" w:color="auto"/>
              <w:right w:val="nil"/>
            </w:tcBorders>
            <w:shd w:val="clear" w:color="000000" w:fill="5A8AC6"/>
            <w:noWrap/>
            <w:vAlign w:val="bottom"/>
            <w:hideMark/>
          </w:tcPr>
          <w:p w14:paraId="68A555BA"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-27%</w:t>
            </w:r>
          </w:p>
        </w:tc>
        <w:tc>
          <w:tcPr>
            <w:tcW w:w="1205" w:type="dxa"/>
            <w:tcBorders>
              <w:top w:val="single" w:sz="12" w:space="0" w:color="404040" w:themeColor="text1" w:themeTint="BF"/>
              <w:left w:val="nil"/>
              <w:bottom w:val="single" w:sz="4" w:space="0" w:color="auto"/>
              <w:right w:val="nil"/>
            </w:tcBorders>
            <w:shd w:val="clear" w:color="000000" w:fill="B1C7E4"/>
            <w:noWrap/>
            <w:vAlign w:val="bottom"/>
            <w:hideMark/>
          </w:tcPr>
          <w:p w14:paraId="29D6B815"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-11%</w:t>
            </w:r>
          </w:p>
        </w:tc>
        <w:tc>
          <w:tcPr>
            <w:tcW w:w="1153" w:type="dxa"/>
            <w:tcBorders>
              <w:top w:val="single" w:sz="12" w:space="0" w:color="404040" w:themeColor="text1" w:themeTint="BF"/>
              <w:left w:val="nil"/>
              <w:bottom w:val="single" w:sz="4" w:space="0" w:color="auto"/>
              <w:right w:val="nil"/>
            </w:tcBorders>
            <w:shd w:val="clear" w:color="000000" w:fill="EEF2FA"/>
            <w:noWrap/>
            <w:vAlign w:val="bottom"/>
            <w:hideMark/>
          </w:tcPr>
          <w:p w14:paraId="2D60CC9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0%</w:t>
            </w:r>
          </w:p>
        </w:tc>
        <w:tc>
          <w:tcPr>
            <w:tcW w:w="1111" w:type="dxa"/>
            <w:tcBorders>
              <w:top w:val="single" w:sz="12" w:space="0" w:color="404040" w:themeColor="text1" w:themeTint="BF"/>
              <w:left w:val="nil"/>
              <w:bottom w:val="single" w:sz="4" w:space="0" w:color="auto"/>
              <w:right w:val="nil"/>
            </w:tcBorders>
            <w:shd w:val="clear" w:color="000000" w:fill="FCEFF2"/>
            <w:noWrap/>
            <w:vAlign w:val="bottom"/>
            <w:hideMark/>
          </w:tcPr>
          <w:p w14:paraId="75961B04"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6%</w:t>
            </w:r>
          </w:p>
        </w:tc>
        <w:tc>
          <w:tcPr>
            <w:tcW w:w="1196" w:type="dxa"/>
            <w:tcBorders>
              <w:top w:val="single" w:sz="12" w:space="0" w:color="404040" w:themeColor="text1" w:themeTint="BF"/>
              <w:left w:val="nil"/>
              <w:bottom w:val="single" w:sz="4" w:space="0" w:color="auto"/>
              <w:right w:val="nil"/>
            </w:tcBorders>
            <w:shd w:val="clear" w:color="000000" w:fill="FCE4E7"/>
            <w:noWrap/>
            <w:vAlign w:val="bottom"/>
            <w:hideMark/>
          </w:tcPr>
          <w:p w14:paraId="1A9757F3"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c>
          <w:tcPr>
            <w:tcW w:w="1210" w:type="dxa"/>
            <w:tcBorders>
              <w:top w:val="single" w:sz="12" w:space="0" w:color="404040" w:themeColor="text1" w:themeTint="BF"/>
              <w:left w:val="nil"/>
              <w:bottom w:val="single" w:sz="4" w:space="0" w:color="auto"/>
              <w:right w:val="nil"/>
            </w:tcBorders>
            <w:shd w:val="clear" w:color="000000" w:fill="FCE8EB"/>
            <w:noWrap/>
            <w:vAlign w:val="bottom"/>
            <w:hideMark/>
          </w:tcPr>
          <w:p w14:paraId="3B15C38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8%</w:t>
            </w:r>
          </w:p>
        </w:tc>
        <w:tc>
          <w:tcPr>
            <w:tcW w:w="1314" w:type="dxa"/>
            <w:tcBorders>
              <w:top w:val="single" w:sz="12" w:space="0" w:color="404040" w:themeColor="text1" w:themeTint="BF"/>
              <w:left w:val="nil"/>
              <w:bottom w:val="single" w:sz="4" w:space="0" w:color="auto"/>
              <w:right w:val="nil"/>
            </w:tcBorders>
            <w:shd w:val="clear" w:color="000000" w:fill="FBCED1"/>
            <w:noWrap/>
            <w:vAlign w:val="bottom"/>
            <w:hideMark/>
          </w:tcPr>
          <w:p w14:paraId="4CFB8329"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15%</w:t>
            </w:r>
          </w:p>
        </w:tc>
      </w:tr>
      <w:tr w:rsidR="007B59ED" w:rsidRPr="00C64BA4" w14:paraId="0717A495" w14:textId="77777777" w:rsidTr="00D65D0C">
        <w:trPr>
          <w:trHeight w:val="300"/>
        </w:trPr>
        <w:tc>
          <w:tcPr>
            <w:tcW w:w="1445" w:type="dxa"/>
            <w:vMerge/>
            <w:tcBorders>
              <w:top w:val="nil"/>
              <w:left w:val="nil"/>
              <w:bottom w:val="single" w:sz="12" w:space="0" w:color="404040" w:themeColor="text1" w:themeTint="BF"/>
              <w:right w:val="nil"/>
            </w:tcBorders>
            <w:vAlign w:val="center"/>
            <w:hideMark/>
          </w:tcPr>
          <w:p w14:paraId="23F0BC92" w14:textId="77777777" w:rsidR="007B59ED" w:rsidRPr="00C64BA4" w:rsidRDefault="007B59ED" w:rsidP="00206C45">
            <w:pPr>
              <w:spacing w:after="0" w:line="300" w:lineRule="auto"/>
              <w:rPr>
                <w:rFonts w:eastAsia="Times New Roman" w:cs="Calibri"/>
                <w:color w:val="000000"/>
              </w:rPr>
            </w:pPr>
          </w:p>
        </w:tc>
        <w:tc>
          <w:tcPr>
            <w:tcW w:w="727" w:type="dxa"/>
            <w:tcBorders>
              <w:top w:val="nil"/>
              <w:left w:val="nil"/>
              <w:bottom w:val="single" w:sz="12" w:space="0" w:color="404040" w:themeColor="text1" w:themeTint="BF"/>
              <w:right w:val="nil"/>
            </w:tcBorders>
            <w:shd w:val="clear" w:color="auto" w:fill="auto"/>
            <w:noWrap/>
            <w:vAlign w:val="bottom"/>
            <w:hideMark/>
          </w:tcPr>
          <w:p w14:paraId="657EF066"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2020</w:t>
            </w:r>
          </w:p>
        </w:tc>
        <w:tc>
          <w:tcPr>
            <w:tcW w:w="1219" w:type="dxa"/>
            <w:tcBorders>
              <w:top w:val="nil"/>
              <w:left w:val="nil"/>
              <w:bottom w:val="single" w:sz="12" w:space="0" w:color="404040" w:themeColor="text1" w:themeTint="BF"/>
              <w:right w:val="nil"/>
            </w:tcBorders>
            <w:shd w:val="clear" w:color="000000" w:fill="5A8AC6"/>
            <w:noWrap/>
            <w:vAlign w:val="bottom"/>
            <w:hideMark/>
          </w:tcPr>
          <w:p w14:paraId="51D95E35"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-27%</w:t>
            </w:r>
          </w:p>
        </w:tc>
        <w:tc>
          <w:tcPr>
            <w:tcW w:w="1205" w:type="dxa"/>
            <w:tcBorders>
              <w:top w:val="nil"/>
              <w:left w:val="nil"/>
              <w:bottom w:val="single" w:sz="12" w:space="0" w:color="404040" w:themeColor="text1" w:themeTint="BF"/>
              <w:right w:val="nil"/>
            </w:tcBorders>
            <w:shd w:val="clear" w:color="000000" w:fill="90B0D9"/>
            <w:noWrap/>
            <w:vAlign w:val="bottom"/>
            <w:hideMark/>
          </w:tcPr>
          <w:p w14:paraId="1AFFF956"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-17%</w:t>
            </w:r>
          </w:p>
        </w:tc>
        <w:tc>
          <w:tcPr>
            <w:tcW w:w="1153" w:type="dxa"/>
            <w:tcBorders>
              <w:top w:val="nil"/>
              <w:left w:val="nil"/>
              <w:bottom w:val="single" w:sz="12" w:space="0" w:color="404040" w:themeColor="text1" w:themeTint="BF"/>
              <w:right w:val="nil"/>
            </w:tcBorders>
            <w:shd w:val="clear" w:color="000000" w:fill="CDDBEE"/>
            <w:noWrap/>
            <w:vAlign w:val="bottom"/>
            <w:hideMark/>
          </w:tcPr>
          <w:p w14:paraId="690D292A"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-6%</w:t>
            </w:r>
          </w:p>
        </w:tc>
        <w:tc>
          <w:tcPr>
            <w:tcW w:w="1111" w:type="dxa"/>
            <w:tcBorders>
              <w:top w:val="nil"/>
              <w:left w:val="nil"/>
              <w:bottom w:val="single" w:sz="12" w:space="0" w:color="404040" w:themeColor="text1" w:themeTint="BF"/>
              <w:right w:val="nil"/>
            </w:tcBorders>
            <w:shd w:val="clear" w:color="000000" w:fill="C2D3EA"/>
            <w:noWrap/>
            <w:vAlign w:val="bottom"/>
            <w:hideMark/>
          </w:tcPr>
          <w:p w14:paraId="38F110B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-8%</w:t>
            </w:r>
          </w:p>
        </w:tc>
        <w:tc>
          <w:tcPr>
            <w:tcW w:w="1196" w:type="dxa"/>
            <w:tcBorders>
              <w:top w:val="nil"/>
              <w:left w:val="nil"/>
              <w:bottom w:val="single" w:sz="12" w:space="0" w:color="404040" w:themeColor="text1" w:themeTint="BF"/>
              <w:right w:val="nil"/>
            </w:tcBorders>
            <w:shd w:val="clear" w:color="000000" w:fill="FCF3F6"/>
            <w:noWrap/>
            <w:vAlign w:val="bottom"/>
            <w:hideMark/>
          </w:tcPr>
          <w:p w14:paraId="131A2760"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5%</w:t>
            </w:r>
          </w:p>
        </w:tc>
        <w:tc>
          <w:tcPr>
            <w:tcW w:w="1210" w:type="dxa"/>
            <w:tcBorders>
              <w:top w:val="nil"/>
              <w:left w:val="nil"/>
              <w:bottom w:val="single" w:sz="12" w:space="0" w:color="404040" w:themeColor="text1" w:themeTint="BF"/>
              <w:right w:val="nil"/>
            </w:tcBorders>
            <w:shd w:val="clear" w:color="000000" w:fill="FCE1E3"/>
            <w:noWrap/>
            <w:vAlign w:val="bottom"/>
            <w:hideMark/>
          </w:tcPr>
          <w:p w14:paraId="6D6555E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10%</w:t>
            </w:r>
          </w:p>
        </w:tc>
        <w:tc>
          <w:tcPr>
            <w:tcW w:w="1314" w:type="dxa"/>
            <w:tcBorders>
              <w:top w:val="nil"/>
              <w:left w:val="nil"/>
              <w:bottom w:val="single" w:sz="12" w:space="0" w:color="404040" w:themeColor="text1" w:themeTint="BF"/>
              <w:right w:val="nil"/>
            </w:tcBorders>
            <w:shd w:val="clear" w:color="000000" w:fill="F8696B"/>
            <w:noWrap/>
            <w:vAlign w:val="bottom"/>
            <w:hideMark/>
          </w:tcPr>
          <w:p w14:paraId="639C87EE"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42%</w:t>
            </w:r>
          </w:p>
        </w:tc>
      </w:tr>
      <w:tr w:rsidR="007B59ED" w:rsidRPr="00C64BA4" w14:paraId="74D4311D" w14:textId="77777777" w:rsidTr="00D65D0C">
        <w:trPr>
          <w:trHeight w:val="285"/>
        </w:trPr>
        <w:tc>
          <w:tcPr>
            <w:tcW w:w="1445" w:type="dxa"/>
            <w:vMerge w:val="restart"/>
            <w:tcBorders>
              <w:top w:val="single" w:sz="12" w:space="0" w:color="404040" w:themeColor="text1" w:themeTint="BF"/>
              <w:left w:val="nil"/>
              <w:bottom w:val="single" w:sz="8" w:space="0" w:color="000000"/>
              <w:right w:val="nil"/>
            </w:tcBorders>
            <w:shd w:val="clear" w:color="auto" w:fill="auto"/>
            <w:noWrap/>
            <w:vAlign w:val="center"/>
            <w:hideMark/>
          </w:tcPr>
          <w:p w14:paraId="3111A9E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CNHRPC</w:t>
            </w:r>
          </w:p>
        </w:tc>
        <w:tc>
          <w:tcPr>
            <w:tcW w:w="727" w:type="dxa"/>
            <w:tcBorders>
              <w:top w:val="single" w:sz="12" w:space="0" w:color="404040" w:themeColor="text1" w:themeTint="BF"/>
              <w:left w:val="nil"/>
              <w:bottom w:val="single" w:sz="4" w:space="0" w:color="auto"/>
              <w:right w:val="nil"/>
            </w:tcBorders>
            <w:shd w:val="clear" w:color="auto" w:fill="auto"/>
            <w:noWrap/>
            <w:vAlign w:val="bottom"/>
            <w:hideMark/>
          </w:tcPr>
          <w:p w14:paraId="0DB06248"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2010</w:t>
            </w:r>
          </w:p>
        </w:tc>
        <w:tc>
          <w:tcPr>
            <w:tcW w:w="1219" w:type="dxa"/>
            <w:tcBorders>
              <w:top w:val="single" w:sz="12" w:space="0" w:color="404040" w:themeColor="text1" w:themeTint="BF"/>
              <w:left w:val="nil"/>
              <w:bottom w:val="single" w:sz="4" w:space="0" w:color="auto"/>
              <w:right w:val="nil"/>
            </w:tcBorders>
            <w:shd w:val="clear" w:color="000000" w:fill="789FD0"/>
            <w:noWrap/>
            <w:vAlign w:val="bottom"/>
            <w:hideMark/>
          </w:tcPr>
          <w:p w14:paraId="42B729B1"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-27%</w:t>
            </w:r>
          </w:p>
        </w:tc>
        <w:tc>
          <w:tcPr>
            <w:tcW w:w="1205" w:type="dxa"/>
            <w:tcBorders>
              <w:top w:val="single" w:sz="12" w:space="0" w:color="404040" w:themeColor="text1" w:themeTint="BF"/>
              <w:left w:val="nil"/>
              <w:bottom w:val="single" w:sz="4" w:space="0" w:color="auto"/>
              <w:right w:val="nil"/>
            </w:tcBorders>
            <w:shd w:val="clear" w:color="000000" w:fill="C1D2EA"/>
            <w:noWrap/>
            <w:vAlign w:val="bottom"/>
            <w:hideMark/>
          </w:tcPr>
          <w:p w14:paraId="07C7345C"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-10%</w:t>
            </w:r>
          </w:p>
        </w:tc>
        <w:tc>
          <w:tcPr>
            <w:tcW w:w="1153" w:type="dxa"/>
            <w:tcBorders>
              <w:top w:val="single" w:sz="12" w:space="0" w:color="404040" w:themeColor="text1" w:themeTint="BF"/>
              <w:left w:val="nil"/>
              <w:bottom w:val="single" w:sz="4" w:space="0" w:color="auto"/>
              <w:right w:val="nil"/>
            </w:tcBorders>
            <w:shd w:val="clear" w:color="000000" w:fill="F1F4FB"/>
            <w:noWrap/>
            <w:vAlign w:val="bottom"/>
            <w:hideMark/>
          </w:tcPr>
          <w:p w14:paraId="003064B9"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w:t>
            </w:r>
          </w:p>
        </w:tc>
        <w:tc>
          <w:tcPr>
            <w:tcW w:w="1111" w:type="dxa"/>
            <w:tcBorders>
              <w:top w:val="single" w:sz="12" w:space="0" w:color="404040" w:themeColor="text1" w:themeTint="BF"/>
              <w:left w:val="nil"/>
              <w:bottom w:val="single" w:sz="4" w:space="0" w:color="auto"/>
              <w:right w:val="nil"/>
            </w:tcBorders>
            <w:shd w:val="clear" w:color="000000" w:fill="FBC1C4"/>
            <w:noWrap/>
            <w:vAlign w:val="bottom"/>
            <w:hideMark/>
          </w:tcPr>
          <w:p w14:paraId="5B94C2A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15%</w:t>
            </w:r>
          </w:p>
        </w:tc>
        <w:tc>
          <w:tcPr>
            <w:tcW w:w="1196" w:type="dxa"/>
            <w:tcBorders>
              <w:top w:val="single" w:sz="12" w:space="0" w:color="404040" w:themeColor="text1" w:themeTint="BF"/>
              <w:left w:val="nil"/>
              <w:bottom w:val="single" w:sz="4" w:space="0" w:color="auto"/>
              <w:right w:val="nil"/>
            </w:tcBorders>
            <w:shd w:val="clear" w:color="000000" w:fill="FCEAED"/>
            <w:noWrap/>
            <w:vAlign w:val="bottom"/>
            <w:hideMark/>
          </w:tcPr>
          <w:p w14:paraId="74FB87E2"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7%</w:t>
            </w:r>
          </w:p>
        </w:tc>
        <w:tc>
          <w:tcPr>
            <w:tcW w:w="1210" w:type="dxa"/>
            <w:tcBorders>
              <w:top w:val="single" w:sz="12" w:space="0" w:color="404040" w:themeColor="text1" w:themeTint="BF"/>
              <w:left w:val="nil"/>
              <w:bottom w:val="single" w:sz="4" w:space="0" w:color="auto"/>
              <w:right w:val="nil"/>
            </w:tcBorders>
            <w:shd w:val="clear" w:color="000000" w:fill="FCF0F3"/>
            <w:noWrap/>
            <w:vAlign w:val="bottom"/>
            <w:hideMark/>
          </w:tcPr>
          <w:p w14:paraId="7098D8D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6%</w:t>
            </w:r>
          </w:p>
        </w:tc>
        <w:tc>
          <w:tcPr>
            <w:tcW w:w="1314" w:type="dxa"/>
            <w:tcBorders>
              <w:top w:val="single" w:sz="12" w:space="0" w:color="404040" w:themeColor="text1" w:themeTint="BF"/>
              <w:left w:val="nil"/>
              <w:bottom w:val="single" w:sz="4" w:space="0" w:color="auto"/>
              <w:right w:val="nil"/>
            </w:tcBorders>
            <w:shd w:val="clear" w:color="000000" w:fill="FCEAED"/>
            <w:noWrap/>
            <w:vAlign w:val="bottom"/>
            <w:hideMark/>
          </w:tcPr>
          <w:p w14:paraId="32C2C389"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7%</w:t>
            </w:r>
          </w:p>
        </w:tc>
      </w:tr>
      <w:tr w:rsidR="007B59ED" w:rsidRPr="00C64BA4" w14:paraId="30E1FDFC" w14:textId="77777777" w:rsidTr="00D65D0C">
        <w:trPr>
          <w:trHeight w:val="300"/>
        </w:trPr>
        <w:tc>
          <w:tcPr>
            <w:tcW w:w="1445" w:type="dxa"/>
            <w:vMerge/>
            <w:tcBorders>
              <w:top w:val="nil"/>
              <w:left w:val="nil"/>
              <w:bottom w:val="single" w:sz="12" w:space="0" w:color="404040" w:themeColor="text1" w:themeTint="BF"/>
              <w:right w:val="nil"/>
            </w:tcBorders>
            <w:vAlign w:val="center"/>
            <w:hideMark/>
          </w:tcPr>
          <w:p w14:paraId="0B6D1748" w14:textId="77777777" w:rsidR="007B59ED" w:rsidRPr="00C64BA4" w:rsidRDefault="007B59ED" w:rsidP="00206C45">
            <w:pPr>
              <w:spacing w:after="0" w:line="300" w:lineRule="auto"/>
              <w:rPr>
                <w:rFonts w:eastAsia="Times New Roman" w:cs="Calibri"/>
                <w:color w:val="000000"/>
              </w:rPr>
            </w:pPr>
          </w:p>
        </w:tc>
        <w:tc>
          <w:tcPr>
            <w:tcW w:w="727" w:type="dxa"/>
            <w:tcBorders>
              <w:top w:val="nil"/>
              <w:left w:val="nil"/>
              <w:bottom w:val="single" w:sz="12" w:space="0" w:color="404040" w:themeColor="text1" w:themeTint="BF"/>
              <w:right w:val="nil"/>
            </w:tcBorders>
            <w:shd w:val="clear" w:color="auto" w:fill="auto"/>
            <w:noWrap/>
            <w:vAlign w:val="bottom"/>
            <w:hideMark/>
          </w:tcPr>
          <w:p w14:paraId="7322CE70"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2020</w:t>
            </w:r>
          </w:p>
        </w:tc>
        <w:tc>
          <w:tcPr>
            <w:tcW w:w="1219" w:type="dxa"/>
            <w:tcBorders>
              <w:top w:val="nil"/>
              <w:left w:val="nil"/>
              <w:bottom w:val="single" w:sz="12" w:space="0" w:color="404040" w:themeColor="text1" w:themeTint="BF"/>
              <w:right w:val="nil"/>
            </w:tcBorders>
            <w:shd w:val="clear" w:color="000000" w:fill="5A8AC6"/>
            <w:noWrap/>
            <w:vAlign w:val="bottom"/>
            <w:hideMark/>
          </w:tcPr>
          <w:p w14:paraId="1956A21D"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-34%</w:t>
            </w:r>
          </w:p>
        </w:tc>
        <w:tc>
          <w:tcPr>
            <w:tcW w:w="1205" w:type="dxa"/>
            <w:tcBorders>
              <w:top w:val="nil"/>
              <w:left w:val="nil"/>
              <w:bottom w:val="single" w:sz="12" w:space="0" w:color="404040" w:themeColor="text1" w:themeTint="BF"/>
              <w:right w:val="nil"/>
            </w:tcBorders>
            <w:shd w:val="clear" w:color="000000" w:fill="B0C6E4"/>
            <w:noWrap/>
            <w:vAlign w:val="bottom"/>
            <w:hideMark/>
          </w:tcPr>
          <w:p w14:paraId="2B95FD17"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-14%</w:t>
            </w:r>
          </w:p>
        </w:tc>
        <w:tc>
          <w:tcPr>
            <w:tcW w:w="1153" w:type="dxa"/>
            <w:tcBorders>
              <w:top w:val="nil"/>
              <w:left w:val="nil"/>
              <w:bottom w:val="single" w:sz="12" w:space="0" w:color="404040" w:themeColor="text1" w:themeTint="BF"/>
              <w:right w:val="nil"/>
            </w:tcBorders>
            <w:shd w:val="clear" w:color="000000" w:fill="DFE8F5"/>
            <w:noWrap/>
            <w:vAlign w:val="bottom"/>
            <w:hideMark/>
          </w:tcPr>
          <w:p w14:paraId="341B2AEE"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-3%</w:t>
            </w:r>
          </w:p>
        </w:tc>
        <w:tc>
          <w:tcPr>
            <w:tcW w:w="1111" w:type="dxa"/>
            <w:tcBorders>
              <w:top w:val="nil"/>
              <w:left w:val="nil"/>
              <w:bottom w:val="single" w:sz="12" w:space="0" w:color="404040" w:themeColor="text1" w:themeTint="BF"/>
              <w:right w:val="nil"/>
            </w:tcBorders>
            <w:shd w:val="clear" w:color="000000" w:fill="DFE8F5"/>
            <w:noWrap/>
            <w:vAlign w:val="bottom"/>
            <w:hideMark/>
          </w:tcPr>
          <w:p w14:paraId="114AC28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-3%</w:t>
            </w:r>
          </w:p>
        </w:tc>
        <w:tc>
          <w:tcPr>
            <w:tcW w:w="1196" w:type="dxa"/>
            <w:tcBorders>
              <w:top w:val="nil"/>
              <w:left w:val="nil"/>
              <w:bottom w:val="single" w:sz="12" w:space="0" w:color="404040" w:themeColor="text1" w:themeTint="BF"/>
              <w:right w:val="nil"/>
            </w:tcBorders>
            <w:shd w:val="clear" w:color="000000" w:fill="FCE0E3"/>
            <w:noWrap/>
            <w:vAlign w:val="bottom"/>
            <w:hideMark/>
          </w:tcPr>
          <w:p w14:paraId="7C16901C"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c>
          <w:tcPr>
            <w:tcW w:w="1210" w:type="dxa"/>
            <w:tcBorders>
              <w:top w:val="nil"/>
              <w:left w:val="nil"/>
              <w:bottom w:val="single" w:sz="12" w:space="0" w:color="404040" w:themeColor="text1" w:themeTint="BF"/>
              <w:right w:val="nil"/>
            </w:tcBorders>
            <w:shd w:val="clear" w:color="000000" w:fill="FBCCCE"/>
            <w:noWrap/>
            <w:vAlign w:val="bottom"/>
            <w:hideMark/>
          </w:tcPr>
          <w:p w14:paraId="08A369CD"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13%</w:t>
            </w:r>
          </w:p>
        </w:tc>
        <w:tc>
          <w:tcPr>
            <w:tcW w:w="1314" w:type="dxa"/>
            <w:tcBorders>
              <w:top w:val="nil"/>
              <w:left w:val="nil"/>
              <w:bottom w:val="single" w:sz="12" w:space="0" w:color="404040" w:themeColor="text1" w:themeTint="BF"/>
              <w:right w:val="nil"/>
            </w:tcBorders>
            <w:shd w:val="clear" w:color="000000" w:fill="F8696B"/>
            <w:noWrap/>
            <w:vAlign w:val="bottom"/>
            <w:hideMark/>
          </w:tcPr>
          <w:p w14:paraId="001E990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32%</w:t>
            </w:r>
          </w:p>
        </w:tc>
      </w:tr>
      <w:tr w:rsidR="007B59ED" w:rsidRPr="00C64BA4" w14:paraId="68C90712" w14:textId="77777777" w:rsidTr="00D65D0C">
        <w:trPr>
          <w:trHeight w:val="285"/>
        </w:trPr>
        <w:tc>
          <w:tcPr>
            <w:tcW w:w="1445" w:type="dxa"/>
            <w:vMerge w:val="restart"/>
            <w:tcBorders>
              <w:top w:val="single" w:sz="12" w:space="0" w:color="404040" w:themeColor="text1" w:themeTint="BF"/>
              <w:left w:val="nil"/>
              <w:bottom w:val="single" w:sz="8" w:space="0" w:color="000000"/>
              <w:right w:val="nil"/>
            </w:tcBorders>
            <w:shd w:val="clear" w:color="auto" w:fill="auto"/>
            <w:noWrap/>
            <w:vAlign w:val="center"/>
            <w:hideMark/>
          </w:tcPr>
          <w:p w14:paraId="68D96EDC"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LRPC</w:t>
            </w:r>
          </w:p>
        </w:tc>
        <w:tc>
          <w:tcPr>
            <w:tcW w:w="727" w:type="dxa"/>
            <w:tcBorders>
              <w:top w:val="single" w:sz="12" w:space="0" w:color="404040" w:themeColor="text1" w:themeTint="BF"/>
              <w:left w:val="nil"/>
              <w:bottom w:val="single" w:sz="4" w:space="0" w:color="auto"/>
              <w:right w:val="nil"/>
            </w:tcBorders>
            <w:shd w:val="clear" w:color="auto" w:fill="auto"/>
            <w:noWrap/>
            <w:vAlign w:val="bottom"/>
            <w:hideMark/>
          </w:tcPr>
          <w:p w14:paraId="787ECCA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2010</w:t>
            </w:r>
          </w:p>
        </w:tc>
        <w:tc>
          <w:tcPr>
            <w:tcW w:w="1219" w:type="dxa"/>
            <w:tcBorders>
              <w:top w:val="single" w:sz="12" w:space="0" w:color="404040" w:themeColor="text1" w:themeTint="BF"/>
              <w:left w:val="nil"/>
              <w:bottom w:val="single" w:sz="4" w:space="0" w:color="auto"/>
              <w:right w:val="nil"/>
            </w:tcBorders>
            <w:shd w:val="clear" w:color="000000" w:fill="6894CB"/>
            <w:noWrap/>
            <w:vAlign w:val="bottom"/>
            <w:hideMark/>
          </w:tcPr>
          <w:p w14:paraId="337D2D1B"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-29%</w:t>
            </w:r>
          </w:p>
        </w:tc>
        <w:tc>
          <w:tcPr>
            <w:tcW w:w="1205" w:type="dxa"/>
            <w:tcBorders>
              <w:top w:val="single" w:sz="12" w:space="0" w:color="404040" w:themeColor="text1" w:themeTint="BF"/>
              <w:left w:val="nil"/>
              <w:bottom w:val="single" w:sz="4" w:space="0" w:color="auto"/>
              <w:right w:val="nil"/>
            </w:tcBorders>
            <w:shd w:val="clear" w:color="000000" w:fill="BACEE8"/>
            <w:noWrap/>
            <w:vAlign w:val="bottom"/>
            <w:hideMark/>
          </w:tcPr>
          <w:p w14:paraId="64383EF2"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-12%</w:t>
            </w:r>
          </w:p>
        </w:tc>
        <w:tc>
          <w:tcPr>
            <w:tcW w:w="1153" w:type="dxa"/>
            <w:tcBorders>
              <w:top w:val="single" w:sz="12" w:space="0" w:color="404040" w:themeColor="text1" w:themeTint="BF"/>
              <w:left w:val="nil"/>
              <w:bottom w:val="single" w:sz="4" w:space="0" w:color="auto"/>
              <w:right w:val="nil"/>
            </w:tcBorders>
            <w:shd w:val="clear" w:color="000000" w:fill="F4F6FC"/>
            <w:noWrap/>
            <w:vAlign w:val="bottom"/>
            <w:hideMark/>
          </w:tcPr>
          <w:p w14:paraId="5CD3B775"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0%</w:t>
            </w:r>
          </w:p>
        </w:tc>
        <w:tc>
          <w:tcPr>
            <w:tcW w:w="1111" w:type="dxa"/>
            <w:tcBorders>
              <w:top w:val="single" w:sz="12" w:space="0" w:color="404040" w:themeColor="text1" w:themeTint="BF"/>
              <w:left w:val="nil"/>
              <w:bottom w:val="single" w:sz="4" w:space="0" w:color="auto"/>
              <w:right w:val="nil"/>
            </w:tcBorders>
            <w:shd w:val="clear" w:color="000000" w:fill="FBD4D7"/>
            <w:noWrap/>
            <w:vAlign w:val="bottom"/>
            <w:hideMark/>
          </w:tcPr>
          <w:p w14:paraId="4131F2C6"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12%</w:t>
            </w:r>
          </w:p>
        </w:tc>
        <w:tc>
          <w:tcPr>
            <w:tcW w:w="1196" w:type="dxa"/>
            <w:tcBorders>
              <w:top w:val="single" w:sz="12" w:space="0" w:color="404040" w:themeColor="text1" w:themeTint="BF"/>
              <w:left w:val="nil"/>
              <w:bottom w:val="single" w:sz="4" w:space="0" w:color="auto"/>
              <w:right w:val="nil"/>
            </w:tcBorders>
            <w:shd w:val="clear" w:color="000000" w:fill="FCE0E3"/>
            <w:noWrap/>
            <w:vAlign w:val="bottom"/>
            <w:hideMark/>
          </w:tcPr>
          <w:p w14:paraId="343B65A8"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c>
          <w:tcPr>
            <w:tcW w:w="1210" w:type="dxa"/>
            <w:tcBorders>
              <w:top w:val="single" w:sz="12" w:space="0" w:color="404040" w:themeColor="text1" w:themeTint="BF"/>
              <w:left w:val="nil"/>
              <w:bottom w:val="single" w:sz="4" w:space="0" w:color="auto"/>
              <w:right w:val="nil"/>
            </w:tcBorders>
            <w:shd w:val="clear" w:color="000000" w:fill="FCF7FA"/>
            <w:noWrap/>
            <w:vAlign w:val="bottom"/>
            <w:hideMark/>
          </w:tcPr>
          <w:p w14:paraId="65B79BB2"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3%</w:t>
            </w:r>
          </w:p>
        </w:tc>
        <w:tc>
          <w:tcPr>
            <w:tcW w:w="1314" w:type="dxa"/>
            <w:tcBorders>
              <w:top w:val="single" w:sz="12" w:space="0" w:color="404040" w:themeColor="text1" w:themeTint="BF"/>
              <w:left w:val="nil"/>
              <w:bottom w:val="single" w:sz="4" w:space="0" w:color="auto"/>
              <w:right w:val="nil"/>
            </w:tcBorders>
            <w:shd w:val="clear" w:color="000000" w:fill="FBC1C4"/>
            <w:noWrap/>
            <w:vAlign w:val="bottom"/>
            <w:hideMark/>
          </w:tcPr>
          <w:p w14:paraId="4FDCE84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17%</w:t>
            </w:r>
          </w:p>
        </w:tc>
      </w:tr>
      <w:tr w:rsidR="007B59ED" w:rsidRPr="00C64BA4" w14:paraId="21B81C20" w14:textId="77777777" w:rsidTr="00D65D0C">
        <w:trPr>
          <w:trHeight w:val="300"/>
        </w:trPr>
        <w:tc>
          <w:tcPr>
            <w:tcW w:w="1445" w:type="dxa"/>
            <w:vMerge/>
            <w:tcBorders>
              <w:top w:val="nil"/>
              <w:left w:val="nil"/>
              <w:bottom w:val="single" w:sz="12" w:space="0" w:color="404040" w:themeColor="text1" w:themeTint="BF"/>
              <w:right w:val="nil"/>
            </w:tcBorders>
            <w:vAlign w:val="center"/>
            <w:hideMark/>
          </w:tcPr>
          <w:p w14:paraId="03213EB8" w14:textId="77777777" w:rsidR="007B59ED" w:rsidRPr="00C64BA4" w:rsidRDefault="007B59ED" w:rsidP="00206C45">
            <w:pPr>
              <w:spacing w:after="0" w:line="300" w:lineRule="auto"/>
              <w:rPr>
                <w:rFonts w:eastAsia="Times New Roman" w:cs="Calibri"/>
                <w:color w:val="000000"/>
              </w:rPr>
            </w:pPr>
          </w:p>
        </w:tc>
        <w:tc>
          <w:tcPr>
            <w:tcW w:w="727" w:type="dxa"/>
            <w:tcBorders>
              <w:top w:val="nil"/>
              <w:left w:val="nil"/>
              <w:bottom w:val="single" w:sz="12" w:space="0" w:color="404040" w:themeColor="text1" w:themeTint="BF"/>
              <w:right w:val="nil"/>
            </w:tcBorders>
            <w:shd w:val="clear" w:color="auto" w:fill="auto"/>
            <w:noWrap/>
            <w:vAlign w:val="bottom"/>
            <w:hideMark/>
          </w:tcPr>
          <w:p w14:paraId="2D6FD204"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2020</w:t>
            </w:r>
          </w:p>
        </w:tc>
        <w:tc>
          <w:tcPr>
            <w:tcW w:w="1219" w:type="dxa"/>
            <w:tcBorders>
              <w:top w:val="nil"/>
              <w:left w:val="nil"/>
              <w:bottom w:val="single" w:sz="12" w:space="0" w:color="404040" w:themeColor="text1" w:themeTint="BF"/>
              <w:right w:val="nil"/>
            </w:tcBorders>
            <w:shd w:val="clear" w:color="000000" w:fill="5A8AC6"/>
            <w:noWrap/>
            <w:vAlign w:val="bottom"/>
            <w:hideMark/>
          </w:tcPr>
          <w:p w14:paraId="35D8ADA3"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-32%</w:t>
            </w:r>
          </w:p>
        </w:tc>
        <w:tc>
          <w:tcPr>
            <w:tcW w:w="1205" w:type="dxa"/>
            <w:tcBorders>
              <w:top w:val="nil"/>
              <w:left w:val="nil"/>
              <w:bottom w:val="single" w:sz="12" w:space="0" w:color="404040" w:themeColor="text1" w:themeTint="BF"/>
              <w:right w:val="nil"/>
            </w:tcBorders>
            <w:shd w:val="clear" w:color="000000" w:fill="9DB9DD"/>
            <w:noWrap/>
            <w:vAlign w:val="bottom"/>
            <w:hideMark/>
          </w:tcPr>
          <w:p w14:paraId="548A09F3"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-18%</w:t>
            </w:r>
          </w:p>
        </w:tc>
        <w:tc>
          <w:tcPr>
            <w:tcW w:w="1153" w:type="dxa"/>
            <w:tcBorders>
              <w:top w:val="nil"/>
              <w:left w:val="nil"/>
              <w:bottom w:val="single" w:sz="12" w:space="0" w:color="404040" w:themeColor="text1" w:themeTint="BF"/>
              <w:right w:val="nil"/>
            </w:tcBorders>
            <w:shd w:val="clear" w:color="000000" w:fill="E1E9F5"/>
            <w:noWrap/>
            <w:vAlign w:val="bottom"/>
            <w:hideMark/>
          </w:tcPr>
          <w:p w14:paraId="4EAC90E9"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-4%</w:t>
            </w:r>
          </w:p>
        </w:tc>
        <w:tc>
          <w:tcPr>
            <w:tcW w:w="1111" w:type="dxa"/>
            <w:tcBorders>
              <w:top w:val="nil"/>
              <w:left w:val="nil"/>
              <w:bottom w:val="single" w:sz="12" w:space="0" w:color="404040" w:themeColor="text1" w:themeTint="BF"/>
              <w:right w:val="nil"/>
            </w:tcBorders>
            <w:shd w:val="clear" w:color="000000" w:fill="EBF0F9"/>
            <w:noWrap/>
            <w:vAlign w:val="bottom"/>
            <w:hideMark/>
          </w:tcPr>
          <w:p w14:paraId="4D40081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w:t>
            </w:r>
          </w:p>
        </w:tc>
        <w:tc>
          <w:tcPr>
            <w:tcW w:w="1196" w:type="dxa"/>
            <w:tcBorders>
              <w:top w:val="nil"/>
              <w:left w:val="nil"/>
              <w:bottom w:val="single" w:sz="12" w:space="0" w:color="404040" w:themeColor="text1" w:themeTint="BF"/>
              <w:right w:val="nil"/>
            </w:tcBorders>
            <w:shd w:val="clear" w:color="000000" w:fill="FCE8EA"/>
            <w:noWrap/>
            <w:vAlign w:val="bottom"/>
            <w:hideMark/>
          </w:tcPr>
          <w:p w14:paraId="2C84600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7%</w:t>
            </w:r>
          </w:p>
        </w:tc>
        <w:tc>
          <w:tcPr>
            <w:tcW w:w="1210" w:type="dxa"/>
            <w:tcBorders>
              <w:top w:val="nil"/>
              <w:left w:val="nil"/>
              <w:bottom w:val="single" w:sz="12" w:space="0" w:color="404040" w:themeColor="text1" w:themeTint="BF"/>
              <w:right w:val="nil"/>
            </w:tcBorders>
            <w:shd w:val="clear" w:color="000000" w:fill="FCDCDF"/>
            <w:noWrap/>
            <w:vAlign w:val="bottom"/>
            <w:hideMark/>
          </w:tcPr>
          <w:p w14:paraId="6D65EE45"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10%</w:t>
            </w:r>
          </w:p>
        </w:tc>
        <w:tc>
          <w:tcPr>
            <w:tcW w:w="1314" w:type="dxa"/>
            <w:tcBorders>
              <w:top w:val="nil"/>
              <w:left w:val="nil"/>
              <w:bottom w:val="single" w:sz="12" w:space="0" w:color="404040" w:themeColor="text1" w:themeTint="BF"/>
              <w:right w:val="nil"/>
            </w:tcBorders>
            <w:shd w:val="clear" w:color="000000" w:fill="F8696B"/>
            <w:noWrap/>
            <w:vAlign w:val="bottom"/>
            <w:hideMark/>
          </w:tcPr>
          <w:p w14:paraId="7A72D090"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40%</w:t>
            </w:r>
          </w:p>
        </w:tc>
      </w:tr>
      <w:tr w:rsidR="007B59ED" w:rsidRPr="00C64BA4" w14:paraId="0A36CCEA" w14:textId="77777777" w:rsidTr="00D65D0C">
        <w:trPr>
          <w:trHeight w:val="285"/>
        </w:trPr>
        <w:tc>
          <w:tcPr>
            <w:tcW w:w="1445" w:type="dxa"/>
            <w:vMerge w:val="restart"/>
            <w:tcBorders>
              <w:top w:val="single" w:sz="12" w:space="0" w:color="404040" w:themeColor="text1" w:themeTint="BF"/>
              <w:left w:val="nil"/>
              <w:bottom w:val="single" w:sz="8" w:space="0" w:color="000000"/>
              <w:right w:val="nil"/>
            </w:tcBorders>
            <w:shd w:val="clear" w:color="auto" w:fill="auto"/>
            <w:noWrap/>
            <w:vAlign w:val="center"/>
            <w:hideMark/>
          </w:tcPr>
          <w:p w14:paraId="2F1BBC30"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NRPC</w:t>
            </w:r>
          </w:p>
        </w:tc>
        <w:tc>
          <w:tcPr>
            <w:tcW w:w="727" w:type="dxa"/>
            <w:tcBorders>
              <w:top w:val="single" w:sz="12" w:space="0" w:color="404040" w:themeColor="text1" w:themeTint="BF"/>
              <w:left w:val="nil"/>
              <w:bottom w:val="single" w:sz="4" w:space="0" w:color="auto"/>
              <w:right w:val="nil"/>
            </w:tcBorders>
            <w:shd w:val="clear" w:color="auto" w:fill="auto"/>
            <w:noWrap/>
            <w:vAlign w:val="bottom"/>
            <w:hideMark/>
          </w:tcPr>
          <w:p w14:paraId="560F38A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2010</w:t>
            </w:r>
          </w:p>
        </w:tc>
        <w:tc>
          <w:tcPr>
            <w:tcW w:w="1219" w:type="dxa"/>
            <w:tcBorders>
              <w:top w:val="single" w:sz="12" w:space="0" w:color="404040" w:themeColor="text1" w:themeTint="BF"/>
              <w:left w:val="nil"/>
              <w:bottom w:val="single" w:sz="4" w:space="0" w:color="auto"/>
              <w:right w:val="nil"/>
            </w:tcBorders>
            <w:shd w:val="clear" w:color="000000" w:fill="6B96CC"/>
            <w:noWrap/>
            <w:vAlign w:val="bottom"/>
            <w:hideMark/>
          </w:tcPr>
          <w:p w14:paraId="20FC655C"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-29%</w:t>
            </w:r>
          </w:p>
        </w:tc>
        <w:tc>
          <w:tcPr>
            <w:tcW w:w="1205" w:type="dxa"/>
            <w:tcBorders>
              <w:top w:val="single" w:sz="12" w:space="0" w:color="404040" w:themeColor="text1" w:themeTint="BF"/>
              <w:left w:val="nil"/>
              <w:bottom w:val="single" w:sz="4" w:space="0" w:color="auto"/>
              <w:right w:val="nil"/>
            </w:tcBorders>
            <w:shd w:val="clear" w:color="000000" w:fill="BACDE7"/>
            <w:noWrap/>
            <w:vAlign w:val="bottom"/>
            <w:hideMark/>
          </w:tcPr>
          <w:p w14:paraId="0DC95158"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-11%</w:t>
            </w:r>
          </w:p>
        </w:tc>
        <w:tc>
          <w:tcPr>
            <w:tcW w:w="1153" w:type="dxa"/>
            <w:tcBorders>
              <w:top w:val="single" w:sz="12" w:space="0" w:color="404040" w:themeColor="text1" w:themeTint="BF"/>
              <w:left w:val="nil"/>
              <w:bottom w:val="single" w:sz="4" w:space="0" w:color="auto"/>
              <w:right w:val="nil"/>
            </w:tcBorders>
            <w:shd w:val="clear" w:color="000000" w:fill="EAEFF8"/>
            <w:noWrap/>
            <w:vAlign w:val="bottom"/>
            <w:hideMark/>
          </w:tcPr>
          <w:p w14:paraId="7F42450D"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0%</w:t>
            </w:r>
          </w:p>
        </w:tc>
        <w:tc>
          <w:tcPr>
            <w:tcW w:w="1111" w:type="dxa"/>
            <w:tcBorders>
              <w:top w:val="single" w:sz="12" w:space="0" w:color="404040" w:themeColor="text1" w:themeTint="BF"/>
              <w:left w:val="nil"/>
              <w:bottom w:val="single" w:sz="4" w:space="0" w:color="auto"/>
              <w:right w:val="nil"/>
            </w:tcBorders>
            <w:shd w:val="clear" w:color="000000" w:fill="FCD9DC"/>
            <w:noWrap/>
            <w:vAlign w:val="bottom"/>
            <w:hideMark/>
          </w:tcPr>
          <w:p w14:paraId="2C600AB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10%</w:t>
            </w:r>
          </w:p>
        </w:tc>
        <w:tc>
          <w:tcPr>
            <w:tcW w:w="1196" w:type="dxa"/>
            <w:tcBorders>
              <w:top w:val="single" w:sz="12" w:space="0" w:color="404040" w:themeColor="text1" w:themeTint="BF"/>
              <w:left w:val="nil"/>
              <w:bottom w:val="single" w:sz="4" w:space="0" w:color="auto"/>
              <w:right w:val="nil"/>
            </w:tcBorders>
            <w:shd w:val="clear" w:color="000000" w:fill="FBC8CA"/>
            <w:noWrap/>
            <w:vAlign w:val="bottom"/>
            <w:hideMark/>
          </w:tcPr>
          <w:p w14:paraId="7B890126"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13%</w:t>
            </w:r>
          </w:p>
        </w:tc>
        <w:tc>
          <w:tcPr>
            <w:tcW w:w="1210" w:type="dxa"/>
            <w:tcBorders>
              <w:top w:val="single" w:sz="12" w:space="0" w:color="404040" w:themeColor="text1" w:themeTint="BF"/>
              <w:left w:val="nil"/>
              <w:bottom w:val="single" w:sz="4" w:space="0" w:color="auto"/>
              <w:right w:val="nil"/>
            </w:tcBorders>
            <w:shd w:val="clear" w:color="000000" w:fill="FCDFE2"/>
            <w:noWrap/>
            <w:vAlign w:val="bottom"/>
            <w:hideMark/>
          </w:tcPr>
          <w:p w14:paraId="51FDFEB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c>
          <w:tcPr>
            <w:tcW w:w="1314" w:type="dxa"/>
            <w:tcBorders>
              <w:top w:val="single" w:sz="12" w:space="0" w:color="404040" w:themeColor="text1" w:themeTint="BF"/>
              <w:left w:val="nil"/>
              <w:bottom w:val="single" w:sz="4" w:space="0" w:color="auto"/>
              <w:right w:val="nil"/>
            </w:tcBorders>
            <w:shd w:val="clear" w:color="000000" w:fill="FCE5E8"/>
            <w:noWrap/>
            <w:vAlign w:val="bottom"/>
            <w:hideMark/>
          </w:tcPr>
          <w:p w14:paraId="1822CD9D"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8%</w:t>
            </w:r>
          </w:p>
        </w:tc>
      </w:tr>
      <w:tr w:rsidR="007B59ED" w:rsidRPr="00C64BA4" w14:paraId="1D3F21A7" w14:textId="77777777" w:rsidTr="00D65D0C">
        <w:trPr>
          <w:trHeight w:val="300"/>
        </w:trPr>
        <w:tc>
          <w:tcPr>
            <w:tcW w:w="1445" w:type="dxa"/>
            <w:vMerge/>
            <w:tcBorders>
              <w:top w:val="nil"/>
              <w:left w:val="nil"/>
              <w:bottom w:val="single" w:sz="12" w:space="0" w:color="404040" w:themeColor="text1" w:themeTint="BF"/>
              <w:right w:val="nil"/>
            </w:tcBorders>
            <w:vAlign w:val="center"/>
            <w:hideMark/>
          </w:tcPr>
          <w:p w14:paraId="735FEE6B" w14:textId="77777777" w:rsidR="007B59ED" w:rsidRPr="00C64BA4" w:rsidRDefault="007B59ED" w:rsidP="00206C45">
            <w:pPr>
              <w:spacing w:after="0" w:line="300" w:lineRule="auto"/>
              <w:rPr>
                <w:rFonts w:eastAsia="Times New Roman" w:cs="Calibri"/>
                <w:color w:val="000000"/>
              </w:rPr>
            </w:pPr>
          </w:p>
        </w:tc>
        <w:tc>
          <w:tcPr>
            <w:tcW w:w="727" w:type="dxa"/>
            <w:tcBorders>
              <w:top w:val="nil"/>
              <w:left w:val="nil"/>
              <w:bottom w:val="single" w:sz="12" w:space="0" w:color="404040" w:themeColor="text1" w:themeTint="BF"/>
              <w:right w:val="nil"/>
            </w:tcBorders>
            <w:shd w:val="clear" w:color="auto" w:fill="auto"/>
            <w:noWrap/>
            <w:vAlign w:val="bottom"/>
            <w:hideMark/>
          </w:tcPr>
          <w:p w14:paraId="424A6EAA"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2020</w:t>
            </w:r>
          </w:p>
        </w:tc>
        <w:tc>
          <w:tcPr>
            <w:tcW w:w="1219" w:type="dxa"/>
            <w:tcBorders>
              <w:top w:val="nil"/>
              <w:left w:val="nil"/>
              <w:bottom w:val="single" w:sz="12" w:space="0" w:color="404040" w:themeColor="text1" w:themeTint="BF"/>
              <w:right w:val="nil"/>
            </w:tcBorders>
            <w:shd w:val="clear" w:color="000000" w:fill="5A8AC6"/>
            <w:noWrap/>
            <w:vAlign w:val="bottom"/>
            <w:hideMark/>
          </w:tcPr>
          <w:p w14:paraId="3C8449E6"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-33%</w:t>
            </w:r>
          </w:p>
        </w:tc>
        <w:tc>
          <w:tcPr>
            <w:tcW w:w="1205" w:type="dxa"/>
            <w:tcBorders>
              <w:top w:val="nil"/>
              <w:left w:val="nil"/>
              <w:bottom w:val="single" w:sz="12" w:space="0" w:color="404040" w:themeColor="text1" w:themeTint="BF"/>
              <w:right w:val="nil"/>
            </w:tcBorders>
            <w:shd w:val="clear" w:color="000000" w:fill="97B5DB"/>
            <w:noWrap/>
            <w:vAlign w:val="bottom"/>
            <w:hideMark/>
          </w:tcPr>
          <w:p w14:paraId="3A13C3BD"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-19%</w:t>
            </w:r>
          </w:p>
        </w:tc>
        <w:tc>
          <w:tcPr>
            <w:tcW w:w="1153" w:type="dxa"/>
            <w:tcBorders>
              <w:top w:val="nil"/>
              <w:left w:val="nil"/>
              <w:bottom w:val="single" w:sz="12" w:space="0" w:color="404040" w:themeColor="text1" w:themeTint="BF"/>
              <w:right w:val="nil"/>
            </w:tcBorders>
            <w:shd w:val="clear" w:color="000000" w:fill="D4E0F1"/>
            <w:noWrap/>
            <w:vAlign w:val="bottom"/>
            <w:hideMark/>
          </w:tcPr>
          <w:p w14:paraId="2348F29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-5%</w:t>
            </w:r>
          </w:p>
        </w:tc>
        <w:tc>
          <w:tcPr>
            <w:tcW w:w="1111" w:type="dxa"/>
            <w:tcBorders>
              <w:top w:val="nil"/>
              <w:left w:val="nil"/>
              <w:bottom w:val="single" w:sz="12" w:space="0" w:color="404040" w:themeColor="text1" w:themeTint="BF"/>
              <w:right w:val="nil"/>
            </w:tcBorders>
            <w:shd w:val="clear" w:color="000000" w:fill="E6ECF7"/>
            <w:noWrap/>
            <w:vAlign w:val="bottom"/>
            <w:hideMark/>
          </w:tcPr>
          <w:p w14:paraId="408E7466"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w:t>
            </w:r>
          </w:p>
        </w:tc>
        <w:tc>
          <w:tcPr>
            <w:tcW w:w="1196" w:type="dxa"/>
            <w:tcBorders>
              <w:top w:val="nil"/>
              <w:left w:val="nil"/>
              <w:bottom w:val="single" w:sz="12" w:space="0" w:color="404040" w:themeColor="text1" w:themeTint="BF"/>
              <w:right w:val="nil"/>
            </w:tcBorders>
            <w:shd w:val="clear" w:color="000000" w:fill="FCD9DC"/>
            <w:noWrap/>
            <w:vAlign w:val="bottom"/>
            <w:hideMark/>
          </w:tcPr>
          <w:p w14:paraId="34145116"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10%</w:t>
            </w:r>
          </w:p>
        </w:tc>
        <w:tc>
          <w:tcPr>
            <w:tcW w:w="1210" w:type="dxa"/>
            <w:tcBorders>
              <w:top w:val="nil"/>
              <w:left w:val="nil"/>
              <w:bottom w:val="single" w:sz="12" w:space="0" w:color="404040" w:themeColor="text1" w:themeTint="BF"/>
              <w:right w:val="nil"/>
            </w:tcBorders>
            <w:shd w:val="clear" w:color="000000" w:fill="FAAAAD"/>
            <w:noWrap/>
            <w:vAlign w:val="bottom"/>
            <w:hideMark/>
          </w:tcPr>
          <w:p w14:paraId="0A777F47"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18%</w:t>
            </w:r>
          </w:p>
        </w:tc>
        <w:tc>
          <w:tcPr>
            <w:tcW w:w="1314" w:type="dxa"/>
            <w:tcBorders>
              <w:top w:val="nil"/>
              <w:left w:val="nil"/>
              <w:bottom w:val="single" w:sz="12" w:space="0" w:color="404040" w:themeColor="text1" w:themeTint="BF"/>
              <w:right w:val="nil"/>
            </w:tcBorders>
            <w:shd w:val="clear" w:color="000000" w:fill="F8696B"/>
            <w:noWrap/>
            <w:vAlign w:val="bottom"/>
            <w:hideMark/>
          </w:tcPr>
          <w:p w14:paraId="255A88C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29%</w:t>
            </w:r>
          </w:p>
        </w:tc>
      </w:tr>
      <w:tr w:rsidR="007B59ED" w:rsidRPr="00C64BA4" w14:paraId="56DF6DDF" w14:textId="77777777" w:rsidTr="00D65D0C">
        <w:trPr>
          <w:trHeight w:val="285"/>
        </w:trPr>
        <w:tc>
          <w:tcPr>
            <w:tcW w:w="1445" w:type="dxa"/>
            <w:vMerge w:val="restart"/>
            <w:tcBorders>
              <w:top w:val="single" w:sz="12" w:space="0" w:color="404040" w:themeColor="text1" w:themeTint="BF"/>
              <w:left w:val="nil"/>
              <w:bottom w:val="single" w:sz="8" w:space="0" w:color="000000"/>
              <w:right w:val="nil"/>
            </w:tcBorders>
            <w:shd w:val="clear" w:color="auto" w:fill="auto"/>
            <w:noWrap/>
            <w:vAlign w:val="center"/>
            <w:hideMark/>
          </w:tcPr>
          <w:p w14:paraId="19FABCD7"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NCC</w:t>
            </w:r>
          </w:p>
        </w:tc>
        <w:tc>
          <w:tcPr>
            <w:tcW w:w="727" w:type="dxa"/>
            <w:tcBorders>
              <w:top w:val="single" w:sz="12" w:space="0" w:color="404040" w:themeColor="text1" w:themeTint="BF"/>
              <w:left w:val="nil"/>
              <w:bottom w:val="single" w:sz="4" w:space="0" w:color="auto"/>
              <w:right w:val="nil"/>
            </w:tcBorders>
            <w:shd w:val="clear" w:color="auto" w:fill="auto"/>
            <w:noWrap/>
            <w:vAlign w:val="bottom"/>
            <w:hideMark/>
          </w:tcPr>
          <w:p w14:paraId="432B4E49"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2010</w:t>
            </w:r>
          </w:p>
        </w:tc>
        <w:tc>
          <w:tcPr>
            <w:tcW w:w="1219" w:type="dxa"/>
            <w:tcBorders>
              <w:top w:val="single" w:sz="12" w:space="0" w:color="404040" w:themeColor="text1" w:themeTint="BF"/>
              <w:left w:val="nil"/>
              <w:bottom w:val="single" w:sz="4" w:space="0" w:color="auto"/>
              <w:right w:val="nil"/>
            </w:tcBorders>
            <w:shd w:val="clear" w:color="000000" w:fill="83A7D4"/>
            <w:noWrap/>
            <w:vAlign w:val="bottom"/>
            <w:hideMark/>
          </w:tcPr>
          <w:p w14:paraId="6F67199D"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-23%</w:t>
            </w:r>
          </w:p>
        </w:tc>
        <w:tc>
          <w:tcPr>
            <w:tcW w:w="1205" w:type="dxa"/>
            <w:tcBorders>
              <w:top w:val="single" w:sz="12" w:space="0" w:color="404040" w:themeColor="text1" w:themeTint="BF"/>
              <w:left w:val="nil"/>
              <w:bottom w:val="single" w:sz="4" w:space="0" w:color="auto"/>
              <w:right w:val="nil"/>
            </w:tcBorders>
            <w:shd w:val="clear" w:color="000000" w:fill="BFD1E9"/>
            <w:noWrap/>
            <w:vAlign w:val="bottom"/>
            <w:hideMark/>
          </w:tcPr>
          <w:p w14:paraId="614E86B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-10%</w:t>
            </w:r>
          </w:p>
        </w:tc>
        <w:tc>
          <w:tcPr>
            <w:tcW w:w="1153" w:type="dxa"/>
            <w:tcBorders>
              <w:top w:val="single" w:sz="12" w:space="0" w:color="404040" w:themeColor="text1" w:themeTint="BF"/>
              <w:left w:val="nil"/>
              <w:bottom w:val="single" w:sz="4" w:space="0" w:color="auto"/>
              <w:right w:val="nil"/>
            </w:tcBorders>
            <w:shd w:val="clear" w:color="000000" w:fill="E4EBF6"/>
            <w:noWrap/>
            <w:vAlign w:val="bottom"/>
            <w:hideMark/>
          </w:tcPr>
          <w:p w14:paraId="1C93A6F3"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w:t>
            </w:r>
          </w:p>
        </w:tc>
        <w:tc>
          <w:tcPr>
            <w:tcW w:w="1111" w:type="dxa"/>
            <w:tcBorders>
              <w:top w:val="single" w:sz="12" w:space="0" w:color="404040" w:themeColor="text1" w:themeTint="BF"/>
              <w:left w:val="nil"/>
              <w:bottom w:val="single" w:sz="4" w:space="0" w:color="auto"/>
              <w:right w:val="nil"/>
            </w:tcBorders>
            <w:shd w:val="clear" w:color="000000" w:fill="FCE9EC"/>
            <w:noWrap/>
            <w:vAlign w:val="bottom"/>
            <w:hideMark/>
          </w:tcPr>
          <w:p w14:paraId="67788B25"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7%</w:t>
            </w:r>
          </w:p>
        </w:tc>
        <w:tc>
          <w:tcPr>
            <w:tcW w:w="1196" w:type="dxa"/>
            <w:tcBorders>
              <w:top w:val="single" w:sz="12" w:space="0" w:color="404040" w:themeColor="text1" w:themeTint="BF"/>
              <w:left w:val="nil"/>
              <w:bottom w:val="single" w:sz="4" w:space="0" w:color="auto"/>
              <w:right w:val="nil"/>
            </w:tcBorders>
            <w:shd w:val="clear" w:color="000000" w:fill="FCDFE2"/>
            <w:noWrap/>
            <w:vAlign w:val="bottom"/>
            <w:hideMark/>
          </w:tcPr>
          <w:p w14:paraId="167F069A"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c>
          <w:tcPr>
            <w:tcW w:w="1210" w:type="dxa"/>
            <w:tcBorders>
              <w:top w:val="single" w:sz="12" w:space="0" w:color="404040" w:themeColor="text1" w:themeTint="BF"/>
              <w:left w:val="nil"/>
              <w:bottom w:val="single" w:sz="4" w:space="0" w:color="auto"/>
              <w:right w:val="nil"/>
            </w:tcBorders>
            <w:shd w:val="clear" w:color="000000" w:fill="FCE9EC"/>
            <w:noWrap/>
            <w:vAlign w:val="bottom"/>
            <w:hideMark/>
          </w:tcPr>
          <w:p w14:paraId="222CF499"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7%</w:t>
            </w:r>
          </w:p>
        </w:tc>
        <w:tc>
          <w:tcPr>
            <w:tcW w:w="1314" w:type="dxa"/>
            <w:tcBorders>
              <w:top w:val="single" w:sz="12" w:space="0" w:color="404040" w:themeColor="text1" w:themeTint="BF"/>
              <w:left w:val="nil"/>
              <w:bottom w:val="single" w:sz="4" w:space="0" w:color="auto"/>
              <w:right w:val="nil"/>
            </w:tcBorders>
            <w:shd w:val="clear" w:color="000000" w:fill="FBCCCE"/>
            <w:noWrap/>
            <w:vAlign w:val="bottom"/>
            <w:hideMark/>
          </w:tcPr>
          <w:p w14:paraId="31B06354"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13%</w:t>
            </w:r>
          </w:p>
        </w:tc>
      </w:tr>
      <w:tr w:rsidR="007B59ED" w:rsidRPr="00C64BA4" w14:paraId="4ADB4FB2" w14:textId="77777777" w:rsidTr="00D65D0C">
        <w:trPr>
          <w:trHeight w:val="300"/>
        </w:trPr>
        <w:tc>
          <w:tcPr>
            <w:tcW w:w="1445" w:type="dxa"/>
            <w:vMerge/>
            <w:tcBorders>
              <w:top w:val="nil"/>
              <w:left w:val="nil"/>
              <w:bottom w:val="single" w:sz="12" w:space="0" w:color="404040" w:themeColor="text1" w:themeTint="BF"/>
              <w:right w:val="nil"/>
            </w:tcBorders>
            <w:vAlign w:val="center"/>
            <w:hideMark/>
          </w:tcPr>
          <w:p w14:paraId="5486F47A" w14:textId="77777777" w:rsidR="007B59ED" w:rsidRPr="00C64BA4" w:rsidRDefault="007B59ED" w:rsidP="00206C45">
            <w:pPr>
              <w:spacing w:after="0" w:line="300" w:lineRule="auto"/>
              <w:rPr>
                <w:rFonts w:eastAsia="Times New Roman" w:cs="Calibri"/>
                <w:color w:val="000000"/>
              </w:rPr>
            </w:pPr>
          </w:p>
        </w:tc>
        <w:tc>
          <w:tcPr>
            <w:tcW w:w="727" w:type="dxa"/>
            <w:tcBorders>
              <w:top w:val="nil"/>
              <w:left w:val="nil"/>
              <w:bottom w:val="single" w:sz="12" w:space="0" w:color="404040" w:themeColor="text1" w:themeTint="BF"/>
              <w:right w:val="nil"/>
            </w:tcBorders>
            <w:shd w:val="clear" w:color="auto" w:fill="auto"/>
            <w:noWrap/>
            <w:vAlign w:val="bottom"/>
            <w:hideMark/>
          </w:tcPr>
          <w:p w14:paraId="585DDEC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2020</w:t>
            </w:r>
          </w:p>
        </w:tc>
        <w:tc>
          <w:tcPr>
            <w:tcW w:w="1219" w:type="dxa"/>
            <w:tcBorders>
              <w:top w:val="nil"/>
              <w:left w:val="nil"/>
              <w:bottom w:val="single" w:sz="12" w:space="0" w:color="404040" w:themeColor="text1" w:themeTint="BF"/>
              <w:right w:val="nil"/>
            </w:tcBorders>
            <w:shd w:val="clear" w:color="000000" w:fill="5A8AC6"/>
            <w:noWrap/>
            <w:vAlign w:val="bottom"/>
            <w:hideMark/>
          </w:tcPr>
          <w:p w14:paraId="24399A05"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-32%</w:t>
            </w:r>
          </w:p>
        </w:tc>
        <w:tc>
          <w:tcPr>
            <w:tcW w:w="1205" w:type="dxa"/>
            <w:tcBorders>
              <w:top w:val="nil"/>
              <w:left w:val="nil"/>
              <w:bottom w:val="single" w:sz="12" w:space="0" w:color="404040" w:themeColor="text1" w:themeTint="BF"/>
              <w:right w:val="nil"/>
            </w:tcBorders>
            <w:shd w:val="clear" w:color="000000" w:fill="B1C7E4"/>
            <w:noWrap/>
            <w:vAlign w:val="bottom"/>
            <w:hideMark/>
          </w:tcPr>
          <w:p w14:paraId="50D67E18"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-13%</w:t>
            </w:r>
          </w:p>
        </w:tc>
        <w:tc>
          <w:tcPr>
            <w:tcW w:w="1153" w:type="dxa"/>
            <w:tcBorders>
              <w:top w:val="nil"/>
              <w:left w:val="nil"/>
              <w:bottom w:val="single" w:sz="12" w:space="0" w:color="404040" w:themeColor="text1" w:themeTint="BF"/>
              <w:right w:val="nil"/>
            </w:tcBorders>
            <w:shd w:val="clear" w:color="000000" w:fill="E0E8F5"/>
            <w:noWrap/>
            <w:vAlign w:val="bottom"/>
            <w:hideMark/>
          </w:tcPr>
          <w:p w14:paraId="4FB0351C"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-3%</w:t>
            </w:r>
          </w:p>
        </w:tc>
        <w:tc>
          <w:tcPr>
            <w:tcW w:w="1111" w:type="dxa"/>
            <w:tcBorders>
              <w:top w:val="nil"/>
              <w:left w:val="nil"/>
              <w:bottom w:val="single" w:sz="12" w:space="0" w:color="404040" w:themeColor="text1" w:themeTint="BF"/>
              <w:right w:val="nil"/>
            </w:tcBorders>
            <w:shd w:val="clear" w:color="000000" w:fill="F7F8FD"/>
            <w:noWrap/>
            <w:vAlign w:val="bottom"/>
            <w:hideMark/>
          </w:tcPr>
          <w:p w14:paraId="35F25D92"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w:t>
            </w:r>
          </w:p>
        </w:tc>
        <w:tc>
          <w:tcPr>
            <w:tcW w:w="1196" w:type="dxa"/>
            <w:tcBorders>
              <w:top w:val="nil"/>
              <w:left w:val="nil"/>
              <w:bottom w:val="single" w:sz="12" w:space="0" w:color="404040" w:themeColor="text1" w:themeTint="BF"/>
              <w:right w:val="nil"/>
            </w:tcBorders>
            <w:shd w:val="clear" w:color="000000" w:fill="FCF8FB"/>
            <w:noWrap/>
            <w:vAlign w:val="bottom"/>
            <w:hideMark/>
          </w:tcPr>
          <w:p w14:paraId="2DFC812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4%</w:t>
            </w:r>
          </w:p>
        </w:tc>
        <w:tc>
          <w:tcPr>
            <w:tcW w:w="1210" w:type="dxa"/>
            <w:tcBorders>
              <w:top w:val="nil"/>
              <w:left w:val="nil"/>
              <w:bottom w:val="single" w:sz="12" w:space="0" w:color="404040" w:themeColor="text1" w:themeTint="BF"/>
              <w:right w:val="nil"/>
            </w:tcBorders>
            <w:shd w:val="clear" w:color="000000" w:fill="FCDFE2"/>
            <w:noWrap/>
            <w:vAlign w:val="bottom"/>
            <w:hideMark/>
          </w:tcPr>
          <w:p w14:paraId="4AF4A51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c>
          <w:tcPr>
            <w:tcW w:w="1314" w:type="dxa"/>
            <w:tcBorders>
              <w:top w:val="nil"/>
              <w:left w:val="nil"/>
              <w:bottom w:val="single" w:sz="12" w:space="0" w:color="404040" w:themeColor="text1" w:themeTint="BF"/>
              <w:right w:val="nil"/>
            </w:tcBorders>
            <w:shd w:val="clear" w:color="000000" w:fill="F8696B"/>
            <w:noWrap/>
            <w:vAlign w:val="bottom"/>
            <w:hideMark/>
          </w:tcPr>
          <w:p w14:paraId="266D5179"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33%</w:t>
            </w:r>
          </w:p>
        </w:tc>
      </w:tr>
      <w:tr w:rsidR="007B59ED" w:rsidRPr="00C64BA4" w14:paraId="111E319C" w14:textId="77777777" w:rsidTr="00D65D0C">
        <w:trPr>
          <w:trHeight w:val="285"/>
        </w:trPr>
        <w:tc>
          <w:tcPr>
            <w:tcW w:w="1445" w:type="dxa"/>
            <w:vMerge w:val="restart"/>
            <w:tcBorders>
              <w:top w:val="single" w:sz="12" w:space="0" w:color="404040" w:themeColor="text1" w:themeTint="BF"/>
              <w:left w:val="nil"/>
              <w:bottom w:val="single" w:sz="8" w:space="0" w:color="000000"/>
              <w:right w:val="nil"/>
            </w:tcBorders>
            <w:shd w:val="clear" w:color="auto" w:fill="auto"/>
            <w:noWrap/>
            <w:vAlign w:val="center"/>
            <w:hideMark/>
          </w:tcPr>
          <w:p w14:paraId="5A8D371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RPC</w:t>
            </w:r>
          </w:p>
        </w:tc>
        <w:tc>
          <w:tcPr>
            <w:tcW w:w="727" w:type="dxa"/>
            <w:tcBorders>
              <w:top w:val="single" w:sz="12" w:space="0" w:color="404040" w:themeColor="text1" w:themeTint="BF"/>
              <w:left w:val="nil"/>
              <w:bottom w:val="single" w:sz="4" w:space="0" w:color="auto"/>
              <w:right w:val="nil"/>
            </w:tcBorders>
            <w:shd w:val="clear" w:color="auto" w:fill="auto"/>
            <w:noWrap/>
            <w:vAlign w:val="bottom"/>
            <w:hideMark/>
          </w:tcPr>
          <w:p w14:paraId="7687DFAC"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2010</w:t>
            </w:r>
          </w:p>
        </w:tc>
        <w:tc>
          <w:tcPr>
            <w:tcW w:w="1219" w:type="dxa"/>
            <w:tcBorders>
              <w:top w:val="single" w:sz="12" w:space="0" w:color="404040" w:themeColor="text1" w:themeTint="BF"/>
              <w:left w:val="nil"/>
              <w:bottom w:val="single" w:sz="4" w:space="0" w:color="auto"/>
              <w:right w:val="nil"/>
            </w:tcBorders>
            <w:shd w:val="clear" w:color="000000" w:fill="608EC8"/>
            <w:noWrap/>
            <w:vAlign w:val="bottom"/>
            <w:hideMark/>
          </w:tcPr>
          <w:p w14:paraId="559CB3A8"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-27%</w:t>
            </w:r>
          </w:p>
        </w:tc>
        <w:tc>
          <w:tcPr>
            <w:tcW w:w="1205" w:type="dxa"/>
            <w:tcBorders>
              <w:top w:val="single" w:sz="12" w:space="0" w:color="404040" w:themeColor="text1" w:themeTint="BF"/>
              <w:left w:val="nil"/>
              <w:bottom w:val="single" w:sz="4" w:space="0" w:color="auto"/>
              <w:right w:val="nil"/>
            </w:tcBorders>
            <w:shd w:val="clear" w:color="000000" w:fill="B4C9E5"/>
            <w:noWrap/>
            <w:vAlign w:val="bottom"/>
            <w:hideMark/>
          </w:tcPr>
          <w:p w14:paraId="77A51CB4"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-14%</w:t>
            </w:r>
          </w:p>
        </w:tc>
        <w:tc>
          <w:tcPr>
            <w:tcW w:w="1153" w:type="dxa"/>
            <w:tcBorders>
              <w:top w:val="single" w:sz="12" w:space="0" w:color="404040" w:themeColor="text1" w:themeTint="BF"/>
              <w:left w:val="nil"/>
              <w:bottom w:val="single" w:sz="4" w:space="0" w:color="auto"/>
              <w:right w:val="nil"/>
            </w:tcBorders>
            <w:shd w:val="clear" w:color="000000" w:fill="F5F7FC"/>
            <w:noWrap/>
            <w:vAlign w:val="bottom"/>
            <w:hideMark/>
          </w:tcPr>
          <w:p w14:paraId="144B1C14"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-4%</w:t>
            </w:r>
          </w:p>
        </w:tc>
        <w:tc>
          <w:tcPr>
            <w:tcW w:w="1111" w:type="dxa"/>
            <w:tcBorders>
              <w:top w:val="single" w:sz="12" w:space="0" w:color="404040" w:themeColor="text1" w:themeTint="BF"/>
              <w:left w:val="nil"/>
              <w:bottom w:val="single" w:sz="4" w:space="0" w:color="auto"/>
              <w:right w:val="nil"/>
            </w:tcBorders>
            <w:shd w:val="clear" w:color="000000" w:fill="FCF3F5"/>
            <w:noWrap/>
            <w:vAlign w:val="bottom"/>
            <w:hideMark/>
          </w:tcPr>
          <w:p w14:paraId="2080FA5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w:t>
            </w:r>
          </w:p>
        </w:tc>
        <w:tc>
          <w:tcPr>
            <w:tcW w:w="1196" w:type="dxa"/>
            <w:tcBorders>
              <w:top w:val="single" w:sz="12" w:space="0" w:color="404040" w:themeColor="text1" w:themeTint="BF"/>
              <w:left w:val="nil"/>
              <w:bottom w:val="single" w:sz="4" w:space="0" w:color="auto"/>
              <w:right w:val="nil"/>
            </w:tcBorders>
            <w:shd w:val="clear" w:color="000000" w:fill="FCDADC"/>
            <w:noWrap/>
            <w:vAlign w:val="bottom"/>
            <w:hideMark/>
          </w:tcPr>
          <w:p w14:paraId="0F0FC11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11%</w:t>
            </w:r>
          </w:p>
        </w:tc>
        <w:tc>
          <w:tcPr>
            <w:tcW w:w="1210" w:type="dxa"/>
            <w:tcBorders>
              <w:top w:val="single" w:sz="12" w:space="0" w:color="404040" w:themeColor="text1" w:themeTint="BF"/>
              <w:left w:val="nil"/>
              <w:bottom w:val="single" w:sz="4" w:space="0" w:color="auto"/>
              <w:right w:val="nil"/>
            </w:tcBorders>
            <w:shd w:val="clear" w:color="000000" w:fill="FCDFE1"/>
            <w:noWrap/>
            <w:vAlign w:val="bottom"/>
            <w:hideMark/>
          </w:tcPr>
          <w:p w14:paraId="6A6FEDD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c>
          <w:tcPr>
            <w:tcW w:w="1314" w:type="dxa"/>
            <w:tcBorders>
              <w:top w:val="single" w:sz="12" w:space="0" w:color="404040" w:themeColor="text1" w:themeTint="BF"/>
              <w:left w:val="nil"/>
              <w:bottom w:val="single" w:sz="4" w:space="0" w:color="auto"/>
              <w:right w:val="nil"/>
            </w:tcBorders>
            <w:shd w:val="clear" w:color="000000" w:fill="FBB9BC"/>
            <w:noWrap/>
            <w:vAlign w:val="bottom"/>
            <w:hideMark/>
          </w:tcPr>
          <w:p w14:paraId="63034FED"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24%</w:t>
            </w:r>
          </w:p>
        </w:tc>
      </w:tr>
      <w:tr w:rsidR="007B59ED" w:rsidRPr="00C64BA4" w14:paraId="04AC50C1" w14:textId="77777777" w:rsidTr="00D65D0C">
        <w:trPr>
          <w:trHeight w:val="300"/>
        </w:trPr>
        <w:tc>
          <w:tcPr>
            <w:tcW w:w="1445" w:type="dxa"/>
            <w:vMerge/>
            <w:tcBorders>
              <w:top w:val="nil"/>
              <w:left w:val="nil"/>
              <w:bottom w:val="single" w:sz="12" w:space="0" w:color="404040" w:themeColor="text1" w:themeTint="BF"/>
              <w:right w:val="nil"/>
            </w:tcBorders>
            <w:vAlign w:val="center"/>
            <w:hideMark/>
          </w:tcPr>
          <w:p w14:paraId="4E61E079" w14:textId="77777777" w:rsidR="007B59ED" w:rsidRPr="00C64BA4" w:rsidRDefault="007B59ED" w:rsidP="00206C45">
            <w:pPr>
              <w:spacing w:after="0" w:line="300" w:lineRule="auto"/>
              <w:rPr>
                <w:rFonts w:eastAsia="Times New Roman" w:cs="Calibri"/>
                <w:color w:val="000000"/>
              </w:rPr>
            </w:pPr>
          </w:p>
        </w:tc>
        <w:tc>
          <w:tcPr>
            <w:tcW w:w="727" w:type="dxa"/>
            <w:tcBorders>
              <w:top w:val="nil"/>
              <w:left w:val="nil"/>
              <w:bottom w:val="single" w:sz="12" w:space="0" w:color="404040" w:themeColor="text1" w:themeTint="BF"/>
              <w:right w:val="nil"/>
            </w:tcBorders>
            <w:shd w:val="clear" w:color="auto" w:fill="auto"/>
            <w:noWrap/>
            <w:vAlign w:val="bottom"/>
            <w:hideMark/>
          </w:tcPr>
          <w:p w14:paraId="1BED61A5"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2020</w:t>
            </w:r>
          </w:p>
        </w:tc>
        <w:tc>
          <w:tcPr>
            <w:tcW w:w="1219" w:type="dxa"/>
            <w:tcBorders>
              <w:top w:val="nil"/>
              <w:left w:val="nil"/>
              <w:bottom w:val="single" w:sz="12" w:space="0" w:color="404040" w:themeColor="text1" w:themeTint="BF"/>
              <w:right w:val="nil"/>
            </w:tcBorders>
            <w:shd w:val="clear" w:color="000000" w:fill="5A8AC6"/>
            <w:noWrap/>
            <w:vAlign w:val="bottom"/>
            <w:hideMark/>
          </w:tcPr>
          <w:p w14:paraId="7CC7A8B1"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-28%</w:t>
            </w:r>
          </w:p>
        </w:tc>
        <w:tc>
          <w:tcPr>
            <w:tcW w:w="1205" w:type="dxa"/>
            <w:tcBorders>
              <w:top w:val="nil"/>
              <w:left w:val="nil"/>
              <w:bottom w:val="single" w:sz="12" w:space="0" w:color="404040" w:themeColor="text1" w:themeTint="BF"/>
              <w:right w:val="nil"/>
            </w:tcBorders>
            <w:shd w:val="clear" w:color="000000" w:fill="9AB7DC"/>
            <w:noWrap/>
            <w:vAlign w:val="bottom"/>
            <w:hideMark/>
          </w:tcPr>
          <w:p w14:paraId="129F7F85"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-18%</w:t>
            </w:r>
          </w:p>
        </w:tc>
        <w:tc>
          <w:tcPr>
            <w:tcW w:w="1153" w:type="dxa"/>
            <w:tcBorders>
              <w:top w:val="nil"/>
              <w:left w:val="nil"/>
              <w:bottom w:val="single" w:sz="12" w:space="0" w:color="404040" w:themeColor="text1" w:themeTint="BF"/>
              <w:right w:val="nil"/>
            </w:tcBorders>
            <w:shd w:val="clear" w:color="000000" w:fill="E8EEF8"/>
            <w:noWrap/>
            <w:vAlign w:val="bottom"/>
            <w:hideMark/>
          </w:tcPr>
          <w:p w14:paraId="0BEBD67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-6%</w:t>
            </w:r>
          </w:p>
        </w:tc>
        <w:tc>
          <w:tcPr>
            <w:tcW w:w="1111" w:type="dxa"/>
            <w:tcBorders>
              <w:top w:val="nil"/>
              <w:left w:val="nil"/>
              <w:bottom w:val="single" w:sz="12" w:space="0" w:color="404040" w:themeColor="text1" w:themeTint="BF"/>
              <w:right w:val="nil"/>
            </w:tcBorders>
            <w:shd w:val="clear" w:color="000000" w:fill="D5E0F1"/>
            <w:noWrap/>
            <w:vAlign w:val="bottom"/>
            <w:hideMark/>
          </w:tcPr>
          <w:p w14:paraId="718FD2E5"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c>
          <w:tcPr>
            <w:tcW w:w="1196" w:type="dxa"/>
            <w:tcBorders>
              <w:top w:val="nil"/>
              <w:left w:val="nil"/>
              <w:bottom w:val="single" w:sz="12" w:space="0" w:color="404040" w:themeColor="text1" w:themeTint="BF"/>
              <w:right w:val="nil"/>
            </w:tcBorders>
            <w:shd w:val="clear" w:color="000000" w:fill="FCFAFD"/>
            <w:noWrap/>
            <w:vAlign w:val="bottom"/>
            <w:hideMark/>
          </w:tcPr>
          <w:p w14:paraId="359A8D75"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w:t>
            </w:r>
          </w:p>
        </w:tc>
        <w:tc>
          <w:tcPr>
            <w:tcW w:w="1210" w:type="dxa"/>
            <w:tcBorders>
              <w:top w:val="nil"/>
              <w:left w:val="nil"/>
              <w:bottom w:val="single" w:sz="12" w:space="0" w:color="404040" w:themeColor="text1" w:themeTint="BF"/>
              <w:right w:val="nil"/>
            </w:tcBorders>
            <w:shd w:val="clear" w:color="000000" w:fill="FCE1E4"/>
            <w:noWrap/>
            <w:vAlign w:val="bottom"/>
            <w:hideMark/>
          </w:tcPr>
          <w:p w14:paraId="05319B7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8%</w:t>
            </w:r>
          </w:p>
        </w:tc>
        <w:tc>
          <w:tcPr>
            <w:tcW w:w="1314" w:type="dxa"/>
            <w:tcBorders>
              <w:top w:val="nil"/>
              <w:left w:val="nil"/>
              <w:bottom w:val="single" w:sz="12" w:space="0" w:color="404040" w:themeColor="text1" w:themeTint="BF"/>
              <w:right w:val="nil"/>
            </w:tcBorders>
            <w:shd w:val="clear" w:color="000000" w:fill="F8696B"/>
            <w:noWrap/>
            <w:vAlign w:val="bottom"/>
            <w:hideMark/>
          </w:tcPr>
          <w:p w14:paraId="5B27106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56%</w:t>
            </w:r>
          </w:p>
        </w:tc>
      </w:tr>
      <w:tr w:rsidR="007B59ED" w:rsidRPr="00C64BA4" w14:paraId="025A38AE" w14:textId="77777777" w:rsidTr="00D65D0C">
        <w:trPr>
          <w:trHeight w:val="285"/>
        </w:trPr>
        <w:tc>
          <w:tcPr>
            <w:tcW w:w="1445" w:type="dxa"/>
            <w:vMerge w:val="restart"/>
            <w:tcBorders>
              <w:top w:val="single" w:sz="12" w:space="0" w:color="404040" w:themeColor="text1" w:themeTint="BF"/>
              <w:left w:val="nil"/>
              <w:bottom w:val="single" w:sz="8" w:space="0" w:color="000000"/>
              <w:right w:val="nil"/>
            </w:tcBorders>
            <w:shd w:val="clear" w:color="auto" w:fill="auto"/>
            <w:noWrap/>
            <w:vAlign w:val="center"/>
            <w:hideMark/>
          </w:tcPr>
          <w:p w14:paraId="61A2A4B9"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SWRPC</w:t>
            </w:r>
          </w:p>
        </w:tc>
        <w:tc>
          <w:tcPr>
            <w:tcW w:w="727" w:type="dxa"/>
            <w:tcBorders>
              <w:top w:val="single" w:sz="12" w:space="0" w:color="404040" w:themeColor="text1" w:themeTint="BF"/>
              <w:left w:val="nil"/>
              <w:bottom w:val="single" w:sz="4" w:space="0" w:color="auto"/>
              <w:right w:val="nil"/>
            </w:tcBorders>
            <w:shd w:val="clear" w:color="auto" w:fill="auto"/>
            <w:noWrap/>
            <w:vAlign w:val="bottom"/>
            <w:hideMark/>
          </w:tcPr>
          <w:p w14:paraId="37963848"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2010</w:t>
            </w:r>
          </w:p>
        </w:tc>
        <w:tc>
          <w:tcPr>
            <w:tcW w:w="1219" w:type="dxa"/>
            <w:tcBorders>
              <w:top w:val="single" w:sz="12" w:space="0" w:color="404040" w:themeColor="text1" w:themeTint="BF"/>
              <w:left w:val="nil"/>
              <w:bottom w:val="single" w:sz="4" w:space="0" w:color="auto"/>
              <w:right w:val="nil"/>
            </w:tcBorders>
            <w:shd w:val="clear" w:color="000000" w:fill="7BA1D1"/>
            <w:noWrap/>
            <w:vAlign w:val="bottom"/>
            <w:hideMark/>
          </w:tcPr>
          <w:p w14:paraId="18F9EB4A"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-23%</w:t>
            </w:r>
          </w:p>
        </w:tc>
        <w:tc>
          <w:tcPr>
            <w:tcW w:w="1205" w:type="dxa"/>
            <w:tcBorders>
              <w:top w:val="single" w:sz="12" w:space="0" w:color="404040" w:themeColor="text1" w:themeTint="BF"/>
              <w:left w:val="nil"/>
              <w:bottom w:val="single" w:sz="4" w:space="0" w:color="auto"/>
              <w:right w:val="nil"/>
            </w:tcBorders>
            <w:shd w:val="clear" w:color="000000" w:fill="BFD1E9"/>
            <w:noWrap/>
            <w:vAlign w:val="bottom"/>
            <w:hideMark/>
          </w:tcPr>
          <w:p w14:paraId="46C43426"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c>
          <w:tcPr>
            <w:tcW w:w="1153" w:type="dxa"/>
            <w:tcBorders>
              <w:top w:val="single" w:sz="12" w:space="0" w:color="404040" w:themeColor="text1" w:themeTint="BF"/>
              <w:left w:val="nil"/>
              <w:bottom w:val="single" w:sz="4" w:space="0" w:color="auto"/>
              <w:right w:val="nil"/>
            </w:tcBorders>
            <w:shd w:val="clear" w:color="000000" w:fill="F4F6FC"/>
            <w:noWrap/>
            <w:vAlign w:val="bottom"/>
            <w:hideMark/>
          </w:tcPr>
          <w:p w14:paraId="70116D78"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w:t>
            </w:r>
          </w:p>
        </w:tc>
        <w:tc>
          <w:tcPr>
            <w:tcW w:w="1111" w:type="dxa"/>
            <w:tcBorders>
              <w:top w:val="single" w:sz="12" w:space="0" w:color="404040" w:themeColor="text1" w:themeTint="BF"/>
              <w:left w:val="nil"/>
              <w:bottom w:val="single" w:sz="4" w:space="0" w:color="auto"/>
              <w:right w:val="nil"/>
            </w:tcBorders>
            <w:shd w:val="clear" w:color="000000" w:fill="FA9C9F"/>
            <w:noWrap/>
            <w:vAlign w:val="bottom"/>
            <w:hideMark/>
          </w:tcPr>
          <w:p w14:paraId="67A1825D"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13%</w:t>
            </w:r>
          </w:p>
        </w:tc>
        <w:tc>
          <w:tcPr>
            <w:tcW w:w="1196" w:type="dxa"/>
            <w:tcBorders>
              <w:top w:val="single" w:sz="12" w:space="0" w:color="404040" w:themeColor="text1" w:themeTint="BF"/>
              <w:left w:val="nil"/>
              <w:bottom w:val="single" w:sz="4" w:space="0" w:color="auto"/>
              <w:right w:val="nil"/>
            </w:tcBorders>
            <w:shd w:val="clear" w:color="000000" w:fill="FCE3E6"/>
            <w:noWrap/>
            <w:vAlign w:val="bottom"/>
            <w:hideMark/>
          </w:tcPr>
          <w:p w14:paraId="3A1307AC"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6%</w:t>
            </w:r>
          </w:p>
        </w:tc>
        <w:tc>
          <w:tcPr>
            <w:tcW w:w="1210" w:type="dxa"/>
            <w:tcBorders>
              <w:top w:val="single" w:sz="12" w:space="0" w:color="404040" w:themeColor="text1" w:themeTint="BF"/>
              <w:left w:val="nil"/>
              <w:bottom w:val="single" w:sz="4" w:space="0" w:color="auto"/>
              <w:right w:val="nil"/>
            </w:tcBorders>
            <w:shd w:val="clear" w:color="000000" w:fill="FCF7FA"/>
            <w:noWrap/>
            <w:vAlign w:val="bottom"/>
            <w:hideMark/>
          </w:tcPr>
          <w:p w14:paraId="071A1BD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4%</w:t>
            </w:r>
          </w:p>
        </w:tc>
        <w:tc>
          <w:tcPr>
            <w:tcW w:w="1314" w:type="dxa"/>
            <w:tcBorders>
              <w:top w:val="single" w:sz="12" w:space="0" w:color="404040" w:themeColor="text1" w:themeTint="BF"/>
              <w:left w:val="nil"/>
              <w:bottom w:val="single" w:sz="4" w:space="0" w:color="auto"/>
              <w:right w:val="nil"/>
            </w:tcBorders>
            <w:shd w:val="clear" w:color="000000" w:fill="FCD9DC"/>
            <w:noWrap/>
            <w:vAlign w:val="bottom"/>
            <w:hideMark/>
          </w:tcPr>
          <w:p w14:paraId="0FA9DB99"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7%</w:t>
            </w:r>
          </w:p>
        </w:tc>
      </w:tr>
      <w:tr w:rsidR="007B59ED" w:rsidRPr="00C64BA4" w14:paraId="472E27C8" w14:textId="77777777" w:rsidTr="00D65D0C">
        <w:trPr>
          <w:trHeight w:val="300"/>
        </w:trPr>
        <w:tc>
          <w:tcPr>
            <w:tcW w:w="1445" w:type="dxa"/>
            <w:vMerge/>
            <w:tcBorders>
              <w:top w:val="nil"/>
              <w:left w:val="nil"/>
              <w:bottom w:val="single" w:sz="12" w:space="0" w:color="404040" w:themeColor="text1" w:themeTint="BF"/>
              <w:right w:val="nil"/>
            </w:tcBorders>
            <w:vAlign w:val="center"/>
            <w:hideMark/>
          </w:tcPr>
          <w:p w14:paraId="5A3D123F" w14:textId="77777777" w:rsidR="007B59ED" w:rsidRPr="00C64BA4" w:rsidRDefault="007B59ED" w:rsidP="00206C45">
            <w:pPr>
              <w:spacing w:after="0" w:line="300" w:lineRule="auto"/>
              <w:rPr>
                <w:rFonts w:eastAsia="Times New Roman" w:cs="Calibri"/>
                <w:color w:val="000000"/>
              </w:rPr>
            </w:pPr>
          </w:p>
        </w:tc>
        <w:tc>
          <w:tcPr>
            <w:tcW w:w="727" w:type="dxa"/>
            <w:tcBorders>
              <w:top w:val="nil"/>
              <w:left w:val="nil"/>
              <w:bottom w:val="single" w:sz="12" w:space="0" w:color="404040" w:themeColor="text1" w:themeTint="BF"/>
              <w:right w:val="nil"/>
            </w:tcBorders>
            <w:shd w:val="clear" w:color="auto" w:fill="auto"/>
            <w:noWrap/>
            <w:vAlign w:val="bottom"/>
            <w:hideMark/>
          </w:tcPr>
          <w:p w14:paraId="73F1ED14"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2020</w:t>
            </w:r>
          </w:p>
        </w:tc>
        <w:tc>
          <w:tcPr>
            <w:tcW w:w="1219" w:type="dxa"/>
            <w:tcBorders>
              <w:top w:val="nil"/>
              <w:left w:val="nil"/>
              <w:bottom w:val="single" w:sz="12" w:space="0" w:color="404040" w:themeColor="text1" w:themeTint="BF"/>
              <w:right w:val="nil"/>
            </w:tcBorders>
            <w:shd w:val="clear" w:color="000000" w:fill="5A8AC6"/>
            <w:noWrap/>
            <w:vAlign w:val="bottom"/>
            <w:hideMark/>
          </w:tcPr>
          <w:p w14:paraId="23210237"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-30%</w:t>
            </w:r>
          </w:p>
        </w:tc>
        <w:tc>
          <w:tcPr>
            <w:tcW w:w="1205" w:type="dxa"/>
            <w:tcBorders>
              <w:top w:val="nil"/>
              <w:left w:val="nil"/>
              <w:bottom w:val="single" w:sz="12" w:space="0" w:color="404040" w:themeColor="text1" w:themeTint="BF"/>
              <w:right w:val="nil"/>
            </w:tcBorders>
            <w:shd w:val="clear" w:color="000000" w:fill="A2BDDF"/>
            <w:noWrap/>
            <w:vAlign w:val="bottom"/>
            <w:hideMark/>
          </w:tcPr>
          <w:p w14:paraId="445ECBD3"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-15%</w:t>
            </w:r>
          </w:p>
        </w:tc>
        <w:tc>
          <w:tcPr>
            <w:tcW w:w="1153" w:type="dxa"/>
            <w:tcBorders>
              <w:top w:val="nil"/>
              <w:left w:val="nil"/>
              <w:bottom w:val="single" w:sz="12" w:space="0" w:color="404040" w:themeColor="text1" w:themeTint="BF"/>
              <w:right w:val="nil"/>
            </w:tcBorders>
            <w:shd w:val="clear" w:color="000000" w:fill="E1E9F5"/>
            <w:noWrap/>
            <w:vAlign w:val="bottom"/>
            <w:hideMark/>
          </w:tcPr>
          <w:p w14:paraId="03BE4150"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w:t>
            </w:r>
          </w:p>
        </w:tc>
        <w:tc>
          <w:tcPr>
            <w:tcW w:w="1111" w:type="dxa"/>
            <w:tcBorders>
              <w:top w:val="nil"/>
              <w:left w:val="nil"/>
              <w:bottom w:val="single" w:sz="12" w:space="0" w:color="404040" w:themeColor="text1" w:themeTint="BF"/>
              <w:right w:val="nil"/>
            </w:tcBorders>
            <w:shd w:val="clear" w:color="000000" w:fill="F9FAFE"/>
            <w:noWrap/>
            <w:vAlign w:val="bottom"/>
            <w:hideMark/>
          </w:tcPr>
          <w:p w14:paraId="34DC3D8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3%</w:t>
            </w:r>
          </w:p>
        </w:tc>
        <w:tc>
          <w:tcPr>
            <w:tcW w:w="1196" w:type="dxa"/>
            <w:tcBorders>
              <w:top w:val="nil"/>
              <w:left w:val="nil"/>
              <w:bottom w:val="single" w:sz="12" w:space="0" w:color="404040" w:themeColor="text1" w:themeTint="BF"/>
              <w:right w:val="nil"/>
            </w:tcBorders>
            <w:shd w:val="clear" w:color="000000" w:fill="FAB0B3"/>
            <w:noWrap/>
            <w:vAlign w:val="bottom"/>
            <w:hideMark/>
          </w:tcPr>
          <w:p w14:paraId="0030547C"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11%</w:t>
            </w:r>
          </w:p>
        </w:tc>
        <w:tc>
          <w:tcPr>
            <w:tcW w:w="1210" w:type="dxa"/>
            <w:tcBorders>
              <w:top w:val="nil"/>
              <w:left w:val="nil"/>
              <w:bottom w:val="single" w:sz="12" w:space="0" w:color="404040" w:themeColor="text1" w:themeTint="BF"/>
              <w:right w:val="nil"/>
            </w:tcBorders>
            <w:shd w:val="clear" w:color="000000" w:fill="FA9C9F"/>
            <w:noWrap/>
            <w:vAlign w:val="bottom"/>
            <w:hideMark/>
          </w:tcPr>
          <w:p w14:paraId="5925CB9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13%</w:t>
            </w:r>
          </w:p>
        </w:tc>
        <w:tc>
          <w:tcPr>
            <w:tcW w:w="1314" w:type="dxa"/>
            <w:tcBorders>
              <w:top w:val="nil"/>
              <w:left w:val="nil"/>
              <w:bottom w:val="single" w:sz="12" w:space="0" w:color="404040" w:themeColor="text1" w:themeTint="BF"/>
              <w:right w:val="nil"/>
            </w:tcBorders>
            <w:shd w:val="clear" w:color="000000" w:fill="F8696B"/>
            <w:noWrap/>
            <w:vAlign w:val="bottom"/>
            <w:hideMark/>
          </w:tcPr>
          <w:p w14:paraId="1A0183E8"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18%</w:t>
            </w:r>
          </w:p>
        </w:tc>
      </w:tr>
      <w:tr w:rsidR="007B59ED" w:rsidRPr="00C64BA4" w14:paraId="5CB79E75" w14:textId="77777777" w:rsidTr="00D65D0C">
        <w:trPr>
          <w:trHeight w:val="285"/>
        </w:trPr>
        <w:tc>
          <w:tcPr>
            <w:tcW w:w="1445" w:type="dxa"/>
            <w:vMerge w:val="restart"/>
            <w:tcBorders>
              <w:top w:val="single" w:sz="12" w:space="0" w:color="404040" w:themeColor="text1" w:themeTint="BF"/>
              <w:left w:val="nil"/>
              <w:bottom w:val="single" w:sz="8" w:space="0" w:color="000000"/>
              <w:right w:val="nil"/>
            </w:tcBorders>
            <w:shd w:val="clear" w:color="auto" w:fill="auto"/>
            <w:noWrap/>
            <w:vAlign w:val="center"/>
            <w:hideMark/>
          </w:tcPr>
          <w:p w14:paraId="50B90EF4"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SRPC</w:t>
            </w:r>
          </w:p>
        </w:tc>
        <w:tc>
          <w:tcPr>
            <w:tcW w:w="727" w:type="dxa"/>
            <w:tcBorders>
              <w:top w:val="single" w:sz="12" w:space="0" w:color="404040" w:themeColor="text1" w:themeTint="BF"/>
              <w:left w:val="nil"/>
              <w:bottom w:val="single" w:sz="4" w:space="0" w:color="auto"/>
              <w:right w:val="nil"/>
            </w:tcBorders>
            <w:shd w:val="clear" w:color="auto" w:fill="auto"/>
            <w:noWrap/>
            <w:vAlign w:val="bottom"/>
            <w:hideMark/>
          </w:tcPr>
          <w:p w14:paraId="667F84AC"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2010</w:t>
            </w:r>
          </w:p>
        </w:tc>
        <w:tc>
          <w:tcPr>
            <w:tcW w:w="1219" w:type="dxa"/>
            <w:tcBorders>
              <w:top w:val="single" w:sz="12" w:space="0" w:color="404040" w:themeColor="text1" w:themeTint="BF"/>
              <w:left w:val="nil"/>
              <w:bottom w:val="single" w:sz="4" w:space="0" w:color="auto"/>
              <w:right w:val="nil"/>
            </w:tcBorders>
            <w:shd w:val="clear" w:color="000000" w:fill="6390C9"/>
            <w:noWrap/>
            <w:vAlign w:val="bottom"/>
            <w:hideMark/>
          </w:tcPr>
          <w:p w14:paraId="4511B91D"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-30%</w:t>
            </w:r>
          </w:p>
        </w:tc>
        <w:tc>
          <w:tcPr>
            <w:tcW w:w="1205" w:type="dxa"/>
            <w:tcBorders>
              <w:top w:val="single" w:sz="12" w:space="0" w:color="404040" w:themeColor="text1" w:themeTint="BF"/>
              <w:left w:val="nil"/>
              <w:bottom w:val="single" w:sz="4" w:space="0" w:color="auto"/>
              <w:right w:val="nil"/>
            </w:tcBorders>
            <w:shd w:val="clear" w:color="000000" w:fill="C7D7EC"/>
            <w:noWrap/>
            <w:vAlign w:val="bottom"/>
            <w:hideMark/>
          </w:tcPr>
          <w:p w14:paraId="53F76653"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-8%</w:t>
            </w:r>
          </w:p>
        </w:tc>
        <w:tc>
          <w:tcPr>
            <w:tcW w:w="1153" w:type="dxa"/>
            <w:tcBorders>
              <w:top w:val="single" w:sz="12" w:space="0" w:color="404040" w:themeColor="text1" w:themeTint="BF"/>
              <w:left w:val="nil"/>
              <w:bottom w:val="single" w:sz="4" w:space="0" w:color="auto"/>
              <w:right w:val="nil"/>
            </w:tcBorders>
            <w:shd w:val="clear" w:color="000000" w:fill="F0F3FA"/>
            <w:noWrap/>
            <w:vAlign w:val="bottom"/>
            <w:hideMark/>
          </w:tcPr>
          <w:p w14:paraId="551D615B"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w:t>
            </w:r>
          </w:p>
        </w:tc>
        <w:tc>
          <w:tcPr>
            <w:tcW w:w="1111" w:type="dxa"/>
            <w:tcBorders>
              <w:top w:val="single" w:sz="12" w:space="0" w:color="404040" w:themeColor="text1" w:themeTint="BF"/>
              <w:left w:val="nil"/>
              <w:bottom w:val="single" w:sz="4" w:space="0" w:color="auto"/>
              <w:right w:val="nil"/>
            </w:tcBorders>
            <w:shd w:val="clear" w:color="000000" w:fill="FBC2C5"/>
            <w:noWrap/>
            <w:vAlign w:val="bottom"/>
            <w:hideMark/>
          </w:tcPr>
          <w:p w14:paraId="632CCCC7"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12%</w:t>
            </w:r>
          </w:p>
        </w:tc>
        <w:tc>
          <w:tcPr>
            <w:tcW w:w="1196" w:type="dxa"/>
            <w:tcBorders>
              <w:top w:val="single" w:sz="12" w:space="0" w:color="404040" w:themeColor="text1" w:themeTint="BF"/>
              <w:left w:val="nil"/>
              <w:bottom w:val="single" w:sz="4" w:space="0" w:color="auto"/>
              <w:right w:val="nil"/>
            </w:tcBorders>
            <w:shd w:val="clear" w:color="000000" w:fill="FBC2C5"/>
            <w:noWrap/>
            <w:vAlign w:val="bottom"/>
            <w:hideMark/>
          </w:tcPr>
          <w:p w14:paraId="48B8DDA3"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12%</w:t>
            </w:r>
          </w:p>
        </w:tc>
        <w:tc>
          <w:tcPr>
            <w:tcW w:w="1210" w:type="dxa"/>
            <w:tcBorders>
              <w:top w:val="single" w:sz="12" w:space="0" w:color="404040" w:themeColor="text1" w:themeTint="BF"/>
              <w:left w:val="nil"/>
              <w:bottom w:val="single" w:sz="4" w:space="0" w:color="auto"/>
              <w:right w:val="nil"/>
            </w:tcBorders>
            <w:shd w:val="clear" w:color="000000" w:fill="FCEBEE"/>
            <w:noWrap/>
            <w:vAlign w:val="bottom"/>
            <w:hideMark/>
          </w:tcPr>
          <w:p w14:paraId="771B8CE7"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6%</w:t>
            </w:r>
          </w:p>
        </w:tc>
        <w:tc>
          <w:tcPr>
            <w:tcW w:w="1314" w:type="dxa"/>
            <w:tcBorders>
              <w:top w:val="single" w:sz="12" w:space="0" w:color="404040" w:themeColor="text1" w:themeTint="BF"/>
              <w:left w:val="nil"/>
              <w:bottom w:val="single" w:sz="4" w:space="0" w:color="auto"/>
              <w:right w:val="nil"/>
            </w:tcBorders>
            <w:shd w:val="clear" w:color="000000" w:fill="FCDEE1"/>
            <w:noWrap/>
            <w:vAlign w:val="bottom"/>
            <w:hideMark/>
          </w:tcPr>
          <w:p w14:paraId="76F98030"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8%</w:t>
            </w:r>
          </w:p>
        </w:tc>
      </w:tr>
      <w:tr w:rsidR="007B59ED" w:rsidRPr="00C64BA4" w14:paraId="677C9E01" w14:textId="77777777" w:rsidTr="00D65D0C">
        <w:trPr>
          <w:trHeight w:val="300"/>
        </w:trPr>
        <w:tc>
          <w:tcPr>
            <w:tcW w:w="1445" w:type="dxa"/>
            <w:vMerge/>
            <w:tcBorders>
              <w:top w:val="nil"/>
              <w:left w:val="nil"/>
              <w:bottom w:val="single" w:sz="12" w:space="0" w:color="404040" w:themeColor="text1" w:themeTint="BF"/>
              <w:right w:val="nil"/>
            </w:tcBorders>
            <w:vAlign w:val="center"/>
            <w:hideMark/>
          </w:tcPr>
          <w:p w14:paraId="0B46D370" w14:textId="77777777" w:rsidR="007B59ED" w:rsidRPr="00C64BA4" w:rsidRDefault="007B59ED" w:rsidP="00206C45">
            <w:pPr>
              <w:spacing w:after="0" w:line="300" w:lineRule="auto"/>
              <w:rPr>
                <w:rFonts w:eastAsia="Times New Roman" w:cs="Calibri"/>
                <w:color w:val="000000"/>
              </w:rPr>
            </w:pPr>
          </w:p>
        </w:tc>
        <w:tc>
          <w:tcPr>
            <w:tcW w:w="727" w:type="dxa"/>
            <w:tcBorders>
              <w:top w:val="nil"/>
              <w:left w:val="nil"/>
              <w:bottom w:val="single" w:sz="12" w:space="0" w:color="404040" w:themeColor="text1" w:themeTint="BF"/>
              <w:right w:val="nil"/>
            </w:tcBorders>
            <w:shd w:val="clear" w:color="auto" w:fill="auto"/>
            <w:noWrap/>
            <w:vAlign w:val="bottom"/>
            <w:hideMark/>
          </w:tcPr>
          <w:p w14:paraId="372A1680"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2020</w:t>
            </w:r>
          </w:p>
        </w:tc>
        <w:tc>
          <w:tcPr>
            <w:tcW w:w="1219" w:type="dxa"/>
            <w:tcBorders>
              <w:top w:val="nil"/>
              <w:left w:val="nil"/>
              <w:bottom w:val="single" w:sz="12" w:space="0" w:color="404040" w:themeColor="text1" w:themeTint="BF"/>
              <w:right w:val="nil"/>
            </w:tcBorders>
            <w:shd w:val="clear" w:color="000000" w:fill="5A8AC6"/>
            <w:noWrap/>
            <w:vAlign w:val="bottom"/>
            <w:hideMark/>
          </w:tcPr>
          <w:p w14:paraId="64AE09C9"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-32%</w:t>
            </w:r>
          </w:p>
        </w:tc>
        <w:tc>
          <w:tcPr>
            <w:tcW w:w="1205" w:type="dxa"/>
            <w:tcBorders>
              <w:top w:val="nil"/>
              <w:left w:val="nil"/>
              <w:bottom w:val="single" w:sz="12" w:space="0" w:color="404040" w:themeColor="text1" w:themeTint="BF"/>
              <w:right w:val="nil"/>
            </w:tcBorders>
            <w:shd w:val="clear" w:color="000000" w:fill="A7C0E1"/>
            <w:noWrap/>
            <w:vAlign w:val="bottom"/>
            <w:hideMark/>
          </w:tcPr>
          <w:p w14:paraId="03BA4355"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-15%</w:t>
            </w:r>
          </w:p>
        </w:tc>
        <w:tc>
          <w:tcPr>
            <w:tcW w:w="1153" w:type="dxa"/>
            <w:tcBorders>
              <w:top w:val="nil"/>
              <w:left w:val="nil"/>
              <w:bottom w:val="single" w:sz="12" w:space="0" w:color="404040" w:themeColor="text1" w:themeTint="BF"/>
              <w:right w:val="nil"/>
            </w:tcBorders>
            <w:shd w:val="clear" w:color="000000" w:fill="D5E0F1"/>
            <w:noWrap/>
            <w:vAlign w:val="bottom"/>
            <w:hideMark/>
          </w:tcPr>
          <w:p w14:paraId="1BB5C928"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-5%</w:t>
            </w:r>
          </w:p>
        </w:tc>
        <w:tc>
          <w:tcPr>
            <w:tcW w:w="1111" w:type="dxa"/>
            <w:tcBorders>
              <w:top w:val="nil"/>
              <w:left w:val="nil"/>
              <w:bottom w:val="single" w:sz="12" w:space="0" w:color="404040" w:themeColor="text1" w:themeTint="BF"/>
              <w:right w:val="nil"/>
            </w:tcBorders>
            <w:shd w:val="clear" w:color="000000" w:fill="E7EDF7"/>
            <w:noWrap/>
            <w:vAlign w:val="bottom"/>
            <w:hideMark/>
          </w:tcPr>
          <w:p w14:paraId="27F2BCA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w:t>
            </w:r>
          </w:p>
        </w:tc>
        <w:tc>
          <w:tcPr>
            <w:tcW w:w="1196" w:type="dxa"/>
            <w:tcBorders>
              <w:top w:val="nil"/>
              <w:left w:val="nil"/>
              <w:bottom w:val="single" w:sz="12" w:space="0" w:color="404040" w:themeColor="text1" w:themeTint="BF"/>
              <w:right w:val="nil"/>
            </w:tcBorders>
            <w:shd w:val="clear" w:color="000000" w:fill="FBBCBE"/>
            <w:noWrap/>
            <w:vAlign w:val="bottom"/>
            <w:hideMark/>
          </w:tcPr>
          <w:p w14:paraId="263B2FB3"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13%</w:t>
            </w:r>
          </w:p>
        </w:tc>
        <w:tc>
          <w:tcPr>
            <w:tcW w:w="1210" w:type="dxa"/>
            <w:tcBorders>
              <w:top w:val="nil"/>
              <w:left w:val="nil"/>
              <w:bottom w:val="single" w:sz="12" w:space="0" w:color="404040" w:themeColor="text1" w:themeTint="BF"/>
              <w:right w:val="nil"/>
            </w:tcBorders>
            <w:shd w:val="clear" w:color="000000" w:fill="FAAEB0"/>
            <w:noWrap/>
            <w:vAlign w:val="bottom"/>
            <w:hideMark/>
          </w:tcPr>
          <w:p w14:paraId="47A1BD3E"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15%</w:t>
            </w:r>
          </w:p>
        </w:tc>
        <w:tc>
          <w:tcPr>
            <w:tcW w:w="1314" w:type="dxa"/>
            <w:tcBorders>
              <w:top w:val="nil"/>
              <w:left w:val="nil"/>
              <w:bottom w:val="single" w:sz="12" w:space="0" w:color="404040" w:themeColor="text1" w:themeTint="BF"/>
              <w:right w:val="nil"/>
            </w:tcBorders>
            <w:shd w:val="clear" w:color="000000" w:fill="F8696B"/>
            <w:noWrap/>
            <w:vAlign w:val="bottom"/>
            <w:hideMark/>
          </w:tcPr>
          <w:p w14:paraId="22E5DDD9"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25%</w:t>
            </w:r>
          </w:p>
        </w:tc>
      </w:tr>
      <w:tr w:rsidR="007B59ED" w:rsidRPr="00C64BA4" w14:paraId="35CEB6DF" w14:textId="77777777" w:rsidTr="00D65D0C">
        <w:trPr>
          <w:trHeight w:val="285"/>
        </w:trPr>
        <w:tc>
          <w:tcPr>
            <w:tcW w:w="1445" w:type="dxa"/>
            <w:vMerge w:val="restart"/>
            <w:tcBorders>
              <w:top w:val="single" w:sz="12" w:space="0" w:color="404040" w:themeColor="text1" w:themeTint="BF"/>
              <w:left w:val="nil"/>
              <w:bottom w:val="single" w:sz="8" w:space="0" w:color="000000"/>
              <w:right w:val="nil"/>
            </w:tcBorders>
            <w:shd w:val="clear" w:color="auto" w:fill="auto"/>
            <w:noWrap/>
            <w:vAlign w:val="center"/>
            <w:hideMark/>
          </w:tcPr>
          <w:p w14:paraId="32C673D7"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UVLSRPC</w:t>
            </w:r>
          </w:p>
        </w:tc>
        <w:tc>
          <w:tcPr>
            <w:tcW w:w="727" w:type="dxa"/>
            <w:tcBorders>
              <w:top w:val="single" w:sz="12" w:space="0" w:color="404040" w:themeColor="text1" w:themeTint="BF"/>
              <w:left w:val="nil"/>
              <w:bottom w:val="single" w:sz="4" w:space="0" w:color="auto"/>
              <w:right w:val="nil"/>
            </w:tcBorders>
            <w:shd w:val="clear" w:color="auto" w:fill="auto"/>
            <w:noWrap/>
            <w:vAlign w:val="bottom"/>
            <w:hideMark/>
          </w:tcPr>
          <w:p w14:paraId="0256D307"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2010</w:t>
            </w:r>
          </w:p>
        </w:tc>
        <w:tc>
          <w:tcPr>
            <w:tcW w:w="1219" w:type="dxa"/>
            <w:tcBorders>
              <w:top w:val="single" w:sz="12" w:space="0" w:color="404040" w:themeColor="text1" w:themeTint="BF"/>
              <w:left w:val="nil"/>
              <w:bottom w:val="single" w:sz="4" w:space="0" w:color="auto"/>
              <w:right w:val="nil"/>
            </w:tcBorders>
            <w:shd w:val="clear" w:color="000000" w:fill="88ABD6"/>
            <w:noWrap/>
            <w:vAlign w:val="bottom"/>
            <w:hideMark/>
          </w:tcPr>
          <w:p w14:paraId="57EA77CD" w14:textId="77777777" w:rsidR="007B59ED" w:rsidRPr="00C64BA4" w:rsidRDefault="007B59ED" w:rsidP="00206C45">
            <w:pPr>
              <w:spacing w:after="0" w:line="300" w:lineRule="auto"/>
              <w:jc w:val="center"/>
              <w:rPr>
                <w:rFonts w:eastAsia="Times New Roman" w:cs="Calibri"/>
                <w:color w:val="FFFFFF"/>
              </w:rPr>
            </w:pPr>
            <w:r w:rsidRPr="00C64BA4">
              <w:rPr>
                <w:rFonts w:eastAsia="Times New Roman" w:cs="Calibri"/>
                <w:color w:val="FFFFFF"/>
              </w:rPr>
              <w:t>-22%</w:t>
            </w:r>
          </w:p>
        </w:tc>
        <w:tc>
          <w:tcPr>
            <w:tcW w:w="1205" w:type="dxa"/>
            <w:tcBorders>
              <w:top w:val="single" w:sz="12" w:space="0" w:color="404040" w:themeColor="text1" w:themeTint="BF"/>
              <w:left w:val="nil"/>
              <w:bottom w:val="single" w:sz="4" w:space="0" w:color="auto"/>
              <w:right w:val="nil"/>
            </w:tcBorders>
            <w:shd w:val="clear" w:color="000000" w:fill="C6D6EC"/>
            <w:noWrap/>
            <w:vAlign w:val="bottom"/>
            <w:hideMark/>
          </w:tcPr>
          <w:p w14:paraId="5902DF85"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-9%</w:t>
            </w:r>
          </w:p>
        </w:tc>
        <w:tc>
          <w:tcPr>
            <w:tcW w:w="1153" w:type="dxa"/>
            <w:tcBorders>
              <w:top w:val="single" w:sz="12" w:space="0" w:color="404040" w:themeColor="text1" w:themeTint="BF"/>
              <w:left w:val="nil"/>
              <w:bottom w:val="single" w:sz="4" w:space="0" w:color="auto"/>
              <w:right w:val="nil"/>
            </w:tcBorders>
            <w:shd w:val="clear" w:color="000000" w:fill="E6EDF7"/>
            <w:noWrap/>
            <w:vAlign w:val="bottom"/>
            <w:hideMark/>
          </w:tcPr>
          <w:p w14:paraId="5E45DF4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w:t>
            </w:r>
          </w:p>
        </w:tc>
        <w:tc>
          <w:tcPr>
            <w:tcW w:w="1111" w:type="dxa"/>
            <w:tcBorders>
              <w:top w:val="single" w:sz="12" w:space="0" w:color="404040" w:themeColor="text1" w:themeTint="BF"/>
              <w:left w:val="nil"/>
              <w:bottom w:val="single" w:sz="4" w:space="0" w:color="auto"/>
              <w:right w:val="nil"/>
            </w:tcBorders>
            <w:shd w:val="clear" w:color="000000" w:fill="F9FAFE"/>
            <w:noWrap/>
            <w:vAlign w:val="bottom"/>
            <w:hideMark/>
          </w:tcPr>
          <w:p w14:paraId="3994CC6A"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w:t>
            </w:r>
          </w:p>
        </w:tc>
        <w:tc>
          <w:tcPr>
            <w:tcW w:w="1196" w:type="dxa"/>
            <w:tcBorders>
              <w:top w:val="single" w:sz="12" w:space="0" w:color="404040" w:themeColor="text1" w:themeTint="BF"/>
              <w:left w:val="nil"/>
              <w:bottom w:val="single" w:sz="4" w:space="0" w:color="auto"/>
              <w:right w:val="nil"/>
            </w:tcBorders>
            <w:shd w:val="clear" w:color="000000" w:fill="FCFAFD"/>
            <w:noWrap/>
            <w:vAlign w:val="bottom"/>
            <w:hideMark/>
          </w:tcPr>
          <w:p w14:paraId="1C72DBDF"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3%</w:t>
            </w:r>
          </w:p>
        </w:tc>
        <w:tc>
          <w:tcPr>
            <w:tcW w:w="1210" w:type="dxa"/>
            <w:tcBorders>
              <w:top w:val="single" w:sz="12" w:space="0" w:color="404040" w:themeColor="text1" w:themeTint="BF"/>
              <w:left w:val="nil"/>
              <w:bottom w:val="single" w:sz="4" w:space="0" w:color="auto"/>
              <w:right w:val="nil"/>
            </w:tcBorders>
            <w:shd w:val="clear" w:color="000000" w:fill="FCF1F4"/>
            <w:noWrap/>
            <w:vAlign w:val="bottom"/>
            <w:hideMark/>
          </w:tcPr>
          <w:p w14:paraId="7D69B9EC"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5%</w:t>
            </w:r>
          </w:p>
        </w:tc>
        <w:tc>
          <w:tcPr>
            <w:tcW w:w="1314" w:type="dxa"/>
            <w:tcBorders>
              <w:top w:val="single" w:sz="12" w:space="0" w:color="404040" w:themeColor="text1" w:themeTint="BF"/>
              <w:left w:val="nil"/>
              <w:bottom w:val="single" w:sz="4" w:space="0" w:color="auto"/>
              <w:right w:val="nil"/>
            </w:tcBorders>
            <w:shd w:val="clear" w:color="000000" w:fill="FA9D9F"/>
            <w:noWrap/>
            <w:vAlign w:val="bottom"/>
            <w:hideMark/>
          </w:tcPr>
          <w:p w14:paraId="5C0E909D"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23%</w:t>
            </w:r>
          </w:p>
        </w:tc>
      </w:tr>
      <w:tr w:rsidR="007B59ED" w:rsidRPr="00C64BA4" w14:paraId="055A4735" w14:textId="77777777" w:rsidTr="00D65D0C">
        <w:trPr>
          <w:trHeight w:val="300"/>
        </w:trPr>
        <w:tc>
          <w:tcPr>
            <w:tcW w:w="1445" w:type="dxa"/>
            <w:vMerge/>
            <w:tcBorders>
              <w:top w:val="nil"/>
              <w:left w:val="nil"/>
              <w:bottom w:val="single" w:sz="8" w:space="0" w:color="000000"/>
              <w:right w:val="nil"/>
            </w:tcBorders>
            <w:vAlign w:val="center"/>
            <w:hideMark/>
          </w:tcPr>
          <w:p w14:paraId="564A48B3" w14:textId="77777777" w:rsidR="007B59ED" w:rsidRPr="00C64BA4" w:rsidRDefault="007B59ED" w:rsidP="00206C45">
            <w:pPr>
              <w:spacing w:after="0" w:line="300" w:lineRule="auto"/>
              <w:rPr>
                <w:rFonts w:eastAsia="Times New Roman" w:cs="Calibri"/>
                <w:color w:val="000000"/>
              </w:rPr>
            </w:pPr>
          </w:p>
        </w:tc>
        <w:tc>
          <w:tcPr>
            <w:tcW w:w="727" w:type="dxa"/>
            <w:tcBorders>
              <w:top w:val="nil"/>
              <w:left w:val="nil"/>
              <w:bottom w:val="single" w:sz="8" w:space="0" w:color="auto"/>
              <w:right w:val="nil"/>
            </w:tcBorders>
            <w:shd w:val="clear" w:color="auto" w:fill="auto"/>
            <w:noWrap/>
            <w:vAlign w:val="bottom"/>
            <w:hideMark/>
          </w:tcPr>
          <w:p w14:paraId="7AD3E400"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2020</w:t>
            </w:r>
          </w:p>
        </w:tc>
        <w:tc>
          <w:tcPr>
            <w:tcW w:w="1219" w:type="dxa"/>
            <w:tcBorders>
              <w:top w:val="nil"/>
              <w:left w:val="nil"/>
              <w:bottom w:val="single" w:sz="8" w:space="0" w:color="auto"/>
              <w:right w:val="nil"/>
            </w:tcBorders>
            <w:shd w:val="clear" w:color="000000" w:fill="5A8AC6"/>
            <w:noWrap/>
            <w:vAlign w:val="bottom"/>
            <w:hideMark/>
          </w:tcPr>
          <w:p w14:paraId="2DDEC033" w14:textId="77777777" w:rsidR="007B59ED" w:rsidRPr="00C64BA4" w:rsidRDefault="007B59ED" w:rsidP="00206C45">
            <w:pPr>
              <w:spacing w:after="0" w:line="300" w:lineRule="auto"/>
              <w:jc w:val="center"/>
              <w:rPr>
                <w:rFonts w:eastAsia="Times New Roman" w:cs="Calibri"/>
                <w:color w:val="F2F2F2"/>
              </w:rPr>
            </w:pPr>
            <w:r w:rsidRPr="00C64BA4">
              <w:rPr>
                <w:rFonts w:eastAsia="Times New Roman" w:cs="Calibri"/>
                <w:color w:val="F2F2F2"/>
              </w:rPr>
              <w:t>-32%</w:t>
            </w:r>
          </w:p>
        </w:tc>
        <w:tc>
          <w:tcPr>
            <w:tcW w:w="1205" w:type="dxa"/>
            <w:tcBorders>
              <w:top w:val="nil"/>
              <w:left w:val="nil"/>
              <w:bottom w:val="single" w:sz="8" w:space="0" w:color="auto"/>
              <w:right w:val="nil"/>
            </w:tcBorders>
            <w:shd w:val="clear" w:color="000000" w:fill="B3C8E5"/>
            <w:noWrap/>
            <w:vAlign w:val="bottom"/>
            <w:hideMark/>
          </w:tcPr>
          <w:p w14:paraId="55802317"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-13%</w:t>
            </w:r>
          </w:p>
        </w:tc>
        <w:tc>
          <w:tcPr>
            <w:tcW w:w="1153" w:type="dxa"/>
            <w:tcBorders>
              <w:top w:val="nil"/>
              <w:left w:val="nil"/>
              <w:bottom w:val="single" w:sz="8" w:space="0" w:color="auto"/>
              <w:right w:val="nil"/>
            </w:tcBorders>
            <w:shd w:val="clear" w:color="000000" w:fill="F0F3FA"/>
            <w:noWrap/>
            <w:vAlign w:val="bottom"/>
            <w:hideMark/>
          </w:tcPr>
          <w:p w14:paraId="2FCF1CE5"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0%</w:t>
            </w:r>
          </w:p>
        </w:tc>
        <w:tc>
          <w:tcPr>
            <w:tcW w:w="1111" w:type="dxa"/>
            <w:tcBorders>
              <w:top w:val="nil"/>
              <w:left w:val="nil"/>
              <w:bottom w:val="single" w:sz="8" w:space="0" w:color="auto"/>
              <w:right w:val="nil"/>
            </w:tcBorders>
            <w:shd w:val="clear" w:color="000000" w:fill="FCFAFD"/>
            <w:noWrap/>
            <w:vAlign w:val="bottom"/>
            <w:hideMark/>
          </w:tcPr>
          <w:p w14:paraId="37945A7A"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3%</w:t>
            </w:r>
          </w:p>
        </w:tc>
        <w:tc>
          <w:tcPr>
            <w:tcW w:w="1196" w:type="dxa"/>
            <w:tcBorders>
              <w:top w:val="nil"/>
              <w:left w:val="nil"/>
              <w:bottom w:val="single" w:sz="8" w:space="0" w:color="auto"/>
              <w:right w:val="nil"/>
            </w:tcBorders>
            <w:shd w:val="clear" w:color="000000" w:fill="FCF1F4"/>
            <w:noWrap/>
            <w:vAlign w:val="bottom"/>
            <w:hideMark/>
          </w:tcPr>
          <w:p w14:paraId="515FD9A1"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5%</w:t>
            </w:r>
          </w:p>
        </w:tc>
        <w:tc>
          <w:tcPr>
            <w:tcW w:w="1210" w:type="dxa"/>
            <w:tcBorders>
              <w:top w:val="nil"/>
              <w:left w:val="nil"/>
              <w:bottom w:val="single" w:sz="8" w:space="0" w:color="auto"/>
              <w:right w:val="nil"/>
            </w:tcBorders>
            <w:shd w:val="clear" w:color="000000" w:fill="FCF5F8"/>
            <w:noWrap/>
            <w:vAlign w:val="bottom"/>
            <w:hideMark/>
          </w:tcPr>
          <w:p w14:paraId="652CD120"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4%</w:t>
            </w:r>
          </w:p>
        </w:tc>
        <w:tc>
          <w:tcPr>
            <w:tcW w:w="1314" w:type="dxa"/>
            <w:tcBorders>
              <w:top w:val="nil"/>
              <w:left w:val="nil"/>
              <w:bottom w:val="single" w:sz="8" w:space="0" w:color="auto"/>
              <w:right w:val="nil"/>
            </w:tcBorders>
            <w:shd w:val="clear" w:color="000000" w:fill="F8696B"/>
            <w:noWrap/>
            <w:vAlign w:val="bottom"/>
            <w:hideMark/>
          </w:tcPr>
          <w:p w14:paraId="035F9816" w14:textId="77777777" w:rsidR="007B59ED" w:rsidRPr="00C64BA4" w:rsidRDefault="007B59ED" w:rsidP="00206C45">
            <w:pPr>
              <w:spacing w:after="0" w:line="300" w:lineRule="auto"/>
              <w:jc w:val="center"/>
              <w:rPr>
                <w:rFonts w:eastAsia="Times New Roman" w:cs="Calibri"/>
                <w:color w:val="000000"/>
              </w:rPr>
            </w:pPr>
            <w:r w:rsidRPr="00C64BA4">
              <w:rPr>
                <w:rFonts w:eastAsia="Times New Roman" w:cs="Calibri"/>
                <w:color w:val="000000"/>
              </w:rPr>
              <w:t>34%</w:t>
            </w:r>
          </w:p>
        </w:tc>
      </w:tr>
      <w:tr w:rsidR="007B59ED" w:rsidRPr="00C64BA4" w14:paraId="54E88F22" w14:textId="77777777" w:rsidTr="00D65D0C">
        <w:trPr>
          <w:trHeight w:val="300"/>
        </w:trPr>
        <w:tc>
          <w:tcPr>
            <w:tcW w:w="10580" w:type="dxa"/>
            <w:gridSpan w:val="9"/>
            <w:tcBorders>
              <w:top w:val="single" w:sz="8" w:space="0" w:color="auto"/>
              <w:left w:val="nil"/>
              <w:bottom w:val="nil"/>
              <w:right w:val="nil"/>
            </w:tcBorders>
            <w:shd w:val="clear" w:color="auto" w:fill="auto"/>
            <w:vAlign w:val="center"/>
            <w:hideMark/>
          </w:tcPr>
          <w:p w14:paraId="736A6D1B" w14:textId="77777777" w:rsidR="007B59ED" w:rsidRPr="00C64BA4" w:rsidRDefault="007B59ED"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Root Policy</w:t>
            </w:r>
          </w:p>
        </w:tc>
      </w:tr>
    </w:tbl>
    <w:p w14:paraId="73A092F7" w14:textId="0A8251FD" w:rsidR="003E1E82" w:rsidRPr="00C64BA4" w:rsidRDefault="00C330D6" w:rsidP="00206C45">
      <w:pPr>
        <w:spacing w:after="240" w:line="300" w:lineRule="auto"/>
        <w:rPr>
          <w:rFonts w:eastAsia="Times" w:cs="Times"/>
          <w:lang w:val="en"/>
        </w:rPr>
      </w:pPr>
      <w:r>
        <w:rPr>
          <w:rFonts w:eastAsia="Times" w:cs="Times"/>
          <w:lang w:val="en"/>
        </w:rPr>
        <w:t>Across New Hampshire, there is an average 30</w:t>
      </w:r>
      <w:r w:rsidR="005270F0">
        <w:rPr>
          <w:rFonts w:eastAsia="Times" w:cs="Times"/>
          <w:lang w:val="en"/>
        </w:rPr>
        <w:t>%</w:t>
      </w:r>
      <w:r>
        <w:rPr>
          <w:rFonts w:eastAsia="Times" w:cs="Times"/>
          <w:lang w:val="en"/>
        </w:rPr>
        <w:t xml:space="preserve"> shortage of units for households making </w:t>
      </w:r>
      <w:r w:rsidR="00021BED">
        <w:rPr>
          <w:rFonts w:eastAsia="Times" w:cs="Times"/>
          <w:lang w:val="en"/>
        </w:rPr>
        <w:t>0-3</w:t>
      </w:r>
      <w:r>
        <w:rPr>
          <w:rFonts w:eastAsia="Times" w:cs="Times"/>
          <w:lang w:val="en"/>
        </w:rPr>
        <w:t>0</w:t>
      </w:r>
      <w:r w:rsidR="005270F0">
        <w:rPr>
          <w:rFonts w:eastAsia="Times" w:cs="Times"/>
          <w:lang w:val="en"/>
        </w:rPr>
        <w:t>%</w:t>
      </w:r>
      <w:r w:rsidR="00021BED">
        <w:rPr>
          <w:rFonts w:eastAsia="Times" w:cs="Times"/>
          <w:lang w:val="en"/>
        </w:rPr>
        <w:t xml:space="preserve"> </w:t>
      </w:r>
      <w:r>
        <w:rPr>
          <w:rFonts w:eastAsia="Times" w:cs="Times"/>
          <w:lang w:val="en"/>
        </w:rPr>
        <w:t xml:space="preserve">of their AMI. In the SNHPC has the lowest unit shortage in the 0-30% AMI bracket compared to other regional planning commission regions. </w:t>
      </w:r>
      <w:r w:rsidR="00CE1CB1">
        <w:rPr>
          <w:rFonts w:eastAsia="Times" w:cs="Times"/>
          <w:lang w:val="en"/>
        </w:rPr>
        <w:t>The gap analysis largely shows that there is a surplus in homes at a higher price range and a shortage in affordable units for households making 0</w:t>
      </w:r>
      <w:r w:rsidR="005270F0">
        <w:rPr>
          <w:rFonts w:eastAsia="Times" w:cs="Times"/>
          <w:lang w:val="en"/>
        </w:rPr>
        <w:t>-</w:t>
      </w:r>
      <w:r w:rsidR="00CE1CB1">
        <w:rPr>
          <w:rFonts w:eastAsia="Times" w:cs="Times"/>
          <w:lang w:val="en"/>
        </w:rPr>
        <w:t>50</w:t>
      </w:r>
      <w:r w:rsidR="005270F0">
        <w:rPr>
          <w:rFonts w:eastAsia="Times" w:cs="Times"/>
          <w:lang w:val="en"/>
        </w:rPr>
        <w:t>%</w:t>
      </w:r>
      <w:r w:rsidR="00CE1CB1">
        <w:rPr>
          <w:rFonts w:eastAsia="Times" w:cs="Times"/>
          <w:lang w:val="en"/>
        </w:rPr>
        <w:t xml:space="preserve"> of the AMI.</w:t>
      </w:r>
    </w:p>
    <w:p w14:paraId="6D8C9CAB" w14:textId="77777777" w:rsidR="005A5C8F" w:rsidRPr="00C64BA4" w:rsidRDefault="005A5C8F" w:rsidP="00206C45">
      <w:pPr>
        <w:pStyle w:val="Heading3"/>
        <w:spacing w:line="300" w:lineRule="auto"/>
      </w:pPr>
      <w:bookmarkStart w:id="157" w:name="_Toc128137970"/>
      <w:r w:rsidRPr="00C64BA4">
        <w:t>New policies/laws enacted</w:t>
      </w:r>
      <w:bookmarkEnd w:id="157"/>
    </w:p>
    <w:p w14:paraId="46633758" w14:textId="77777777" w:rsidR="005A5C8F" w:rsidRPr="00C64BA4" w:rsidRDefault="005A5C8F" w:rsidP="00206C45">
      <w:pPr>
        <w:pStyle w:val="Body"/>
        <w:spacing w:line="300" w:lineRule="auto"/>
      </w:pPr>
      <w:r w:rsidRPr="00C64BA4">
        <w:t xml:space="preserve">The Housing chapter of the 2015 Southern NH Regional Comprehensive Plan includes a section that describes state laws in effect at that time that address various housing issues.  Since 2015, one element that New Hampshire has embraced across the state is the allowance for one additional small dwelling on any given residential property, better known as the accessory dwelling unit. </w:t>
      </w:r>
    </w:p>
    <w:p w14:paraId="674F021C" w14:textId="3EB211B7" w:rsidR="005A5C8F" w:rsidRPr="00C64BA4" w:rsidRDefault="005A5C8F" w:rsidP="00206C45">
      <w:pPr>
        <w:pStyle w:val="Heading4"/>
        <w:spacing w:line="300" w:lineRule="auto"/>
      </w:pPr>
      <w:r w:rsidRPr="00C64BA4">
        <w:lastRenderedPageBreak/>
        <w:t xml:space="preserve">Accessory Dwelling Units (ADUs) </w:t>
      </w:r>
    </w:p>
    <w:p w14:paraId="5D10CF86" w14:textId="6B3EBB72" w:rsidR="005A5C8F" w:rsidRPr="00C64BA4" w:rsidRDefault="005A5C8F" w:rsidP="00206C45">
      <w:pPr>
        <w:pStyle w:val="Body"/>
        <w:spacing w:line="300" w:lineRule="auto"/>
      </w:pPr>
      <w:r w:rsidRPr="00C64BA4">
        <w:t xml:space="preserve">The New Hampshire Housing and Finance Authority (NHHFA) published a legislative guide to the Accessory Dwelling Units statute. The following is an excerpt from the guide. The full Accessory Dwelling Units in New Hampshire – A Guide for Municipalities, can be found on the </w:t>
      </w:r>
      <w:r w:rsidRPr="009A6221">
        <w:t>NHHFA website</w:t>
      </w:r>
      <w:r w:rsidR="002428ED">
        <w:rPr>
          <w:rStyle w:val="FootnoteReference"/>
        </w:rPr>
        <w:footnoteReference w:id="24"/>
      </w:r>
      <w:r w:rsidRPr="00C64BA4">
        <w:t xml:space="preserve">. </w:t>
      </w:r>
    </w:p>
    <w:p w14:paraId="68F64256" w14:textId="77777777" w:rsidR="005A5C8F" w:rsidRPr="00C64BA4" w:rsidRDefault="005A5C8F" w:rsidP="00206C45">
      <w:pPr>
        <w:pStyle w:val="Body"/>
        <w:spacing w:line="300" w:lineRule="auto"/>
        <w:rPr>
          <w:i/>
          <w:iCs/>
        </w:rPr>
      </w:pPr>
      <w:r w:rsidRPr="00C64BA4">
        <w:rPr>
          <w:i/>
          <w:iCs/>
        </w:rPr>
        <w:t>The New Hampshire Accessory Dwelling Units statute (RSA 674:71 - 73) became law on June 1, 2017. As expressed by the Legislature, the intent of the law is to expand the supply of housing in New Hampshire communities without further land development, as well as to encourage efficient use of existing housing stock and infrastructure and provide an affordable housing option in communities. Accessory dwelling units are residential living units attached to or associated with a single-family dwelling, providing independent living facilities for one or more persons (e.g., an apartment over a garage, in a basement, in an outbuilding). Under the law, homeowners statewide now have the right to create an ADU for a family member, caregiver, or as a rental unit, in accordance with local ordinances.</w:t>
      </w:r>
    </w:p>
    <w:p w14:paraId="4A5BC458" w14:textId="77777777" w:rsidR="005A5C8F" w:rsidRPr="00C64BA4" w:rsidRDefault="005A5C8F" w:rsidP="00206C45">
      <w:pPr>
        <w:pStyle w:val="Heading4"/>
        <w:spacing w:line="300" w:lineRule="auto"/>
      </w:pPr>
      <w:r w:rsidRPr="00C64BA4">
        <w:t>The Housing Appeals Board</w:t>
      </w:r>
    </w:p>
    <w:p w14:paraId="3D883B69" w14:textId="77777777" w:rsidR="005A5C8F" w:rsidRPr="00C64BA4" w:rsidRDefault="005A5C8F" w:rsidP="00206C45">
      <w:pPr>
        <w:pStyle w:val="Body"/>
        <w:spacing w:line="300" w:lineRule="auto"/>
      </w:pPr>
      <w:r w:rsidRPr="00C64BA4">
        <w:t>In 2020 the NH Legislature established the Housing Appeals Board (HAB), whose responsibilities are to provide an alternative forum to the NH Superior Court in planning and zoning board cases that deal with housing and housing development.  The Board is modeled after the Board of Land and Tax Appeals and is intended to settle disputes between developers and local land use boards without going to court.  The Board is made up of three members who are appointed by the NH Supreme Court.  One must be an attorney, one must be either an engineer or land surveyor, and all must have experience in land use or housing development.</w:t>
      </w:r>
    </w:p>
    <w:p w14:paraId="2E5C0403" w14:textId="2140FE8E" w:rsidR="005A5C8F" w:rsidRPr="00C64BA4" w:rsidRDefault="005A5C8F" w:rsidP="00206C45">
      <w:pPr>
        <w:pStyle w:val="Body"/>
        <w:spacing w:line="300" w:lineRule="auto"/>
      </w:pPr>
      <w:r w:rsidRPr="00C64BA4">
        <w:rPr>
          <w:rFonts w:eastAsia="Tw Cen MT" w:cs="Tw Cen MT"/>
          <w:color w:val="000000" w:themeColor="text1"/>
        </w:rPr>
        <w:t xml:space="preserve">The Board's purpose is to provide an alternative forum to the New Hampshire Superior Court in zoning and planning cases that are timely, fair, inexpensive, and accessible to affected property owners, abutters, other proper parties, and municipalities. The Board has a responsibility parallel to the Superior Court to hear appeals of all planning and zoning decisions as specified in </w:t>
      </w:r>
      <w:r w:rsidRPr="009A6221">
        <w:rPr>
          <w:rFonts w:eastAsia="Tw Cen MT" w:cs="Tw Cen MT"/>
          <w:color w:val="000000" w:themeColor="text1"/>
        </w:rPr>
        <w:t>NH RSA 679</w:t>
      </w:r>
      <w:r w:rsidR="002428ED">
        <w:rPr>
          <w:rStyle w:val="FootnoteReference"/>
          <w:rFonts w:eastAsia="Tw Cen MT" w:cs="Tw Cen MT"/>
          <w:color w:val="000000" w:themeColor="text1"/>
        </w:rPr>
        <w:footnoteReference w:id="25"/>
      </w:r>
      <w:r w:rsidRPr="00C64BA4">
        <w:rPr>
          <w:rFonts w:eastAsia="Tw Cen MT" w:cs="Tw Cen MT"/>
          <w:color w:val="000000" w:themeColor="text1"/>
        </w:rPr>
        <w:t xml:space="preserve">.  </w:t>
      </w:r>
      <w:r w:rsidRPr="00C64BA4">
        <w:t xml:space="preserve">Proponents of the Board see this </w:t>
      </w:r>
      <w:proofErr w:type="gramStart"/>
      <w:r w:rsidRPr="00C64BA4">
        <w:t>as a way to</w:t>
      </w:r>
      <w:proofErr w:type="gramEnd"/>
      <w:r w:rsidRPr="00C64BA4">
        <w:t xml:space="preserve"> help meet the state’s shortage of affordable housing.  Specifically, the responsibilities of the Board cover</w:t>
      </w:r>
      <w:r w:rsidRPr="00C64BA4">
        <w:rPr>
          <w:rFonts w:eastAsia="Tw Cen MT" w:cs="Tw Cen MT"/>
          <w:color w:val="000000" w:themeColor="text1"/>
        </w:rPr>
        <w:t>:</w:t>
      </w:r>
    </w:p>
    <w:p w14:paraId="1B12AAE7" w14:textId="77777777" w:rsidR="005A5C8F" w:rsidRPr="00C64BA4" w:rsidRDefault="005A5C8F" w:rsidP="00206C45">
      <w:pPr>
        <w:pStyle w:val="Body"/>
        <w:numPr>
          <w:ilvl w:val="0"/>
          <w:numId w:val="20"/>
        </w:numPr>
        <w:spacing w:after="120" w:line="300" w:lineRule="auto"/>
        <w:ind w:left="1526"/>
        <w:jc w:val="left"/>
        <w:rPr>
          <w:rFonts w:eastAsia="Tw Cen MT" w:cs="Tw Cen MT"/>
          <w:color w:val="000000" w:themeColor="text1"/>
        </w:rPr>
      </w:pPr>
      <w:r w:rsidRPr="00C64BA4">
        <w:rPr>
          <w:rFonts w:eastAsia="Tw Cen MT" w:cs="Tw Cen MT"/>
          <w:color w:val="000000" w:themeColor="text1"/>
        </w:rPr>
        <w:t>Planning board decisions on subdivisions or site plans.</w:t>
      </w:r>
    </w:p>
    <w:p w14:paraId="36332228" w14:textId="77777777" w:rsidR="005A5C8F" w:rsidRPr="00C64BA4" w:rsidRDefault="005A5C8F" w:rsidP="00206C45">
      <w:pPr>
        <w:pStyle w:val="Body"/>
        <w:numPr>
          <w:ilvl w:val="0"/>
          <w:numId w:val="20"/>
        </w:numPr>
        <w:spacing w:after="120" w:line="300" w:lineRule="auto"/>
        <w:ind w:left="1526"/>
        <w:jc w:val="left"/>
        <w:rPr>
          <w:rFonts w:eastAsia="Tw Cen MT" w:cs="Tw Cen MT"/>
          <w:color w:val="000000" w:themeColor="text1"/>
        </w:rPr>
      </w:pPr>
      <w:r w:rsidRPr="00C64BA4">
        <w:rPr>
          <w:rFonts w:eastAsia="Tw Cen MT" w:cs="Tw Cen MT"/>
          <w:color w:val="000000" w:themeColor="text1"/>
        </w:rPr>
        <w:t>Board of adjustment decisions on variances, special exceptions, administrative appeals, and ordinance administration.</w:t>
      </w:r>
    </w:p>
    <w:p w14:paraId="62B221E2" w14:textId="77777777" w:rsidR="005A5C8F" w:rsidRPr="00C64BA4" w:rsidRDefault="005A5C8F" w:rsidP="00206C45">
      <w:pPr>
        <w:pStyle w:val="Body"/>
        <w:numPr>
          <w:ilvl w:val="0"/>
          <w:numId w:val="20"/>
        </w:numPr>
        <w:spacing w:after="120" w:line="300" w:lineRule="auto"/>
        <w:ind w:left="1526"/>
        <w:jc w:val="left"/>
        <w:rPr>
          <w:rFonts w:eastAsia="Tw Cen MT" w:cs="Tw Cen MT"/>
          <w:color w:val="000000" w:themeColor="text1"/>
        </w:rPr>
      </w:pPr>
      <w:r w:rsidRPr="00C64BA4">
        <w:rPr>
          <w:rFonts w:eastAsia="Tw Cen MT" w:cs="Tw Cen MT"/>
          <w:color w:val="000000" w:themeColor="text1"/>
        </w:rPr>
        <w:t>The use of innovative land use controls.</w:t>
      </w:r>
    </w:p>
    <w:p w14:paraId="66CAD4A2" w14:textId="77777777" w:rsidR="005A5C8F" w:rsidRPr="00C64BA4" w:rsidRDefault="005A5C8F" w:rsidP="00206C45">
      <w:pPr>
        <w:pStyle w:val="Body"/>
        <w:numPr>
          <w:ilvl w:val="0"/>
          <w:numId w:val="20"/>
        </w:numPr>
        <w:spacing w:after="120" w:line="300" w:lineRule="auto"/>
        <w:ind w:left="1526"/>
        <w:jc w:val="left"/>
        <w:rPr>
          <w:rFonts w:eastAsia="Tw Cen MT" w:cs="Tw Cen MT"/>
          <w:color w:val="000000" w:themeColor="text1"/>
        </w:rPr>
      </w:pPr>
      <w:r w:rsidRPr="00C64BA4">
        <w:rPr>
          <w:rFonts w:eastAsia="Tw Cen MT" w:cs="Tw Cen MT"/>
          <w:color w:val="000000" w:themeColor="text1"/>
        </w:rPr>
        <w:t>Growth management controls and interim growth management controls.</w:t>
      </w:r>
    </w:p>
    <w:p w14:paraId="0E4C3C85" w14:textId="77777777" w:rsidR="005A5C8F" w:rsidRPr="00C64BA4" w:rsidRDefault="005A5C8F" w:rsidP="00206C45">
      <w:pPr>
        <w:pStyle w:val="Body"/>
        <w:numPr>
          <w:ilvl w:val="0"/>
          <w:numId w:val="20"/>
        </w:numPr>
        <w:spacing w:after="120" w:line="300" w:lineRule="auto"/>
        <w:ind w:left="1526"/>
        <w:jc w:val="left"/>
        <w:rPr>
          <w:rFonts w:eastAsia="Tw Cen MT" w:cs="Tw Cen MT"/>
          <w:color w:val="000000" w:themeColor="text1"/>
        </w:rPr>
      </w:pPr>
      <w:r w:rsidRPr="00C64BA4">
        <w:rPr>
          <w:rFonts w:eastAsia="Tw Cen MT" w:cs="Tw Cen MT"/>
          <w:color w:val="000000" w:themeColor="text1"/>
        </w:rPr>
        <w:t>Decisions of historic district commissions, heritage commissions, and conservation commissions.</w:t>
      </w:r>
    </w:p>
    <w:p w14:paraId="1DBA82D9" w14:textId="77777777" w:rsidR="005A5C8F" w:rsidRPr="00C64BA4" w:rsidRDefault="005A5C8F" w:rsidP="00206C45">
      <w:pPr>
        <w:pStyle w:val="Body"/>
        <w:numPr>
          <w:ilvl w:val="0"/>
          <w:numId w:val="20"/>
        </w:numPr>
        <w:spacing w:after="120" w:line="300" w:lineRule="auto"/>
        <w:ind w:left="1526"/>
        <w:jc w:val="left"/>
        <w:rPr>
          <w:rFonts w:eastAsia="Tw Cen MT" w:cs="Tw Cen MT"/>
          <w:color w:val="000000" w:themeColor="text1"/>
        </w:rPr>
      </w:pPr>
      <w:r w:rsidRPr="00C64BA4">
        <w:rPr>
          <w:rFonts w:eastAsia="Tw Cen MT" w:cs="Tw Cen MT"/>
          <w:color w:val="000000" w:themeColor="text1"/>
        </w:rPr>
        <w:t>Other municipal permits and fees applicable to housing and housing developments.</w:t>
      </w:r>
    </w:p>
    <w:p w14:paraId="173A9215" w14:textId="77777777" w:rsidR="005A5C8F" w:rsidRPr="00C64BA4" w:rsidRDefault="005A5C8F" w:rsidP="00206C45">
      <w:pPr>
        <w:pStyle w:val="Body"/>
        <w:numPr>
          <w:ilvl w:val="0"/>
          <w:numId w:val="20"/>
        </w:numPr>
        <w:spacing w:after="120" w:line="300" w:lineRule="auto"/>
        <w:ind w:left="1526"/>
        <w:jc w:val="left"/>
        <w:rPr>
          <w:rFonts w:eastAsia="Tw Cen MT" w:cs="Tw Cen MT"/>
          <w:color w:val="000000" w:themeColor="text1"/>
        </w:rPr>
      </w:pPr>
      <w:r w:rsidRPr="00C64BA4">
        <w:rPr>
          <w:rFonts w:eastAsia="Tw Cen MT" w:cs="Tw Cen MT"/>
          <w:color w:val="000000" w:themeColor="text1"/>
        </w:rPr>
        <w:lastRenderedPageBreak/>
        <w:t>Matters subject to the board's authority may include mixed-use combinations of residential and nonresidential uses. Such different uses may occur on separate properties, provided such properties are all part of a common scheme of development.</w:t>
      </w:r>
    </w:p>
    <w:p w14:paraId="3D02DB8A" w14:textId="77777777" w:rsidR="005A5C8F" w:rsidRPr="00C64BA4" w:rsidRDefault="005A5C8F" w:rsidP="00206C45">
      <w:pPr>
        <w:pStyle w:val="Body"/>
        <w:spacing w:line="300" w:lineRule="auto"/>
        <w:rPr>
          <w:rFonts w:eastAsia="Tw Cen MT" w:cs="Tw Cen MT"/>
          <w:color w:val="000000" w:themeColor="text1"/>
        </w:rPr>
      </w:pPr>
      <w:r w:rsidRPr="00C64BA4">
        <w:t>An appeal before the HAB can be as short as six months, compared to potentially several years in court.  The process is as follows:</w:t>
      </w:r>
    </w:p>
    <w:p w14:paraId="31AD018B" w14:textId="77777777" w:rsidR="005A5C8F" w:rsidRPr="00C64BA4" w:rsidRDefault="005A5C8F" w:rsidP="00206C45">
      <w:pPr>
        <w:pStyle w:val="Body"/>
        <w:numPr>
          <w:ilvl w:val="0"/>
          <w:numId w:val="21"/>
        </w:numPr>
        <w:spacing w:line="300" w:lineRule="auto"/>
      </w:pPr>
      <w:r w:rsidRPr="00C64BA4">
        <w:t>The aggrieved party files with the Board within 30 days of the final land use decision and notifies the local land use board of this action.</w:t>
      </w:r>
    </w:p>
    <w:p w14:paraId="5521051D" w14:textId="77777777" w:rsidR="005A5C8F" w:rsidRPr="00C64BA4" w:rsidRDefault="005A5C8F" w:rsidP="00206C45">
      <w:pPr>
        <w:pStyle w:val="Body"/>
        <w:numPr>
          <w:ilvl w:val="0"/>
          <w:numId w:val="21"/>
        </w:numPr>
        <w:spacing w:line="300" w:lineRule="auto"/>
      </w:pPr>
      <w:r w:rsidRPr="00C64BA4">
        <w:t>Within 30 days of receipt of this notice, the local land use board must submit a certified record of the case to HAB.</w:t>
      </w:r>
    </w:p>
    <w:p w14:paraId="6ECE1EA5" w14:textId="77777777" w:rsidR="005A5C8F" w:rsidRPr="00C64BA4" w:rsidRDefault="005A5C8F" w:rsidP="00206C45">
      <w:pPr>
        <w:pStyle w:val="Body"/>
        <w:numPr>
          <w:ilvl w:val="0"/>
          <w:numId w:val="21"/>
        </w:numPr>
        <w:spacing w:line="300" w:lineRule="auto"/>
      </w:pPr>
      <w:r w:rsidRPr="00C64BA4">
        <w:t xml:space="preserve">Within 90 days, HAB will hold a hearing and will render a decision within 60 days of the conclusion of the hearing. </w:t>
      </w:r>
    </w:p>
    <w:p w14:paraId="747A9C78" w14:textId="77777777" w:rsidR="005A5C8F" w:rsidRPr="00C64BA4" w:rsidRDefault="005A5C8F" w:rsidP="00206C45">
      <w:pPr>
        <w:pStyle w:val="Body"/>
        <w:spacing w:line="300" w:lineRule="auto"/>
      </w:pPr>
      <w:r w:rsidRPr="00C64BA4">
        <w:t>Decisions of the HAB are appealable to the NH Supreme Court.</w:t>
      </w:r>
    </w:p>
    <w:p w14:paraId="1ED1A39A" w14:textId="28DD13E0" w:rsidR="005A5C8F" w:rsidRPr="00C64BA4" w:rsidRDefault="005A5C8F" w:rsidP="00206C45">
      <w:pPr>
        <w:pStyle w:val="Body"/>
        <w:spacing w:line="300" w:lineRule="auto"/>
        <w:rPr>
          <w:rStyle w:val="Hyperlink"/>
        </w:rPr>
      </w:pPr>
      <w:r w:rsidRPr="00C64BA4">
        <w:rPr>
          <w:rFonts w:eastAsia="Tw Cen MT" w:cs="Tw Cen MT"/>
          <w:color w:val="000000" w:themeColor="text1"/>
          <w:lang w:val="en"/>
        </w:rPr>
        <w:t>Since the Board began to take cases in 2021, it has heard and rendered decisions on 36 appeals.  Six of these were dismissed for lack of jurisdiction or withdrawn by the applicant.  The majority (21) are appeals from Zoning Board decisions, primarily denial of variances.  Of the 30 decisions rendered, 10 affirmed the board decision, 11 reversed outright, and 9 were remanded back to the board.  As of this writing, HAB has heard 12 more cases for which a decision has not yet been rendered, and five cases are in the queue waiting for a hearing.</w:t>
      </w:r>
      <w:r w:rsidR="002428ED" w:rsidRPr="004754DF">
        <w:rPr>
          <w:rStyle w:val="FootnoteReference"/>
          <w:rFonts w:cs="Arial"/>
          <w:color w:val="003CB4" w:themeColor="hyperlink"/>
        </w:rPr>
        <w:footnoteReference w:id="26"/>
      </w:r>
    </w:p>
    <w:p w14:paraId="6B7E1619" w14:textId="77777777" w:rsidR="005A5C8F" w:rsidRPr="00C64BA4" w:rsidRDefault="005A5C8F" w:rsidP="00206C45">
      <w:pPr>
        <w:pStyle w:val="Heading4"/>
        <w:spacing w:line="300" w:lineRule="auto"/>
        <w:rPr>
          <w:lang w:val="en"/>
        </w:rPr>
      </w:pPr>
      <w:r w:rsidRPr="00C64BA4">
        <w:rPr>
          <w:lang w:val="en"/>
        </w:rPr>
        <w:t>Workforce Housing Incentives</w:t>
      </w:r>
    </w:p>
    <w:p w14:paraId="5F229E0A" w14:textId="08906155" w:rsidR="005A5C8F" w:rsidRPr="00C64BA4" w:rsidRDefault="005A5C8F" w:rsidP="00206C45">
      <w:pPr>
        <w:spacing w:line="300" w:lineRule="auto"/>
        <w:contextualSpacing/>
        <w:rPr>
          <w:rFonts w:eastAsia="Tw Cen MT" w:cs="Tw Cen MT"/>
          <w:color w:val="000000" w:themeColor="text1"/>
        </w:rPr>
      </w:pPr>
      <w:r w:rsidRPr="00C64BA4">
        <w:rPr>
          <w:rFonts w:eastAsia="Tw Cen MT" w:cs="Tw Cen MT"/>
          <w:color w:val="000000" w:themeColor="text1"/>
          <w:lang w:val="en"/>
        </w:rPr>
        <w:t>Beginning July 1, 2023, incentives established for housing for older persons shall be deemed applicable to workforce housing development under</w:t>
      </w:r>
      <w:r w:rsidRPr="00C64BA4">
        <w:rPr>
          <w:rFonts w:eastAsia="Tw Cen MT" w:cs="Tw Cen MT"/>
          <w:color w:val="000000" w:themeColor="text1"/>
        </w:rPr>
        <w:t xml:space="preserve"> </w:t>
      </w:r>
      <w:r w:rsidRPr="009A6221">
        <w:rPr>
          <w:rFonts w:eastAsia="Tw Cen MT" w:cs="Tw Cen MT"/>
          <w:color w:val="000000" w:themeColor="text1"/>
        </w:rPr>
        <w:t>RSA</w:t>
      </w:r>
      <w:r w:rsidRPr="009A6221">
        <w:rPr>
          <w:rFonts w:eastAsia="Tw Cen MT" w:cs="Tw Cen MT"/>
          <w:color w:val="000000" w:themeColor="text1"/>
          <w:lang w:val="en"/>
        </w:rPr>
        <w:t xml:space="preserve"> 674:</w:t>
      </w:r>
      <w:proofErr w:type="gramStart"/>
      <w:r w:rsidRPr="009A6221">
        <w:rPr>
          <w:rFonts w:eastAsia="Tw Cen MT" w:cs="Tw Cen MT"/>
          <w:color w:val="000000" w:themeColor="text1"/>
          <w:lang w:val="en"/>
        </w:rPr>
        <w:t>17</w:t>
      </w:r>
      <w:r w:rsidR="004C1469">
        <w:rPr>
          <w:rFonts w:eastAsia="Tw Cen MT" w:cs="Tw Cen MT"/>
          <w:color w:val="000000" w:themeColor="text1"/>
          <w:lang w:val="en"/>
        </w:rPr>
        <w:t>.</w:t>
      </w:r>
      <w:r w:rsidRPr="009A6221">
        <w:rPr>
          <w:rFonts w:eastAsia="Tw Cen MT" w:cs="Tw Cen MT"/>
          <w:color w:val="000000" w:themeColor="text1"/>
          <w:lang w:val="en"/>
        </w:rPr>
        <w:t>IV</w:t>
      </w:r>
      <w:proofErr w:type="gramEnd"/>
      <w:r w:rsidR="009A6221">
        <w:rPr>
          <w:rStyle w:val="FootnoteReference"/>
          <w:rFonts w:eastAsia="Tw Cen MT" w:cs="Tw Cen MT"/>
          <w:color w:val="000000" w:themeColor="text1"/>
          <w:lang w:val="en"/>
        </w:rPr>
        <w:footnoteReference w:id="27"/>
      </w:r>
      <w:r w:rsidRPr="00C64BA4">
        <w:rPr>
          <w:rFonts w:eastAsia="Tw Cen MT" w:cs="Tw Cen MT"/>
          <w:color w:val="000000" w:themeColor="text1"/>
          <w:lang w:val="en"/>
        </w:rPr>
        <w:t xml:space="preserve">. If a municipality allows an increased density, reduced lot size, expedited approval, or other dimensional or procedural incentive under this section for the development of housing for older persons, as defined and regulated pursuant to </w:t>
      </w:r>
      <w:r w:rsidRPr="009A6221">
        <w:rPr>
          <w:rFonts w:eastAsia="Tw Cen MT" w:cs="Tw Cen MT"/>
          <w:color w:val="000000" w:themeColor="text1"/>
          <w:lang w:val="en"/>
        </w:rPr>
        <w:t>RSA 354-A:15, VIII</w:t>
      </w:r>
      <w:r w:rsidR="009A6221">
        <w:rPr>
          <w:rStyle w:val="FootnoteReference"/>
          <w:rFonts w:eastAsia="Tw Cen MT" w:cs="Tw Cen MT"/>
          <w:color w:val="000000" w:themeColor="text1"/>
          <w:lang w:val="en"/>
        </w:rPr>
        <w:footnoteReference w:id="28"/>
      </w:r>
      <w:r w:rsidRPr="00C64BA4">
        <w:rPr>
          <w:rFonts w:eastAsia="Tw Cen MT" w:cs="Tw Cen MT"/>
          <w:color w:val="000000" w:themeColor="text1"/>
          <w:lang w:val="en"/>
        </w:rPr>
        <w:t xml:space="preserve">, it may allow the same incentive for the development of workforce housing as defined in </w:t>
      </w:r>
      <w:r w:rsidRPr="00AA48BC">
        <w:rPr>
          <w:rFonts w:eastAsia="Tw Cen MT" w:cs="Tw Cen MT"/>
          <w:color w:val="000000" w:themeColor="text1"/>
          <w:lang w:val="en"/>
        </w:rPr>
        <w:t>RSA 674:58, IV</w:t>
      </w:r>
      <w:r w:rsidR="00AA48BC">
        <w:rPr>
          <w:rStyle w:val="FootnoteReference"/>
          <w:rFonts w:eastAsia="Tw Cen MT" w:cs="Tw Cen MT"/>
          <w:color w:val="000000" w:themeColor="text1"/>
          <w:lang w:val="en"/>
        </w:rPr>
        <w:footnoteReference w:id="29"/>
      </w:r>
      <w:r w:rsidRPr="00C64BA4">
        <w:rPr>
          <w:rFonts w:eastAsia="Tw Cen MT" w:cs="Tw Cen MT"/>
          <w:color w:val="000000" w:themeColor="text1"/>
          <w:lang w:val="en"/>
        </w:rPr>
        <w:t xml:space="preserve">. </w:t>
      </w:r>
    </w:p>
    <w:p w14:paraId="4E15C145" w14:textId="77777777" w:rsidR="005A5C8F" w:rsidRPr="00C64BA4" w:rsidRDefault="005A5C8F" w:rsidP="00206C45">
      <w:pPr>
        <w:pStyle w:val="Heading4"/>
        <w:spacing w:line="300" w:lineRule="auto"/>
        <w:rPr>
          <w:lang w:val="en"/>
        </w:rPr>
      </w:pPr>
      <w:r w:rsidRPr="00C64BA4">
        <w:rPr>
          <w:lang w:val="en"/>
        </w:rPr>
        <w:t>Housing Opportunity Zones</w:t>
      </w:r>
    </w:p>
    <w:p w14:paraId="33A45387" w14:textId="5B18B233" w:rsidR="005A5C8F" w:rsidRPr="00C64BA4" w:rsidRDefault="005A5C8F" w:rsidP="00206C45">
      <w:pPr>
        <w:spacing w:line="300" w:lineRule="auto"/>
        <w:contextualSpacing/>
        <w:rPr>
          <w:rFonts w:eastAsia="Tw Cen MT" w:cs="Tw Cen MT"/>
          <w:color w:val="000000" w:themeColor="text1"/>
        </w:rPr>
      </w:pPr>
      <w:r w:rsidRPr="00C64BA4">
        <w:rPr>
          <w:rFonts w:eastAsia="Tw Cen MT" w:cs="Tw Cen MT"/>
          <w:color w:val="000000" w:themeColor="text1"/>
          <w:lang w:val="en"/>
        </w:rPr>
        <w:t xml:space="preserve">Effective April 1, 2022, a city or town can establish a Housing Opportunity Zone under the </w:t>
      </w:r>
      <w:r w:rsidRPr="00CA7320">
        <w:rPr>
          <w:rFonts w:eastAsia="Tw Cen MT" w:cs="Tw Cen MT"/>
          <w:color w:val="000000" w:themeColor="text1"/>
          <w:lang w:val="en"/>
        </w:rPr>
        <w:t>Community Revitalization Tax Relief Incentive (RSA 79-E: 4-c)</w:t>
      </w:r>
      <w:r w:rsidR="00CA7320">
        <w:rPr>
          <w:rStyle w:val="FootnoteReference"/>
          <w:rFonts w:eastAsia="Tw Cen MT" w:cs="Tw Cen MT"/>
          <w:color w:val="000000" w:themeColor="text1"/>
          <w:lang w:val="en"/>
        </w:rPr>
        <w:footnoteReference w:id="30"/>
      </w:r>
      <w:r w:rsidRPr="00C64BA4">
        <w:rPr>
          <w:rFonts w:eastAsia="Tw Cen MT" w:cs="Tw Cen MT"/>
          <w:color w:val="000000" w:themeColor="text1"/>
          <w:lang w:val="en"/>
        </w:rPr>
        <w:t xml:space="preserve">. No less than one-third of the housing units constructed can be designated for households with an income of 80 percent or less of the area median income as measured by the HUD, or the housing units in a qualifying structure shall be designated for households with </w:t>
      </w:r>
      <w:r w:rsidRPr="00C64BA4">
        <w:rPr>
          <w:rFonts w:eastAsia="Tw Cen MT" w:cs="Tw Cen MT"/>
          <w:color w:val="000000" w:themeColor="text1"/>
          <w:lang w:val="en"/>
        </w:rPr>
        <w:lastRenderedPageBreak/>
        <w:t xml:space="preserve">incomes as provided in </w:t>
      </w:r>
      <w:r w:rsidRPr="00E57F1D">
        <w:rPr>
          <w:rFonts w:eastAsia="Tw Cen MT" w:cs="Tw Cen MT"/>
          <w:color w:val="000000" w:themeColor="text1"/>
          <w:lang w:val="en"/>
        </w:rPr>
        <w:t>RSA 204-C:57, IV</w:t>
      </w:r>
      <w:r w:rsidR="00E57F1D">
        <w:rPr>
          <w:rStyle w:val="FootnoteReference"/>
          <w:rFonts w:eastAsia="Tw Cen MT" w:cs="Tw Cen MT"/>
          <w:color w:val="000000" w:themeColor="text1"/>
          <w:lang w:val="en"/>
        </w:rPr>
        <w:footnoteReference w:id="31"/>
      </w:r>
      <w:r w:rsidRPr="00C64BA4">
        <w:rPr>
          <w:rFonts w:eastAsia="Tw Cen MT" w:cs="Tw Cen MT"/>
          <w:color w:val="000000" w:themeColor="text1"/>
          <w:lang w:val="en"/>
        </w:rPr>
        <w:t>. A qualifying structure under this section can be eligible for tax assessment relief for a period of up to 10 years.</w:t>
      </w:r>
    </w:p>
    <w:p w14:paraId="42252541" w14:textId="77777777" w:rsidR="005A5C8F" w:rsidRPr="00C64BA4" w:rsidRDefault="005A5C8F" w:rsidP="00206C45">
      <w:pPr>
        <w:pStyle w:val="Heading4"/>
        <w:spacing w:line="300" w:lineRule="auto"/>
      </w:pPr>
      <w:r w:rsidRPr="00C64BA4">
        <w:t>NH Update on Employer Housing</w:t>
      </w:r>
    </w:p>
    <w:p w14:paraId="261305D5" w14:textId="4C1FE48C" w:rsidR="005A5C8F" w:rsidRPr="00C64BA4" w:rsidRDefault="005A5C8F" w:rsidP="00206C45">
      <w:pPr>
        <w:spacing w:line="300" w:lineRule="auto"/>
        <w:rPr>
          <w:rFonts w:eastAsia="Calibri" w:cs="Calibri"/>
        </w:rPr>
      </w:pPr>
      <w:r w:rsidRPr="00C64BA4">
        <w:t xml:space="preserve">Business owners Maggie and John Randolph of Harmony Homes in Dover, NH, recognized that </w:t>
      </w:r>
      <w:proofErr w:type="gramStart"/>
      <w:r w:rsidRPr="00C64BA4">
        <w:t>in order to</w:t>
      </w:r>
      <w:proofErr w:type="gramEnd"/>
      <w:r w:rsidRPr="00C64BA4">
        <w:t xml:space="preserve"> attract staff to work at their assisted living facilities, they needed to build affordable housing for their staff. According to Maggie, “</w:t>
      </w:r>
      <w:r w:rsidRPr="00C64BA4">
        <w:rPr>
          <w:rFonts w:eastAsia="Calibri" w:cs="Calibri"/>
        </w:rPr>
        <w:t xml:space="preserve">Harmony Place is the multi-use building we just constructed on the campus of our assisted living facility, </w:t>
      </w:r>
      <w:r w:rsidRPr="00E57F1D">
        <w:rPr>
          <w:rFonts w:eastAsia="Calibri" w:cs="Calibri"/>
        </w:rPr>
        <w:t>Harmony Homes</w:t>
      </w:r>
      <w:r w:rsidR="004754DF">
        <w:rPr>
          <w:rStyle w:val="FootnoteReference"/>
          <w:rFonts w:eastAsia="Calibri" w:cs="Calibri"/>
        </w:rPr>
        <w:footnoteReference w:id="32"/>
      </w:r>
      <w:r w:rsidRPr="00C64BA4">
        <w:rPr>
          <w:rFonts w:eastAsia="Calibri" w:cs="Calibri"/>
        </w:rPr>
        <w:t xml:space="preserve">. It contains seven one-bedroom apartments, a </w:t>
      </w:r>
      <w:proofErr w:type="gramStart"/>
      <w:r w:rsidRPr="00C64BA4">
        <w:rPr>
          <w:rFonts w:eastAsia="Calibri" w:cs="Calibri"/>
        </w:rPr>
        <w:t>child care</w:t>
      </w:r>
      <w:proofErr w:type="gramEnd"/>
      <w:r w:rsidRPr="00C64BA4">
        <w:rPr>
          <w:rFonts w:eastAsia="Calibri" w:cs="Calibri"/>
        </w:rPr>
        <w:t>, and office space all for our staff, the units of which are rented to staff at 30% of their pay.”  Due to the success of this project, the Randolph</w:t>
      </w:r>
      <w:r w:rsidR="00251F36">
        <w:rPr>
          <w:rFonts w:eastAsia="Calibri" w:cs="Calibri"/>
        </w:rPr>
        <w:t xml:space="preserve"> family team</w:t>
      </w:r>
      <w:r w:rsidRPr="00C64BA4">
        <w:rPr>
          <w:rFonts w:eastAsia="Calibri" w:cs="Calibri"/>
        </w:rPr>
        <w:t xml:space="preserve"> decided to continue building affordable housing. Maggie described this second project: “The Cottages at Back River Road in Dover is now under construction, with site work hoping to be completed late summer/early fall 2022, with units starting to be built starting in April of 2023. They are planned in a ‘pocket neighborhood’ or ‘cottage court’ layout </w:t>
      </w:r>
      <w:proofErr w:type="gramStart"/>
      <w:r w:rsidRPr="00C64BA4">
        <w:rPr>
          <w:rFonts w:eastAsia="Calibri" w:cs="Calibri"/>
        </w:rPr>
        <w:t>so as to</w:t>
      </w:r>
      <w:proofErr w:type="gramEnd"/>
      <w:r w:rsidRPr="00C64BA4">
        <w:rPr>
          <w:rFonts w:eastAsia="Calibri" w:cs="Calibri"/>
        </w:rPr>
        <w:t xml:space="preserve"> allow residents their own living space as well as a feeling of community within the overall context of the surrounding neighborhood. These units will be open to anyone, not just employees of Harmony Homes.”  The success of their projects is gaining the attention of businesses across New Hampshire.  Thanks to the Randolph’s ingenuity and innovative zoning allowed by the City of Dover this project was allowed to happen.   </w:t>
      </w:r>
    </w:p>
    <w:p w14:paraId="42D38057" w14:textId="77777777" w:rsidR="005A5C8F" w:rsidRPr="00251F36" w:rsidRDefault="005A5C8F" w:rsidP="00206C45">
      <w:pPr>
        <w:pStyle w:val="Heading4"/>
        <w:spacing w:line="300" w:lineRule="auto"/>
      </w:pPr>
      <w:r w:rsidRPr="00251F36">
        <w:t>NH Initiatives to support production</w:t>
      </w:r>
    </w:p>
    <w:p w14:paraId="102B6C65" w14:textId="0282601A" w:rsidR="009C4113" w:rsidRPr="007533C4" w:rsidRDefault="005A5C8F" w:rsidP="00206C45">
      <w:pPr>
        <w:pStyle w:val="Body"/>
        <w:spacing w:line="300" w:lineRule="auto"/>
      </w:pPr>
      <w:r w:rsidRPr="00C64BA4">
        <w:t>HB 1661. Section 78: Acquiring Property for Workforce Housing</w:t>
      </w:r>
      <w:r w:rsidR="00D9582E">
        <w:rPr>
          <w:rStyle w:val="FootnoteReference"/>
        </w:rPr>
        <w:footnoteReference w:id="33"/>
      </w:r>
      <w:r w:rsidRPr="00C64BA4">
        <w:t xml:space="preserve"> – Expands the definition of “public use” under the Tax Increment Finance (TIF) statute, </w:t>
      </w:r>
      <w:r w:rsidRPr="00D9582E">
        <w:t>RSA 162-K</w:t>
      </w:r>
      <w:r w:rsidR="00D9582E">
        <w:rPr>
          <w:rStyle w:val="FootnoteReference"/>
        </w:rPr>
        <w:footnoteReference w:id="34"/>
      </w:r>
      <w:r w:rsidRPr="00C64BA4">
        <w:t>, to allow any party including a municipality to acquire real property – except by eminent domain – for the purpose of constructing housing units which meet the statutory definition of workforce housing. Said construction may occur either through private development or private commercial enterprise. This law went into effect on August 23, 2022.</w:t>
      </w:r>
    </w:p>
    <w:p w14:paraId="3FBEABB1" w14:textId="474A805E" w:rsidR="00E1357E" w:rsidRPr="00C64BA4" w:rsidRDefault="4AB44918" w:rsidP="00206C45">
      <w:pPr>
        <w:pStyle w:val="Heading1"/>
        <w:spacing w:line="300" w:lineRule="auto"/>
      </w:pPr>
      <w:bookmarkStart w:id="158" w:name="_Toc1275608033"/>
      <w:bookmarkStart w:id="159" w:name="_Toc1784956378"/>
      <w:r w:rsidRPr="00C64BA4">
        <w:rPr>
          <w:lang w:val="en"/>
        </w:rPr>
        <w:lastRenderedPageBreak/>
        <w:t xml:space="preserve"> </w:t>
      </w:r>
      <w:bookmarkStart w:id="160" w:name="_Toc128137971"/>
      <w:r w:rsidRPr="00C64BA4">
        <w:t xml:space="preserve">Section V </w:t>
      </w:r>
      <w:r w:rsidR="446010AF" w:rsidRPr="00C64BA4">
        <w:t>– Future conditions and housing projections</w:t>
      </w:r>
      <w:bookmarkEnd w:id="158"/>
      <w:bookmarkEnd w:id="159"/>
      <w:bookmarkEnd w:id="160"/>
    </w:p>
    <w:p w14:paraId="3BD1873C" w14:textId="2B9A7567" w:rsidR="00E1357E" w:rsidRPr="00C64BA4" w:rsidRDefault="192F52F6" w:rsidP="00206C45">
      <w:pPr>
        <w:spacing w:line="300" w:lineRule="auto"/>
      </w:pPr>
      <w:r w:rsidRPr="00C64BA4">
        <w:t>This section of this report is intended to discuss the impact various conditions are expected to have on the region’s housing supply.  Based on the anticipated impacts, the region’s housing needs are projected through 2030.  Specific conditions may affect some regions more than others.</w:t>
      </w:r>
    </w:p>
    <w:p w14:paraId="23FD6E69" w14:textId="71D156FC" w:rsidR="00763798" w:rsidRPr="00C64BA4" w:rsidRDefault="0AD54FAB" w:rsidP="00206C45">
      <w:pPr>
        <w:pStyle w:val="Heading2"/>
        <w:spacing w:line="300" w:lineRule="auto"/>
      </w:pPr>
      <w:bookmarkStart w:id="161" w:name="_Toc1039441373"/>
      <w:bookmarkStart w:id="162" w:name="_Toc1837144636"/>
      <w:bookmarkStart w:id="163" w:name="_Toc128137972"/>
      <w:r w:rsidRPr="00C64BA4">
        <w:t>Impacts to Future Housing Supply and Affordability</w:t>
      </w:r>
      <w:bookmarkEnd w:id="161"/>
      <w:bookmarkEnd w:id="162"/>
      <w:bookmarkEnd w:id="163"/>
    </w:p>
    <w:p w14:paraId="7207830D" w14:textId="3609BBC5" w:rsidR="00763798" w:rsidRPr="00C64BA4" w:rsidRDefault="192F52F6" w:rsidP="00206C45">
      <w:pPr>
        <w:pStyle w:val="Heading3"/>
        <w:spacing w:line="300" w:lineRule="auto"/>
      </w:pPr>
      <w:bookmarkStart w:id="164" w:name="_Toc128137973"/>
      <w:r w:rsidRPr="00C64BA4">
        <w:t>COVID-19</w:t>
      </w:r>
      <w:bookmarkEnd w:id="164"/>
    </w:p>
    <w:p w14:paraId="4E2043A6" w14:textId="07A03E98" w:rsidR="4F32AEC0" w:rsidRPr="00C64BA4" w:rsidRDefault="192F52F6" w:rsidP="00206C45">
      <w:pPr>
        <w:spacing w:line="300" w:lineRule="auto"/>
      </w:pPr>
      <w:r w:rsidRPr="00C64BA4">
        <w:t xml:space="preserve">The COVID-19 pandemic had an impact on supply and availability of housing, </w:t>
      </w:r>
      <w:proofErr w:type="gramStart"/>
      <w:r w:rsidRPr="00C64BA4">
        <w:t>materials</w:t>
      </w:r>
      <w:proofErr w:type="gramEnd"/>
      <w:r w:rsidRPr="00C64BA4">
        <w:t xml:space="preserve"> and labor in the Southern New Hampshire region, as it did in all of New Hampshire, although it affected different areas in different ways.  Some of the more noticeable impacts were increased household migration, limitations on housing availability, and challenges in housing affordability. </w:t>
      </w:r>
    </w:p>
    <w:p w14:paraId="13DB3ACD" w14:textId="25B45255" w:rsidR="51AB8703" w:rsidRPr="00C64BA4" w:rsidRDefault="1FCC36DF" w:rsidP="00206C45">
      <w:pPr>
        <w:spacing w:line="300" w:lineRule="auto"/>
        <w:rPr>
          <w:rFonts w:eastAsia="Tw Cen MT" w:cs="Tw Cen MT"/>
        </w:rPr>
      </w:pPr>
      <w:r w:rsidRPr="00C64BA4">
        <w:rPr>
          <w:rFonts w:eastAsia="Tw Cen MT" w:cs="Tw Cen MT"/>
        </w:rPr>
        <w:t xml:space="preserve">On June 30, 2021, many of New Hampshire’s most important for-profit and nonprofit developers gathered with2 St. Anselm College's Center for Ethics in Society </w:t>
      </w:r>
      <w:proofErr w:type="gramStart"/>
      <w:r w:rsidRPr="00C64BA4">
        <w:rPr>
          <w:rFonts w:eastAsia="Tw Cen MT" w:cs="Tw Cen MT"/>
        </w:rPr>
        <w:t>The</w:t>
      </w:r>
      <w:proofErr w:type="gramEnd"/>
      <w:r w:rsidRPr="00C64BA4">
        <w:rPr>
          <w:rFonts w:eastAsia="Tw Cen MT" w:cs="Tw Cen MT"/>
        </w:rPr>
        <w:t xml:space="preserve"> Housing We Need Task Force to discuss solutions to New Hampshire’s housing crisis. The developers agreed that the pandemic</w:t>
      </w:r>
      <w:r w:rsidR="009B79A0" w:rsidRPr="00C64BA4">
        <w:rPr>
          <w:rFonts w:eastAsia="Tw Cen MT" w:cs="Tw Cen MT"/>
        </w:rPr>
        <w:t xml:space="preserve"> </w:t>
      </w:r>
      <w:r w:rsidRPr="00C64BA4">
        <w:rPr>
          <w:rFonts w:eastAsia="Tw Cen MT" w:cs="Tw Cen MT"/>
        </w:rPr>
        <w:t>had turned the housing market upside-down. They noted that interest rates were favorable, which had encouraged more buyers to come out, but buyers with cash now have the upper hand. They also agreed that it is easy to sell anything that you build. The flip side is that due to the pandemic, the costs of labor and materials have risen. In normal times, the cost of land and approvals had driven development decisions, but currently, materials and workers are the chief barrier.</w:t>
      </w:r>
    </w:p>
    <w:p w14:paraId="576E8132" w14:textId="432A3732" w:rsidR="4F32AEC0" w:rsidRPr="00C64BA4" w:rsidRDefault="1FCC36DF" w:rsidP="00206C45">
      <w:pPr>
        <w:spacing w:line="300" w:lineRule="auto"/>
      </w:pPr>
      <w:r w:rsidRPr="00D82A33">
        <w:rPr>
          <w:rStyle w:val="Heading4Char"/>
        </w:rPr>
        <w:t>Household Migration:</w:t>
      </w:r>
      <w:r w:rsidRPr="00C64BA4">
        <w:t xml:space="preserve">  According to an article in the New England Public Policy Center (entitled “How the COVID-19 Pandemic Changed Household Migration in New England”; November 30, 2021) </w:t>
      </w:r>
      <w:proofErr w:type="gramStart"/>
      <w:r w:rsidRPr="00C64BA4">
        <w:t>all of</w:t>
      </w:r>
      <w:proofErr w:type="gramEnd"/>
      <w:r w:rsidRPr="00C64BA4">
        <w:t xml:space="preserve"> New England, but New Hampshire in particular, saw a more than 100% increase in net migration due to the pandemic.  This was enabled in large part by the shift to remote work, which allowed many people to relocate from urban areas that were hard-hit by the pandemic to rural areas.  In New Hampshire this was especially pronounced in communities with a large proportion of seasonal housing, and a location that was within a reasonable commuting distance from an urban area.  </w:t>
      </w:r>
    </w:p>
    <w:p w14:paraId="649EB38C" w14:textId="1AF8FCA9" w:rsidR="4F32AEC0" w:rsidRPr="00C64BA4" w:rsidRDefault="37CCF0DA" w:rsidP="00206C45">
      <w:pPr>
        <w:spacing w:line="300" w:lineRule="auto"/>
        <w:rPr>
          <w:rFonts w:eastAsia="Tw Cen MT" w:cs="Tw Cen MT"/>
        </w:rPr>
      </w:pPr>
      <w:r w:rsidRPr="00D82A33">
        <w:rPr>
          <w:rStyle w:val="Heading4Char"/>
        </w:rPr>
        <w:t>Housing Availability:</w:t>
      </w:r>
      <w:r w:rsidRPr="00C64BA4">
        <w:t xml:space="preserve"> Another dramatic impact of the pandemic has been its effect on housing availability and affordability.  The in-migration to New Hampshire </w:t>
      </w:r>
      <w:r w:rsidR="602FABE2" w:rsidRPr="00C64BA4">
        <w:t xml:space="preserve">contributed to </w:t>
      </w:r>
      <w:r w:rsidR="23FCCEFC" w:rsidRPr="00C64BA4">
        <w:t>the strain</w:t>
      </w:r>
      <w:r w:rsidRPr="00C64BA4">
        <w:t xml:space="preserve"> on an already stressed housing market, with demand for housing outstripping availability</w:t>
      </w:r>
      <w:r w:rsidR="2C93FC57" w:rsidRPr="00C64BA4">
        <w:t xml:space="preserve"> of housing</w:t>
      </w:r>
      <w:r w:rsidRPr="00C64BA4">
        <w:t xml:space="preserve">.  </w:t>
      </w:r>
      <w:r w:rsidR="77CE0A2D" w:rsidRPr="00C64BA4">
        <w:t xml:space="preserve">One indicator of availability is a metric known as the Months of Supply Inventory (MSI). </w:t>
      </w:r>
      <w:r w:rsidR="221C95B8" w:rsidRPr="00C64BA4">
        <w:t xml:space="preserve"> In a healthy market, a balanced MSI would be six months – meaning that there is en</w:t>
      </w:r>
      <w:r w:rsidR="0D33D0D5" w:rsidRPr="00C64BA4">
        <w:t>ough supply to last on the market for six months.</w:t>
      </w:r>
      <w:r w:rsidR="77CE0A2D" w:rsidRPr="00C64BA4">
        <w:t xml:space="preserve"> Data from </w:t>
      </w:r>
      <w:r w:rsidR="77CE0A2D" w:rsidRPr="0096773F">
        <w:t>NH Rea</w:t>
      </w:r>
      <w:r w:rsidR="5821B0AC" w:rsidRPr="0096773F">
        <w:t>ltors</w:t>
      </w:r>
      <w:r w:rsidR="5821B0AC" w:rsidRPr="00C64BA4">
        <w:t xml:space="preserve"> </w:t>
      </w:r>
      <w:r w:rsidR="3C638CBB" w:rsidRPr="00C64BA4">
        <w:t>show that in January of 2020, at the start of the pandemic, the state’s MSI 2.2, already low, and by September of 2022, tha</w:t>
      </w:r>
      <w:r w:rsidR="695A14C8" w:rsidRPr="00C64BA4">
        <w:t>t number was 1.7.</w:t>
      </w:r>
      <w:r w:rsidR="004754DF">
        <w:rPr>
          <w:rStyle w:val="FootnoteReference"/>
        </w:rPr>
        <w:footnoteReference w:id="35"/>
      </w:r>
    </w:p>
    <w:p w14:paraId="54D3CCEB" w14:textId="1CB06307" w:rsidR="4F32AEC0" w:rsidRPr="00C64BA4" w:rsidRDefault="37CCF0DA" w:rsidP="00206C45">
      <w:pPr>
        <w:spacing w:line="300" w:lineRule="auto"/>
      </w:pPr>
      <w:r w:rsidRPr="00C64BA4">
        <w:lastRenderedPageBreak/>
        <w:t xml:space="preserve">This was and continues to be more pronounced for people at lower income levels. </w:t>
      </w:r>
      <w:r w:rsidR="150FD5E5" w:rsidRPr="00C64BA4">
        <w:t xml:space="preserve">Based on data from the </w:t>
      </w:r>
      <w:r w:rsidR="150FD5E5" w:rsidRPr="0096773F">
        <w:t>NH Housing Finance Authority’s Housing Market Report of June 2022</w:t>
      </w:r>
      <w:r w:rsidR="004754DF">
        <w:rPr>
          <w:rStyle w:val="FootnoteReference"/>
        </w:rPr>
        <w:footnoteReference w:id="36"/>
      </w:r>
      <w:r w:rsidR="51D5F5DC" w:rsidRPr="00C64BA4">
        <w:rPr>
          <w:rStyle w:val="Hyperlink"/>
          <w:rFonts w:eastAsia="Tw Cen MT" w:cs="Tw Cen MT"/>
        </w:rPr>
        <w:t xml:space="preserve">, </w:t>
      </w:r>
      <w:r w:rsidR="51D5F5DC" w:rsidRPr="0096773F">
        <w:rPr>
          <w:rStyle w:val="Hyperlink"/>
          <w:rFonts w:eastAsia="Tw Cen MT" w:cs="Tw Cen MT"/>
          <w:color w:val="auto"/>
          <w:u w:val="none"/>
        </w:rPr>
        <w:t xml:space="preserve">of the nine essential workers </w:t>
      </w:r>
      <w:r w:rsidR="6D9419CD" w:rsidRPr="0096773F">
        <w:rPr>
          <w:rStyle w:val="Hyperlink"/>
          <w:rFonts w:eastAsia="Tw Cen MT" w:cs="Tw Cen MT"/>
          <w:color w:val="auto"/>
          <w:u w:val="none"/>
        </w:rPr>
        <w:t xml:space="preserve">surveyed, none of them earned </w:t>
      </w:r>
      <w:r w:rsidR="6A0C0DF3" w:rsidRPr="0096773F">
        <w:rPr>
          <w:rStyle w:val="Hyperlink"/>
          <w:rFonts w:eastAsia="Tw Cen MT" w:cs="Tw Cen MT"/>
          <w:color w:val="auto"/>
          <w:u w:val="none"/>
        </w:rPr>
        <w:t>enough</w:t>
      </w:r>
      <w:r w:rsidRPr="00C64BA4">
        <w:t xml:space="preserve"> </w:t>
      </w:r>
      <w:r w:rsidR="6A0C0DF3" w:rsidRPr="00C64BA4">
        <w:t xml:space="preserve">to afford the median home price in the </w:t>
      </w:r>
      <w:r w:rsidR="00954317">
        <w:t>S</w:t>
      </w:r>
      <w:r w:rsidR="00954317" w:rsidRPr="00C64BA4">
        <w:t xml:space="preserve">outhern </w:t>
      </w:r>
      <w:r w:rsidR="6A0C0DF3" w:rsidRPr="00C64BA4">
        <w:t>New Hampshire</w:t>
      </w:r>
      <w:r w:rsidR="00954317">
        <w:t xml:space="preserve"> Planning Commission</w:t>
      </w:r>
      <w:r w:rsidR="6A0C0DF3" w:rsidRPr="00C64BA4">
        <w:t xml:space="preserve"> region of $344,643</w:t>
      </w:r>
      <w:r w:rsidR="73B56F8F" w:rsidRPr="00C64BA4">
        <w:t xml:space="preserve">. </w:t>
      </w:r>
    </w:p>
    <w:p w14:paraId="2836430B" w14:textId="2A9CF228" w:rsidR="4F32AEC0" w:rsidRPr="00C64BA4" w:rsidRDefault="1FCC36DF" w:rsidP="00206C45">
      <w:pPr>
        <w:spacing w:line="300" w:lineRule="auto"/>
      </w:pPr>
      <w:r w:rsidRPr="0096773F">
        <w:t xml:space="preserve">A report by a </w:t>
      </w:r>
      <w:r w:rsidR="00954317" w:rsidRPr="0096773F">
        <w:t>housing initiative</w:t>
      </w:r>
      <w:r w:rsidR="00954317" w:rsidRPr="00C64BA4">
        <w:t xml:space="preserve"> </w:t>
      </w:r>
      <w:r w:rsidRPr="00C64BA4">
        <w:t>in the Upper Valley of New Hampshire and Vermont</w:t>
      </w:r>
      <w:r w:rsidR="004754DF">
        <w:rPr>
          <w:rStyle w:val="FootnoteReference"/>
        </w:rPr>
        <w:footnoteReference w:id="37"/>
      </w:r>
      <w:r w:rsidRPr="00C64BA4">
        <w:t>, details the loss of income for residents and the accompanying challenges faced by many people to remain housed.  Although this report is specific to this region, the impacts described were felt state-wide, to varying degrees.  As the report noted, housing availability was already problematic, with many people being “cost-burdened,” which means paying more than 30% of their income on housing.  A shrinking housing supply simply exacerbates the problem.</w:t>
      </w:r>
    </w:p>
    <w:p w14:paraId="5C51E420" w14:textId="38C621B3" w:rsidR="003D1760" w:rsidRPr="00C64BA4" w:rsidRDefault="1FCC36DF" w:rsidP="00206C45">
      <w:pPr>
        <w:spacing w:line="300" w:lineRule="auto"/>
      </w:pPr>
      <w:r w:rsidRPr="00D82A33">
        <w:rPr>
          <w:rStyle w:val="Heading4Char"/>
        </w:rPr>
        <w:t>Loss of Income:</w:t>
      </w:r>
      <w:r w:rsidRPr="00C64BA4">
        <w:t xml:space="preserve"> At the height of the pandemic (January to March 2021), </w:t>
      </w:r>
      <w:r w:rsidRPr="0096773F">
        <w:t>New Hampshire lost more than 130,000 jobs</w:t>
      </w:r>
      <w:r w:rsidRPr="00C64BA4">
        <w:t xml:space="preserve"> </w:t>
      </w:r>
      <w:r w:rsidR="008F05FE">
        <w:rPr>
          <w:rStyle w:val="FootnoteReference"/>
        </w:rPr>
        <w:footnoteReference w:id="38"/>
      </w:r>
      <w:r w:rsidRPr="00C64BA4">
        <w:t>.  The state has largely recovered from this, with unemployment rates at nearly pre-pandemic levels, the economic impacts it had on housing can be expected to continue.  In-migration and loss of jobs put many residents in precarious housing situations, including into homelessness.  Nevertheless, housing costs continue to remain high and out of reach of lower income individuals (those that earn less than the median income for their area, as defined by Housing and Urban Development).  Although Federal assistance in 2020 and 2021 helped to alleviate some of the economic hardships caused by the pandemic, these programs no longer exist and many households that struggled with housing prior to the pandemic are facing the same challenges.</w:t>
      </w:r>
    </w:p>
    <w:p w14:paraId="095201DE" w14:textId="24F24872" w:rsidR="00763798" w:rsidRPr="00C64BA4" w:rsidRDefault="00763798" w:rsidP="00206C45">
      <w:pPr>
        <w:pStyle w:val="Heading3"/>
        <w:spacing w:line="300" w:lineRule="auto"/>
      </w:pPr>
      <w:bookmarkStart w:id="165" w:name="_Toc128137974"/>
      <w:r w:rsidRPr="00C64BA4">
        <w:t>Climate Change</w:t>
      </w:r>
      <w:bookmarkEnd w:id="165"/>
    </w:p>
    <w:p w14:paraId="4C12726F" w14:textId="41A06BE2" w:rsidR="2489B497" w:rsidRPr="00C64BA4" w:rsidRDefault="192F52F6" w:rsidP="00206C45">
      <w:pPr>
        <w:spacing w:line="300" w:lineRule="auto"/>
      </w:pPr>
      <w:r w:rsidRPr="00DE7538">
        <w:rPr>
          <w:rStyle w:val="Heading4Char"/>
        </w:rPr>
        <w:t>Climate Migrants:</w:t>
      </w:r>
      <w:r w:rsidRPr="00C64BA4">
        <w:t xml:space="preserve"> Climate change will most assuredly have an impact on future housing supply and affordability.  Sea level rise, wildfires, flooding, and drought are just a few of the conditions that will create climate migrants, not just from the affected areas in the United States, but presumably from other parts of the world as well.  New England in general and New Hampshire </w:t>
      </w:r>
      <w:proofErr w:type="gramStart"/>
      <w:r w:rsidRPr="00C64BA4">
        <w:t>in particular can</w:t>
      </w:r>
      <w:proofErr w:type="gramEnd"/>
      <w:r w:rsidRPr="00C64BA4">
        <w:t xml:space="preserve"> expect to be the recipient of many of these climate migrants. </w:t>
      </w:r>
    </w:p>
    <w:p w14:paraId="2F7FBE53" w14:textId="3D41D429" w:rsidR="2489B497" w:rsidRPr="00C64BA4" w:rsidRDefault="192F52F6" w:rsidP="00206C45">
      <w:pPr>
        <w:spacing w:line="300" w:lineRule="auto"/>
      </w:pPr>
      <w:r w:rsidRPr="00DE7538">
        <w:rPr>
          <w:rStyle w:val="Heading4Char"/>
        </w:rPr>
        <w:t>Impact on Infrastructure:</w:t>
      </w:r>
      <w:r w:rsidRPr="00C64BA4">
        <w:t xml:space="preserve"> The northeast historically deals with winter and summer storms, as well as the challenges of drought.  For years, New Hampshire residents and businesses have also had to deal with an increased intensity and frequency of storms.  The southwest region experiences on a fairly regular basis road closures due to flooding; many of which are due to culvert failure.  According to the </w:t>
      </w:r>
      <w:r w:rsidRPr="0096773F">
        <w:t>State of New Hampshire’s Multi-Hazard Mitigation Plan</w:t>
      </w:r>
      <w:r w:rsidR="008F05FE">
        <w:rPr>
          <w:rStyle w:val="FootnoteReference"/>
        </w:rPr>
        <w:footnoteReference w:id="39"/>
      </w:r>
      <w:r w:rsidRPr="00C64BA4">
        <w:t>, aging infrastructure is a high risk for the entire state.  Local Hazard Mitigation Plans are also acknowledging this issue</w:t>
      </w:r>
      <w:r w:rsidR="007C46BE">
        <w:t>.</w:t>
      </w:r>
      <w:r w:rsidRPr="00C64BA4">
        <w:t xml:space="preserve"> </w:t>
      </w:r>
      <w:r w:rsidR="007C46BE">
        <w:t>F</w:t>
      </w:r>
      <w:r w:rsidRPr="00C64BA4">
        <w:t xml:space="preserve">or example, the Town of Windham included in its </w:t>
      </w:r>
      <w:r w:rsidRPr="0096773F">
        <w:t>2019 Plan</w:t>
      </w:r>
      <w:r w:rsidRPr="00C64BA4">
        <w:t xml:space="preserve"> (1) Upgrade culverts on three specific roads, and (2) Identify aging infrastructure </w:t>
      </w:r>
      <w:r w:rsidRPr="00C64BA4">
        <w:lastRenderedPageBreak/>
        <w:t>to reduce the potential impact of natural and human-caused disasters on the Town’s facilities and properties</w:t>
      </w:r>
      <w:r w:rsidR="008F05FE">
        <w:rPr>
          <w:rStyle w:val="FootnoteReference"/>
        </w:rPr>
        <w:footnoteReference w:id="40"/>
      </w:r>
      <w:r w:rsidRPr="00C64BA4">
        <w:t>.</w:t>
      </w:r>
    </w:p>
    <w:p w14:paraId="1AE3DF0E" w14:textId="52E7B2CC" w:rsidR="2489B497" w:rsidRPr="00C64BA4" w:rsidRDefault="2489B497" w:rsidP="00206C45">
      <w:pPr>
        <w:spacing w:line="300" w:lineRule="auto"/>
        <w:rPr>
          <w:rFonts w:eastAsia="Tw Cen MT" w:cs="Tw Cen MT"/>
        </w:rPr>
      </w:pPr>
      <w:r w:rsidRPr="00DE7538">
        <w:rPr>
          <w:rStyle w:val="Heading4Char"/>
        </w:rPr>
        <w:t>Housing Affordability &amp; Availability:</w:t>
      </w:r>
      <w:r w:rsidRPr="00C64BA4">
        <w:t xml:space="preserve"> In-migration due to COVID-19 affected the supply and affordability of housing; it seems reasonable to assume that an influx of climate refugees will </w:t>
      </w:r>
      <w:r w:rsidR="05B2BD7D" w:rsidRPr="00C64BA4">
        <w:t>also</w:t>
      </w:r>
      <w:r w:rsidRPr="00C64BA4">
        <w:t xml:space="preserve"> add to the existing housing shortage.  Even though an influx may be spread out over a protracted timeframe, it is also reasonable to assume that, at least in the early days, many of the new residents will be people with higher incomes who are in a position to purchase existing or new homes.  As the changing climate renders some parts of the country unlivable for some, New England can expect to see an influx of new people, contributing to already strained resources.</w:t>
      </w:r>
      <w:r w:rsidR="66ED2DB6" w:rsidRPr="00C64BA4">
        <w:t xml:space="preserve"> </w:t>
      </w:r>
      <w:r w:rsidR="66ED2DB6" w:rsidRPr="0096773F">
        <w:t>One example</w:t>
      </w:r>
      <w:r w:rsidR="66ED2DB6" w:rsidRPr="00C64BA4">
        <w:t xml:space="preserve"> of this is a couple who moved to </w:t>
      </w:r>
      <w:proofErr w:type="spellStart"/>
      <w:r w:rsidR="66ED2DB6" w:rsidRPr="00C64BA4">
        <w:t>Rumney</w:t>
      </w:r>
      <w:proofErr w:type="spellEnd"/>
      <w:r w:rsidR="66ED2DB6" w:rsidRPr="00C64BA4">
        <w:t xml:space="preserve"> from Nevada because of the wildfire threats.</w:t>
      </w:r>
      <w:r w:rsidR="003676A7" w:rsidRPr="0096773F">
        <w:rPr>
          <w:rStyle w:val="FootnoteReference"/>
          <w:rFonts w:eastAsia="Tw Cen MT" w:cs="Tw Cen MT"/>
        </w:rPr>
        <w:footnoteReference w:id="41"/>
      </w:r>
    </w:p>
    <w:p w14:paraId="28487883" w14:textId="0A225AC1" w:rsidR="2489B497" w:rsidRPr="00C64BA4" w:rsidRDefault="192F52F6" w:rsidP="00206C45">
      <w:pPr>
        <w:spacing w:line="300" w:lineRule="auto"/>
      </w:pPr>
      <w:r w:rsidRPr="00C64BA4">
        <w:t>An increase in population, regardless of the cause, will create additional pressure on housing supply.  Even without the coastal flooding and wildfire dangers faced by other parts of the country, New Hampshire is expected to experience hotter temperatures and periods of drought which will have a deleterious effect on water and food supply.  Furthermore, sea level rise will result in increased tidal flooding; and even though southern New Hampshire has only a small amount of coastline, some inland areas will be affected by tidal flooding.  It is anticipated that new housing construction will take challenges associated with climate change and expenses related to energy consumption into consideration by – among other things, building at elevations well above known and anticipated flood-prone areas, designing buildings to be energy-efficient, and utilize technologies that minimize water usage.</w:t>
      </w:r>
    </w:p>
    <w:p w14:paraId="66A70FA8" w14:textId="7CF42DD4" w:rsidR="00763798" w:rsidRPr="00C64BA4" w:rsidRDefault="192F52F6" w:rsidP="00206C45">
      <w:pPr>
        <w:pStyle w:val="Heading3"/>
        <w:spacing w:line="300" w:lineRule="auto"/>
      </w:pPr>
      <w:bookmarkStart w:id="166" w:name="_Toc128137975"/>
      <w:r w:rsidRPr="00C64BA4">
        <w:t>Federal Monetary Policy</w:t>
      </w:r>
      <w:bookmarkEnd w:id="166"/>
    </w:p>
    <w:p w14:paraId="231EEAA8" w14:textId="3167075B" w:rsidR="00763798" w:rsidRPr="00C64BA4" w:rsidRDefault="77483987" w:rsidP="00206C45">
      <w:pPr>
        <w:spacing w:line="300" w:lineRule="auto"/>
      </w:pPr>
      <w:r w:rsidRPr="00C64BA4">
        <w:t xml:space="preserve">Federal monetary policy is complex and has ramifications for many sectors of the economy.  Pertinent to this report are </w:t>
      </w:r>
      <w:r w:rsidR="3E9E14BA" w:rsidRPr="00C64BA4">
        <w:t>four</w:t>
      </w:r>
      <w:r w:rsidRPr="00C64BA4">
        <w:t xml:space="preserve"> primary </w:t>
      </w:r>
      <w:r w:rsidR="5AB2A533" w:rsidRPr="00C64BA4">
        <w:t>contributing factors</w:t>
      </w:r>
      <w:r w:rsidR="49E5DB7A" w:rsidRPr="00C64BA4">
        <w:t>: interest</w:t>
      </w:r>
      <w:r w:rsidR="5AB2A533" w:rsidRPr="00C64BA4">
        <w:t xml:space="preserve"> rates; </w:t>
      </w:r>
      <w:r w:rsidR="38BBB078" w:rsidRPr="00C64BA4">
        <w:t>limits on the provision of public housing units; Low Income Tax Credits; and Section 8 vouchers.</w:t>
      </w:r>
    </w:p>
    <w:p w14:paraId="0A178661" w14:textId="3B9C1585" w:rsidR="5285A5B7" w:rsidRPr="00251F36" w:rsidRDefault="5285A5B7" w:rsidP="00206C45">
      <w:pPr>
        <w:spacing w:line="300" w:lineRule="auto"/>
      </w:pPr>
      <w:r w:rsidRPr="00DE7538">
        <w:rPr>
          <w:rStyle w:val="Heading4Char"/>
        </w:rPr>
        <w:t>Interest Rates.</w:t>
      </w:r>
      <w:r w:rsidRPr="00C64BA4">
        <w:t xml:space="preserve">  In an effort to slow inflation, the Federal Reserve</w:t>
      </w:r>
      <w:r w:rsidR="0EF15710" w:rsidRPr="00C64BA4">
        <w:t xml:space="preserve"> has been raising interest rates since early 2022</w:t>
      </w:r>
      <w:r w:rsidR="7A7F9AA1" w:rsidRPr="00C64BA4">
        <w:t xml:space="preserve">, bringing it from 3.1% to 5.5%.  </w:t>
      </w:r>
      <w:r w:rsidR="7D3D009C" w:rsidRPr="00C64BA4">
        <w:t xml:space="preserve">To put this into perspective, the monthly payment on a 30-year mortgage </w:t>
      </w:r>
      <w:r w:rsidR="3CD8E2B1" w:rsidRPr="00C64BA4">
        <w:t xml:space="preserve">for a $300,00 house </w:t>
      </w:r>
      <w:r w:rsidR="7D3D009C" w:rsidRPr="00C64BA4">
        <w:t>with a 5% down payment at 3.1%</w:t>
      </w:r>
      <w:r w:rsidR="68D86DDB" w:rsidRPr="00C64BA4">
        <w:t xml:space="preserve"> would be $1</w:t>
      </w:r>
      <w:r w:rsidR="0783E77C" w:rsidRPr="00C64BA4">
        <w:t>,619.  That same mortgage payment at 5.5% would be $2,029</w:t>
      </w:r>
      <w:r w:rsidR="68D86DDB" w:rsidRPr="00C64BA4">
        <w:t xml:space="preserve">.  </w:t>
      </w:r>
      <w:r w:rsidR="2291EBAE" w:rsidRPr="00251F36">
        <w:t xml:space="preserve">This increase in rates is expected to slow the housing market, which can produce increased demand in the rental market, a market that is already </w:t>
      </w:r>
      <w:r w:rsidR="28F88212" w:rsidRPr="00251F36">
        <w:t>in short supply.</w:t>
      </w:r>
    </w:p>
    <w:p w14:paraId="1EEC727F" w14:textId="71F1FC2F" w:rsidR="28F88212" w:rsidRPr="00C64BA4" w:rsidRDefault="4C3EBFB6" w:rsidP="00206C45">
      <w:pPr>
        <w:spacing w:line="300" w:lineRule="auto"/>
        <w:rPr>
          <w:rFonts w:eastAsia="Tw Cen MT" w:cs="Tw Cen MT"/>
        </w:rPr>
      </w:pPr>
      <w:r w:rsidRPr="00DE7538">
        <w:rPr>
          <w:rStyle w:val="Heading4Char"/>
        </w:rPr>
        <w:t>Public Housing.</w:t>
      </w:r>
      <w:r w:rsidRPr="00C64BA4">
        <w:t xml:space="preserve">  </w:t>
      </w:r>
      <w:r w:rsidR="41F44F08" w:rsidRPr="00C64BA4">
        <w:t>Housing Authorities nationwide o</w:t>
      </w:r>
      <w:r w:rsidR="166CAD43" w:rsidRPr="00C64BA4">
        <w:t>perate</w:t>
      </w:r>
      <w:r w:rsidR="67052531" w:rsidRPr="00C64BA4">
        <w:t xml:space="preserve"> under what is known as </w:t>
      </w:r>
      <w:r w:rsidR="1BE24A3D" w:rsidRPr="00C64BA4">
        <w:t xml:space="preserve">the Faircloth Limits. This was an amendment to the Housing Act of 1937 which </w:t>
      </w:r>
      <w:r w:rsidR="7080A279" w:rsidRPr="00C64BA4">
        <w:t>effectively capped the number of housing units owned or operated by public housing agencies to the number of units in existence as of October 1, 1999.</w:t>
      </w:r>
      <w:r w:rsidR="1897642F" w:rsidRPr="00C64BA4">
        <w:t xml:space="preserve"> </w:t>
      </w:r>
      <w:r w:rsidR="3D70CD81" w:rsidRPr="00C64BA4">
        <w:rPr>
          <w:rFonts w:eastAsia="Tw Cen MT" w:cs="Tw Cen MT"/>
        </w:rPr>
        <w:t>This is consistent with federal policy over the last 20+ years, which has sought to discourage production of new public housing (to get away from concentrated ELI households</w:t>
      </w:r>
      <w:r w:rsidR="4321F3B5" w:rsidRPr="00C64BA4">
        <w:rPr>
          <w:rFonts w:eastAsia="Tw Cen MT" w:cs="Tw Cen MT"/>
        </w:rPr>
        <w:t xml:space="preserve"> in one location</w:t>
      </w:r>
      <w:r w:rsidR="30934838" w:rsidRPr="00C64BA4">
        <w:rPr>
          <w:rFonts w:eastAsia="Tw Cen MT" w:cs="Tw Cen MT"/>
        </w:rPr>
        <w:t xml:space="preserve"> (a household of one or more persons</w:t>
      </w:r>
      <w:r w:rsidR="136E05AD" w:rsidRPr="00C64BA4">
        <w:rPr>
          <w:rFonts w:eastAsia="Tw Cen MT" w:cs="Tw Cen MT"/>
        </w:rPr>
        <w:t xml:space="preserve"> wherein the adjusted family income is equal to or below the percentage of area median </w:t>
      </w:r>
      <w:r w:rsidR="136E05AD" w:rsidRPr="00C64BA4">
        <w:rPr>
          <w:rFonts w:eastAsia="Tw Cen MT" w:cs="Tw Cen MT"/>
        </w:rPr>
        <w:lastRenderedPageBreak/>
        <w:t>income for the county)</w:t>
      </w:r>
      <w:r w:rsidR="05700950" w:rsidRPr="00C64BA4">
        <w:rPr>
          <w:rFonts w:eastAsia="Tw Cen MT" w:cs="Tw Cen MT"/>
        </w:rPr>
        <w:t xml:space="preserve">; </w:t>
      </w:r>
      <w:r w:rsidR="68EB3DB2" w:rsidRPr="00C64BA4">
        <w:rPr>
          <w:rFonts w:eastAsia="Tw Cen MT" w:cs="Tw Cen MT"/>
        </w:rPr>
        <w:t>but</w:t>
      </w:r>
      <w:r w:rsidR="3D70CD81" w:rsidRPr="00C64BA4">
        <w:rPr>
          <w:rFonts w:eastAsia="Tw Cen MT" w:cs="Tw Cen MT"/>
        </w:rPr>
        <w:t xml:space="preserve"> instead encourage production of mixed-income developments through HOPE VI, Choice Neighborhoods, and RAD (Rental Assistance Demonstration), with a mix of public and private financing sources. For more information see</w:t>
      </w:r>
      <w:r w:rsidR="3D70CD81" w:rsidRPr="00C64BA4">
        <w:rPr>
          <w:rFonts w:eastAsia="Tw Cen MT" w:cs="Tw Cen MT"/>
          <w:color w:val="FF0000"/>
        </w:rPr>
        <w:t xml:space="preserve"> </w:t>
      </w:r>
      <w:hyperlink r:id="rId62" w:history="1">
        <w:r w:rsidR="00676A81" w:rsidRPr="00676A81">
          <w:rPr>
            <w:rStyle w:val="Hyperlink"/>
            <w:rFonts w:eastAsia="Tw Cen MT" w:cs="Tw Cen MT"/>
          </w:rPr>
          <w:t>HUD’s frequently asked questions about the Faircloth Limit</w:t>
        </w:r>
      </w:hyperlink>
      <w:r w:rsidR="00676A81">
        <w:rPr>
          <w:rFonts w:eastAsia="Tw Cen MT" w:cs="Tw Cen MT"/>
        </w:rPr>
        <w:t>.</w:t>
      </w:r>
    </w:p>
    <w:p w14:paraId="72CEAA5C" w14:textId="57E44342" w:rsidR="1DEF78BB" w:rsidRPr="00C64BA4" w:rsidRDefault="60CD6E92" w:rsidP="00206C45">
      <w:pPr>
        <w:spacing w:line="300" w:lineRule="auto"/>
      </w:pPr>
      <w:r w:rsidRPr="00DE7538">
        <w:rPr>
          <w:rStyle w:val="Heading4Char"/>
        </w:rPr>
        <w:t>Low Income Tax Credits</w:t>
      </w:r>
      <w:r w:rsidR="16E16B31" w:rsidRPr="00DE7538">
        <w:rPr>
          <w:rStyle w:val="Heading4Char"/>
        </w:rPr>
        <w:t>/S</w:t>
      </w:r>
      <w:r w:rsidR="16B2EC2F" w:rsidRPr="00DE7538">
        <w:rPr>
          <w:rStyle w:val="Heading4Char"/>
        </w:rPr>
        <w:t>ection 8 Vouchers.</w:t>
      </w:r>
      <w:r w:rsidR="0215D924" w:rsidRPr="00C64BA4">
        <w:t xml:space="preserve">  These two programs are mentioned here because of the impact federal monetary policy can</w:t>
      </w:r>
      <w:r w:rsidR="7E3EAD76" w:rsidRPr="00C64BA4">
        <w:t xml:space="preserve"> have on them</w:t>
      </w:r>
      <w:r w:rsidR="3736451D" w:rsidRPr="00C64BA4">
        <w:t xml:space="preserve">.  In this case, </w:t>
      </w:r>
      <w:r w:rsidR="7D7AACCF" w:rsidRPr="00C64BA4">
        <w:t>these two programs were scheduled to receive significant increases from the 2021 Build Back Better Act</w:t>
      </w:r>
      <w:r w:rsidR="53B11E4C" w:rsidRPr="00C64BA4">
        <w:t xml:space="preserve">; the allocated funds represented the single largest investment in affordable housing in U.S. history.  Due to objections in the Senate, the bill was </w:t>
      </w:r>
      <w:r w:rsidR="62FBB375" w:rsidRPr="00C64BA4">
        <w:t xml:space="preserve">revised and amended dramatically, and </w:t>
      </w:r>
      <w:r w:rsidR="41A73551" w:rsidRPr="00C64BA4">
        <w:t>the bill that</w:t>
      </w:r>
      <w:r w:rsidR="62FBB375" w:rsidRPr="00C64BA4">
        <w:t xml:space="preserve"> was signed into law on August 16, 2022 as the Inflation Reduction Act contained no funding for public housing.</w:t>
      </w:r>
      <w:r w:rsidR="5F0ADC99" w:rsidRPr="00C64BA4">
        <w:t xml:space="preserve">  This was a loss of $150 billion in housing-related funding.</w:t>
      </w:r>
    </w:p>
    <w:p w14:paraId="61CAD5BD" w14:textId="162144C2" w:rsidR="00763798" w:rsidRPr="00C64BA4" w:rsidRDefault="00763798" w:rsidP="00206C45">
      <w:pPr>
        <w:pStyle w:val="Heading3"/>
        <w:spacing w:line="300" w:lineRule="auto"/>
      </w:pPr>
      <w:bookmarkStart w:id="167" w:name="_Toc128137976"/>
      <w:r w:rsidRPr="00C64BA4">
        <w:t>Construction Costs</w:t>
      </w:r>
      <w:bookmarkEnd w:id="167"/>
    </w:p>
    <w:p w14:paraId="7C8FACEC" w14:textId="161FA8F0" w:rsidR="2FD17B57" w:rsidRPr="00C64BA4" w:rsidRDefault="2FD17B57" w:rsidP="00206C45">
      <w:pPr>
        <w:spacing w:line="300" w:lineRule="auto"/>
      </w:pPr>
      <w:r w:rsidRPr="00C64BA4">
        <w:t xml:space="preserve">Contributing to the supply and affordability of housing is the soaring cost of construction.  Since the onset of the pandemic, home purchase prices </w:t>
      </w:r>
      <w:bookmarkStart w:id="168" w:name="_Int_SNTtbez8"/>
      <w:r w:rsidRPr="00C64BA4">
        <w:t>are</w:t>
      </w:r>
      <w:bookmarkEnd w:id="168"/>
      <w:r w:rsidRPr="00C64BA4">
        <w:t xml:space="preserve"> at an all-time high.  According to the Bank of America, from 2018 to 2021 the cost of materials for an average single-family home increased by 42%, translating to roughly $35,000 more to build the home</w:t>
      </w:r>
      <w:r w:rsidR="003676A7">
        <w:rPr>
          <w:rStyle w:val="FootnoteReference"/>
        </w:rPr>
        <w:footnoteReference w:id="42"/>
      </w:r>
      <w:r w:rsidRPr="00C64BA4">
        <w:t xml:space="preserve">. </w:t>
      </w:r>
    </w:p>
    <w:p w14:paraId="310B5922" w14:textId="4DE9ED27" w:rsidR="6B2D48D4" w:rsidRPr="00C64BA4" w:rsidRDefault="1FCC36DF" w:rsidP="00206C45">
      <w:pPr>
        <w:spacing w:line="300" w:lineRule="auto"/>
        <w:rPr>
          <w:rFonts w:eastAsia="Tw Cen MT" w:cs="Tw Cen MT"/>
        </w:rPr>
      </w:pPr>
      <w:r w:rsidRPr="00C64BA4">
        <w:rPr>
          <w:rFonts w:eastAsia="Tw Cen MT" w:cs="Tw Cen MT"/>
        </w:rPr>
        <w:t xml:space="preserve">Developers who gathered at the June 30, </w:t>
      </w:r>
      <w:proofErr w:type="gramStart"/>
      <w:r w:rsidRPr="00C64BA4">
        <w:rPr>
          <w:rFonts w:eastAsia="Tw Cen MT" w:cs="Tw Cen MT"/>
        </w:rPr>
        <w:t>2021</w:t>
      </w:r>
      <w:proofErr w:type="gramEnd"/>
      <w:r w:rsidRPr="00C64BA4">
        <w:rPr>
          <w:rFonts w:eastAsia="Tw Cen MT" w:cs="Tw Cen MT"/>
        </w:rPr>
        <w:t xml:space="preserve"> Housing We Need Task Force generally agreed that market conditions favor larger-scale projects now. Building small-scale projects, such as single detached homes or small single-family developments, is expensive because of the lack of economies of scale, and because approval processes are so burdensome. The costs of regulation are easier to bear when spread over many housing units.</w:t>
      </w:r>
    </w:p>
    <w:p w14:paraId="378093BC" w14:textId="30E07524" w:rsidR="2FD17B57" w:rsidRPr="00C64BA4" w:rsidRDefault="2FD17B57" w:rsidP="00206C45">
      <w:pPr>
        <w:spacing w:line="300" w:lineRule="auto"/>
      </w:pPr>
      <w:r w:rsidRPr="00DE7538">
        <w:rPr>
          <w:rStyle w:val="Heading4Char"/>
        </w:rPr>
        <w:t>Building Supplies:</w:t>
      </w:r>
      <w:r w:rsidRPr="00C64BA4">
        <w:t xml:space="preserve"> Building materials make up about one-third of the cost of construction; labor and land costs make up the rest, and they can vary widely by region.  Freight costs are also a contributing factor, with costs for truck, rail, and water transportation all increasing significantly since 2021</w:t>
      </w:r>
      <w:r w:rsidR="005205DD">
        <w:rPr>
          <w:rStyle w:val="FootnoteReference"/>
        </w:rPr>
        <w:footnoteReference w:id="43"/>
      </w:r>
      <w:r w:rsidR="005205DD">
        <w:t>.</w:t>
      </w:r>
    </w:p>
    <w:p w14:paraId="008B28A4" w14:textId="3BFE224C" w:rsidR="2FD17B57" w:rsidRPr="00C64BA4" w:rsidRDefault="2FD17B57" w:rsidP="00206C45">
      <w:pPr>
        <w:spacing w:line="300" w:lineRule="auto"/>
      </w:pPr>
      <w:r w:rsidRPr="00C64BA4">
        <w:t>Associated with the rising costs are supply side shortages.  Shortage</w:t>
      </w:r>
      <w:r w:rsidR="577559D0" w:rsidRPr="00C64BA4">
        <w:t>s</w:t>
      </w:r>
      <w:r w:rsidRPr="00C64BA4">
        <w:t xml:space="preserve"> result in higher demand which </w:t>
      </w:r>
      <w:r w:rsidR="37C9004F" w:rsidRPr="00C64BA4">
        <w:t>translates</w:t>
      </w:r>
      <w:r w:rsidRPr="00C64BA4">
        <w:t xml:space="preserve"> to higher costs.  These shortages have also impacted the average time it takes to construct multi-family housing.  The national average time to complete a multi-family building has been increasing steadily since 2013, although it has leveled off since 2019.  These times vary by region, with the Northeast having the longest average time for completion.</w:t>
      </w:r>
    </w:p>
    <w:p w14:paraId="5B367056" w14:textId="44FB092C" w:rsidR="2FD17B57" w:rsidRPr="00C64BA4" w:rsidRDefault="2FD17B57" w:rsidP="00206C45">
      <w:pPr>
        <w:spacing w:line="300" w:lineRule="auto"/>
      </w:pPr>
      <w:r w:rsidRPr="00DE7538">
        <w:rPr>
          <w:rStyle w:val="Heading4Char"/>
        </w:rPr>
        <w:lastRenderedPageBreak/>
        <w:t>Labor Shortages:</w:t>
      </w:r>
      <w:r w:rsidRPr="00C64BA4">
        <w:t xml:space="preserve">  According to a Portsmouth, NH company</w:t>
      </w:r>
      <w:r w:rsidR="00722596">
        <w:rPr>
          <w:rStyle w:val="FootnoteReference"/>
        </w:rPr>
        <w:footnoteReference w:id="44"/>
      </w:r>
      <w:r w:rsidRPr="00C64BA4">
        <w:t xml:space="preserve"> one of the biggest concerns for the construction industry is the same as it’s been for several years: lack of qualified tradespeople and an experienced workforce.  These concerns are not new, as one industry publication expressed: </w:t>
      </w:r>
    </w:p>
    <w:p w14:paraId="4C681B31" w14:textId="2F34E590" w:rsidR="2FD17B57" w:rsidRPr="00C64BA4" w:rsidRDefault="2FD17B57" w:rsidP="00206C45">
      <w:pPr>
        <w:spacing w:line="300" w:lineRule="auto"/>
      </w:pPr>
      <w:r w:rsidRPr="00C64BA4">
        <w:t xml:space="preserve">“A lack of skilled workers is nothing new to the construction industry. Trade organizations, hiring managers, and small businesses have been complaining that the </w:t>
      </w:r>
      <w:bookmarkStart w:id="169" w:name="_Int_rMDLUIFg"/>
      <w:r w:rsidRPr="00C64BA4">
        <w:t>trades</w:t>
      </w:r>
      <w:bookmarkEnd w:id="169"/>
      <w:r w:rsidRPr="00C64BA4">
        <w:t xml:space="preserve"> just aren’t attracting young adults anymore, and the current workforce is aging out.  But that labor shortage became even more apparent during the pandemic. With fewer people willing to risk going to work combined with a boom in residential construction, the labor shortage continued to grow.</w:t>
      </w:r>
      <w:r w:rsidR="00531688">
        <w:t>”</w:t>
      </w:r>
      <w:r w:rsidRPr="00C64BA4">
        <w:t xml:space="preserve"> </w:t>
      </w:r>
      <w:r w:rsidR="00722596">
        <w:rPr>
          <w:rStyle w:val="FootnoteReference"/>
        </w:rPr>
        <w:footnoteReference w:id="45"/>
      </w:r>
      <w:r w:rsidR="0A4B99A4" w:rsidRPr="00C64BA4">
        <w:t xml:space="preserve"> These</w:t>
      </w:r>
      <w:r w:rsidRPr="00C64BA4">
        <w:t xml:space="preserve"> shortages appear to be driven in large part by four factors:  </w:t>
      </w:r>
    </w:p>
    <w:p w14:paraId="45E7ACD0" w14:textId="77777777" w:rsidR="007533C4" w:rsidRDefault="2FD17B57" w:rsidP="00206C45">
      <w:pPr>
        <w:pStyle w:val="ListParagraph"/>
        <w:numPr>
          <w:ilvl w:val="0"/>
          <w:numId w:val="27"/>
        </w:numPr>
        <w:spacing w:line="300" w:lineRule="auto"/>
      </w:pPr>
      <w:r w:rsidRPr="00C64BA4">
        <w:t>Retirements.  The average age of construction worker retirement is 61.  Many construction workers at or close to retirement moved into retirement when they became unemployed during the pandemic.</w:t>
      </w:r>
    </w:p>
    <w:p w14:paraId="18F364FF" w14:textId="77777777" w:rsidR="007533C4" w:rsidRDefault="2FD17B57" w:rsidP="00206C45">
      <w:pPr>
        <w:pStyle w:val="ListParagraph"/>
        <w:numPr>
          <w:ilvl w:val="0"/>
          <w:numId w:val="27"/>
        </w:numPr>
        <w:spacing w:line="300" w:lineRule="auto"/>
      </w:pPr>
      <w:r w:rsidRPr="00C64BA4">
        <w:t>Lack of Young People.  There is a very low percentage of young people going into the trades.  The 20-24 demographic instead has focused on college.</w:t>
      </w:r>
    </w:p>
    <w:p w14:paraId="4DFA6500" w14:textId="77777777" w:rsidR="007533C4" w:rsidRDefault="2FD17B57" w:rsidP="00206C45">
      <w:pPr>
        <w:pStyle w:val="ListParagraph"/>
        <w:numPr>
          <w:ilvl w:val="0"/>
          <w:numId w:val="27"/>
        </w:numPr>
        <w:spacing w:line="300" w:lineRule="auto"/>
      </w:pPr>
      <w:r w:rsidRPr="00C64BA4">
        <w:t>Market Competition.  Many workers are leaving construction for jobs with better working conditions.  For workers who choose to stay in construction, they may job-hop looking for better pay and benefits.</w:t>
      </w:r>
    </w:p>
    <w:p w14:paraId="7A82A799" w14:textId="2C081AD7" w:rsidR="2FD17B57" w:rsidRPr="00C64BA4" w:rsidRDefault="2FD17B57" w:rsidP="00206C45">
      <w:pPr>
        <w:pStyle w:val="ListParagraph"/>
        <w:numPr>
          <w:ilvl w:val="0"/>
          <w:numId w:val="27"/>
        </w:numPr>
        <w:spacing w:line="300" w:lineRule="auto"/>
      </w:pPr>
      <w:r w:rsidRPr="00C64BA4">
        <w:t>Increased Demand.  Despite the pandemic’s effect on some segments of the construction industry, residential demand boomed; people who were at home embarked on renovation projects, and people who moved into New Hampshire from urban areas built new houses.</w:t>
      </w:r>
    </w:p>
    <w:p w14:paraId="14579966" w14:textId="7DA7E98E" w:rsidR="2FD17B57" w:rsidRPr="00C64BA4" w:rsidRDefault="2FD17B57" w:rsidP="00206C45">
      <w:pPr>
        <w:spacing w:line="300" w:lineRule="auto"/>
      </w:pPr>
      <w:r w:rsidRPr="00C64BA4">
        <w:t xml:space="preserve">There is an educational initiative, described in the online </w:t>
      </w:r>
      <w:r w:rsidRPr="003B4FE0">
        <w:t>Manchester Ink Link</w:t>
      </w:r>
      <w:r w:rsidRPr="00C64BA4">
        <w:t>, that is attempting to address this shortage by encouraging more people to explore careers in the trade industry</w:t>
      </w:r>
      <w:r w:rsidR="00722596">
        <w:rPr>
          <w:rStyle w:val="FootnoteReference"/>
        </w:rPr>
        <w:footnoteReference w:id="46"/>
      </w:r>
      <w:r w:rsidRPr="00C64BA4">
        <w:t>.</w:t>
      </w:r>
    </w:p>
    <w:p w14:paraId="0022F3B9" w14:textId="1F62F0F4" w:rsidR="1F76C465" w:rsidRPr="00C64BA4" w:rsidRDefault="1F76C465" w:rsidP="00206C45">
      <w:pPr>
        <w:pStyle w:val="Heading3"/>
        <w:spacing w:line="300" w:lineRule="auto"/>
      </w:pPr>
      <w:bookmarkStart w:id="170" w:name="_Toc128137977"/>
      <w:r w:rsidRPr="00C64BA4">
        <w:t>S</w:t>
      </w:r>
      <w:r w:rsidR="00DE7538">
        <w:t>hort</w:t>
      </w:r>
      <w:r w:rsidR="002803A0">
        <w:t>-</w:t>
      </w:r>
      <w:r w:rsidR="00DE7538">
        <w:t>Term Rentals</w:t>
      </w:r>
      <w:bookmarkEnd w:id="170"/>
    </w:p>
    <w:p w14:paraId="1EED1F8E" w14:textId="6A327C56" w:rsidR="19BF6D54" w:rsidRPr="00C64BA4" w:rsidRDefault="1FCC36DF" w:rsidP="00206C45">
      <w:pPr>
        <w:spacing w:line="300" w:lineRule="auto"/>
      </w:pPr>
      <w:r w:rsidRPr="00DE7538">
        <w:rPr>
          <w:rStyle w:val="Heading4Char"/>
        </w:rPr>
        <w:t>What are they?</w:t>
      </w:r>
      <w:r w:rsidRPr="00C64BA4">
        <w:t xml:space="preserve">  Short-Term Rentals (STR’s) are generally defined as a residential property that is leased on a temporary basis.  These rentals are distinct from conventional lodging facilities such as hotels, motels, and Bed &amp; Breakfast establishments.  The duration of an STR can vary from an overnight to several weeks, which further differentiates it from more traditional leasing arrangements, which tend to longer stays of weeks or months.  </w:t>
      </w:r>
    </w:p>
    <w:p w14:paraId="66316562" w14:textId="28C0638A" w:rsidR="19BF6D54" w:rsidRPr="00C64BA4" w:rsidRDefault="19BF6D54" w:rsidP="00206C45">
      <w:pPr>
        <w:spacing w:line="300" w:lineRule="auto"/>
        <w:rPr>
          <w:rStyle w:val="Hyperlink"/>
          <w:rFonts w:eastAsia="Tw Cen MT" w:cs="Tw Cen MT"/>
        </w:rPr>
      </w:pPr>
      <w:r w:rsidRPr="00C64BA4">
        <w:t>Short-term rentals have been a feature for quite some time, particularly in popular tourist towns.  The rise of rental platforms such as Airbnb and VRBO (vacation rentals by owner) have triggered a dramatic increase in the use of STRs. This has been true around the country, and New Hampshire is no exception.  While the White Mountains and the Lakes Region have the most STRs in the state</w:t>
      </w:r>
      <w:r w:rsidR="00722596">
        <w:rPr>
          <w:rStyle w:val="FootnoteReference"/>
        </w:rPr>
        <w:footnoteReference w:id="47"/>
      </w:r>
      <w:r w:rsidRPr="00C64BA4">
        <w:t xml:space="preserve">, these rentals are also </w:t>
      </w:r>
      <w:r w:rsidRPr="00C64BA4">
        <w:lastRenderedPageBreak/>
        <w:t xml:space="preserve">found in southern New Hampshire. </w:t>
      </w:r>
      <w:r w:rsidR="1A088F21" w:rsidRPr="003B4FE0">
        <w:t xml:space="preserve">According to </w:t>
      </w:r>
      <w:proofErr w:type="spellStart"/>
      <w:r w:rsidR="1A088F21" w:rsidRPr="003B4FE0">
        <w:t>AirDNA</w:t>
      </w:r>
      <w:proofErr w:type="spellEnd"/>
      <w:r w:rsidR="00722596">
        <w:t xml:space="preserve">, </w:t>
      </w:r>
      <w:r w:rsidR="1A088F21" w:rsidRPr="003B4FE0">
        <w:rPr>
          <w:rStyle w:val="Hyperlink"/>
          <w:rFonts w:eastAsia="Tw Cen MT" w:cs="Tw Cen MT"/>
          <w:color w:val="auto"/>
          <w:u w:val="none"/>
        </w:rPr>
        <w:t xml:space="preserve">as of </w:t>
      </w:r>
      <w:r w:rsidR="32702080" w:rsidRPr="003B4FE0">
        <w:rPr>
          <w:rStyle w:val="Hyperlink"/>
          <w:rFonts w:eastAsia="Tw Cen MT" w:cs="Tw Cen MT"/>
          <w:color w:val="auto"/>
          <w:u w:val="none"/>
        </w:rPr>
        <w:t>May 2022,</w:t>
      </w:r>
      <w:r w:rsidR="1A088F21" w:rsidRPr="003B4FE0">
        <w:rPr>
          <w:rStyle w:val="Hyperlink"/>
          <w:rFonts w:eastAsia="Tw Cen MT" w:cs="Tw Cen MT"/>
          <w:color w:val="auto"/>
          <w:u w:val="none"/>
        </w:rPr>
        <w:t xml:space="preserve"> </w:t>
      </w:r>
      <w:r w:rsidR="6B202462" w:rsidRPr="003B4FE0">
        <w:rPr>
          <w:rStyle w:val="Hyperlink"/>
          <w:rFonts w:eastAsia="Tw Cen MT" w:cs="Tw Cen MT"/>
          <w:color w:val="auto"/>
          <w:u w:val="none"/>
        </w:rPr>
        <w:t>there were 20</w:t>
      </w:r>
      <w:r w:rsidR="3F9E07FB" w:rsidRPr="003B4FE0">
        <w:rPr>
          <w:rStyle w:val="Hyperlink"/>
          <w:rFonts w:eastAsia="Tw Cen MT" w:cs="Tw Cen MT"/>
          <w:color w:val="auto"/>
          <w:u w:val="none"/>
        </w:rPr>
        <w:t>5</w:t>
      </w:r>
      <w:r w:rsidR="6B202462" w:rsidRPr="003B4FE0">
        <w:rPr>
          <w:rStyle w:val="Hyperlink"/>
          <w:rFonts w:eastAsia="Tw Cen MT" w:cs="Tw Cen MT"/>
          <w:color w:val="auto"/>
          <w:u w:val="none"/>
        </w:rPr>
        <w:t xml:space="preserve"> STRs identified in the </w:t>
      </w:r>
      <w:r w:rsidR="3801EEC8" w:rsidRPr="003B4FE0">
        <w:rPr>
          <w:rStyle w:val="Hyperlink"/>
          <w:rFonts w:eastAsia="Tw Cen MT" w:cs="Tw Cen MT"/>
          <w:color w:val="auto"/>
          <w:u w:val="none"/>
        </w:rPr>
        <w:t>S</w:t>
      </w:r>
      <w:r w:rsidR="6B202462" w:rsidRPr="003B4FE0">
        <w:rPr>
          <w:rStyle w:val="Hyperlink"/>
          <w:rFonts w:eastAsia="Tw Cen MT" w:cs="Tw Cen MT"/>
          <w:color w:val="auto"/>
          <w:u w:val="none"/>
        </w:rPr>
        <w:t xml:space="preserve">outhern NH Region; note that this number reflects entire </w:t>
      </w:r>
      <w:r w:rsidR="5CB96E14" w:rsidRPr="003B4FE0">
        <w:rPr>
          <w:rStyle w:val="Hyperlink"/>
          <w:rFonts w:eastAsia="Tw Cen MT" w:cs="Tw Cen MT"/>
          <w:color w:val="auto"/>
          <w:u w:val="none"/>
        </w:rPr>
        <w:t>houses and</w:t>
      </w:r>
      <w:r w:rsidR="6B202462" w:rsidRPr="003B4FE0">
        <w:rPr>
          <w:rStyle w:val="Hyperlink"/>
          <w:rFonts w:eastAsia="Tw Cen MT" w:cs="Tw Cen MT"/>
          <w:color w:val="auto"/>
          <w:u w:val="none"/>
        </w:rPr>
        <w:t xml:space="preserve"> does not include private or shared rooms.</w:t>
      </w:r>
    </w:p>
    <w:p w14:paraId="7311634A" w14:textId="7B85F74A" w:rsidR="19BF6D54" w:rsidRPr="00C64BA4" w:rsidRDefault="1FCC36DF" w:rsidP="00206C45">
      <w:pPr>
        <w:spacing w:line="300" w:lineRule="auto"/>
      </w:pPr>
      <w:r w:rsidRPr="00DE7538">
        <w:rPr>
          <w:rStyle w:val="Heading5Char"/>
        </w:rPr>
        <w:t>Advantages:</w:t>
      </w:r>
      <w:r w:rsidRPr="00C64BA4">
        <w:t xml:space="preserve"> There are certain economic benefits of these rentals, including increased economic activity in the community, additional income for homeowners, and the ability of visitors to stay in more accessible, non-tourist areas.  </w:t>
      </w:r>
    </w:p>
    <w:p w14:paraId="50A5028C" w14:textId="7C65EA1B" w:rsidR="19BF6D54" w:rsidRPr="00C64BA4" w:rsidRDefault="19BF6D54" w:rsidP="00206C45">
      <w:pPr>
        <w:spacing w:line="300" w:lineRule="auto"/>
      </w:pPr>
      <w:r w:rsidRPr="00DE7538">
        <w:rPr>
          <w:rStyle w:val="Heading5Char"/>
        </w:rPr>
        <w:t>Disadvantages:</w:t>
      </w:r>
      <w:r w:rsidRPr="00C64BA4">
        <w:t xml:space="preserve">  Despite the potential for economic benefits, there are also economic disadvantages, such as reduced local tax revenue, artificial inflation of property values, competition with the traditional lodging industry, and the rise of corporate hosts/owners.</w:t>
      </w:r>
    </w:p>
    <w:p w14:paraId="0CC2E41C" w14:textId="5F290895" w:rsidR="19BF6D54" w:rsidRPr="00C64BA4" w:rsidRDefault="1FCC36DF" w:rsidP="00206C45">
      <w:pPr>
        <w:spacing w:line="300" w:lineRule="auto"/>
      </w:pPr>
      <w:r w:rsidRPr="00C64BA4">
        <w:t xml:space="preserve">Another side effect of the rise of STRs is the impact they are having on housing availability and affordability.  Renters tend to bear the brunt of this as traditional rentals are converted to short-term rentals.  Also, these conversions tend to </w:t>
      </w:r>
      <w:r w:rsidRPr="003B4FE0">
        <w:t>disproportionately affect lower-income neighborhoods</w:t>
      </w:r>
      <w:r w:rsidR="00722596">
        <w:rPr>
          <w:rStyle w:val="FootnoteReference"/>
        </w:rPr>
        <w:footnoteReference w:id="48"/>
      </w:r>
      <w:r w:rsidRPr="00C64BA4">
        <w:t xml:space="preserve">. One study </w:t>
      </w:r>
      <w:proofErr w:type="gramStart"/>
      <w:r w:rsidRPr="00C64BA4">
        <w:t>notes</w:t>
      </w:r>
      <w:proofErr w:type="gramEnd"/>
      <w:r w:rsidRPr="00C64BA4">
        <w:t xml:space="preserve"> that as the number of short-term rentals increase, the quantity of affordable housing decreases.  Further, as absentee landlords reduce the housing supply, the housing costs for local renters goes up.  The difference between an absentee landlord and an owner-occupied rental unit is an important one.  Absentee landlords are increasingly corporations who buy up housing stock for the sole purpose of using it for short-term rentals, which removes these units from the available supply in that community.  An owner-occupied rental does not have the same impact, since the unit being rented might be within the home itself, or the home is being rented while the owner is away for some period of time.  </w:t>
      </w:r>
    </w:p>
    <w:p w14:paraId="0D5A7A65" w14:textId="7D1E0E8A" w:rsidR="19BF6D54" w:rsidRPr="00C64BA4" w:rsidRDefault="19BF6D54" w:rsidP="00206C45">
      <w:pPr>
        <w:spacing w:line="300" w:lineRule="auto"/>
      </w:pPr>
      <w:r w:rsidRPr="00DE7538">
        <w:rPr>
          <w:rStyle w:val="Heading4Char"/>
        </w:rPr>
        <w:t>Local Responses:</w:t>
      </w:r>
      <w:r w:rsidRPr="00C64BA4">
        <w:t xml:space="preserve">  Communities nationwide have been struggling with how to address the housing problems created by these rentals.  In New Hampshire, 31 municipalities have adopted some type of amendment to their zoning ordinances that deals with STRs, from simply defining them, to allowing them subject to certain conditions, to requiring that the property be owner-occupied.  In the Southern New Hampshire region Bedford, Candia and New Boston have adopted regulations for short-term rentals.</w:t>
      </w:r>
    </w:p>
    <w:p w14:paraId="198D82D1" w14:textId="0520C40A" w:rsidR="3FE4986A" w:rsidRPr="00C64BA4" w:rsidRDefault="3FE4986A" w:rsidP="00206C45">
      <w:pPr>
        <w:pStyle w:val="Heading3"/>
        <w:spacing w:line="300" w:lineRule="auto"/>
        <w:rPr>
          <w:color w:val="246DFF" w:themeColor="text2" w:themeTint="99"/>
        </w:rPr>
      </w:pPr>
      <w:bookmarkStart w:id="171" w:name="_Toc128137978"/>
      <w:r w:rsidRPr="00C64BA4">
        <w:t>S</w:t>
      </w:r>
      <w:r w:rsidR="00DE7538">
        <w:t>tudent Fluc</w:t>
      </w:r>
      <w:r w:rsidR="00FB556E">
        <w:t>T</w:t>
      </w:r>
      <w:r w:rsidR="00DE7538">
        <w:t>uation in College Towns</w:t>
      </w:r>
      <w:bookmarkEnd w:id="171"/>
    </w:p>
    <w:p w14:paraId="5E19D904" w14:textId="30A0758E" w:rsidR="3FE4986A" w:rsidRPr="00C64BA4" w:rsidRDefault="3FE4986A" w:rsidP="00206C45">
      <w:pPr>
        <w:spacing w:line="300" w:lineRule="auto"/>
      </w:pPr>
      <w:r w:rsidRPr="00DE7538">
        <w:rPr>
          <w:rStyle w:val="Heading4Char"/>
        </w:rPr>
        <w:t>Impact on Housing:</w:t>
      </w:r>
      <w:r w:rsidRPr="00C64BA4">
        <w:t xml:space="preserve">  The presence of students in a coll</w:t>
      </w:r>
      <w:r w:rsidR="00FB556E">
        <w:t>e</w:t>
      </w:r>
      <w:r w:rsidRPr="00C64BA4">
        <w:t xml:space="preserve">ge town can have significant impacts on the housing market.  Colleges typically do not provide housing for all of its students; in fact, many only provide housing for freshmen and sophomores.  Students who live off-campus will rent apartments and even in some cases a single-family home.  This can have differing impacts, depending on the particular housing situation.  In a weak housing market, this can provide needed income for older homes that might otherwise be neglected; in a strong market, however, the students represent competition for lower income households and often displace them.  </w:t>
      </w:r>
      <w:r w:rsidRPr="003B4FE0">
        <w:t>According to one study</w:t>
      </w:r>
      <w:r w:rsidRPr="00C64BA4">
        <w:t>, regardless of the type of market, student housing raises the cost of rentals</w:t>
      </w:r>
      <w:r w:rsidR="00935A90">
        <w:t>.</w:t>
      </w:r>
      <w:r w:rsidR="00935A90">
        <w:rPr>
          <w:rStyle w:val="FootnoteReference"/>
        </w:rPr>
        <w:footnoteReference w:id="49"/>
      </w:r>
    </w:p>
    <w:p w14:paraId="2B0F12A3" w14:textId="7576868B" w:rsidR="3FE4986A" w:rsidRPr="00C64BA4" w:rsidRDefault="192F52F6" w:rsidP="00206C45">
      <w:pPr>
        <w:spacing w:line="300" w:lineRule="auto"/>
      </w:pPr>
      <w:r w:rsidRPr="00DE7538">
        <w:rPr>
          <w:rStyle w:val="Heading4Char"/>
        </w:rPr>
        <w:lastRenderedPageBreak/>
        <w:t>New Hampshire Examples:</w:t>
      </w:r>
      <w:r w:rsidRPr="00C64BA4">
        <w:t xml:space="preserve"> Colleges in New Hampshire have varied experiences when it comes to student housing.  There is a lack of data specific to the Southern NH Region, however the following information has been gathered for the City of Manchester:  </w:t>
      </w:r>
    </w:p>
    <w:p w14:paraId="10D30428" w14:textId="4A8FA8CB" w:rsidR="00BD4AB6" w:rsidRPr="00C64BA4" w:rsidRDefault="1FCC36DF" w:rsidP="00206C45">
      <w:pPr>
        <w:spacing w:line="300" w:lineRule="auto"/>
      </w:pPr>
      <w:r w:rsidRPr="00C64BA4">
        <w:t xml:space="preserve">Of the seven institutions of higher learning in Manchester, four of them provide some housing for freshmen and/or sophomore students.  Southern NH University has the largest student population of the </w:t>
      </w:r>
      <w:r w:rsidR="00C615A2" w:rsidRPr="00C64BA4">
        <w:t>seven and</w:t>
      </w:r>
      <w:r w:rsidRPr="00C64BA4">
        <w:t xml:space="preserve"> provides the most housing.  In all cases, the on-campus students represent a small portion of the total school population.  Of the remaining students </w:t>
      </w:r>
      <w:r w:rsidR="00C35738">
        <w:t>who</w:t>
      </w:r>
      <w:r w:rsidR="00C35738" w:rsidRPr="00C64BA4">
        <w:t xml:space="preserve"> </w:t>
      </w:r>
      <w:r w:rsidRPr="00C64BA4">
        <w:t>do not live on campus, they still may be living with family, or are renting apartments in the area.  Since the schools do not collect data on the living situations of their student</w:t>
      </w:r>
      <w:r w:rsidR="00C35738">
        <w:t>s</w:t>
      </w:r>
      <w:r w:rsidRPr="00C64BA4">
        <w:t>, complete information is not available.</w:t>
      </w:r>
    </w:p>
    <w:p w14:paraId="559BC2AA" w14:textId="18EE2C46" w:rsidR="3FE4986A" w:rsidRPr="00C64BA4" w:rsidRDefault="00DE7538" w:rsidP="00206C45">
      <w:pPr>
        <w:pStyle w:val="Heading3"/>
        <w:spacing w:line="300" w:lineRule="auto"/>
        <w:rPr>
          <w:color w:val="246DFF" w:themeColor="text2" w:themeTint="99"/>
        </w:rPr>
      </w:pPr>
      <w:bookmarkStart w:id="172" w:name="_Toc128137979"/>
      <w:r>
        <w:t>Aging Populations/ Smaller House</w:t>
      </w:r>
      <w:r w:rsidR="00C35738">
        <w:t>H</w:t>
      </w:r>
      <w:r>
        <w:t>olds</w:t>
      </w:r>
      <w:bookmarkEnd w:id="172"/>
      <w:r>
        <w:t xml:space="preserve"> </w:t>
      </w:r>
    </w:p>
    <w:p w14:paraId="5C372B14" w14:textId="151DAE9F" w:rsidR="27AFEA39" w:rsidRPr="00C64BA4" w:rsidRDefault="5F9DFBAB" w:rsidP="00206C45">
      <w:pPr>
        <w:spacing w:line="300" w:lineRule="auto"/>
        <w:rPr>
          <w:rFonts w:eastAsia="Tw Cen MT" w:cs="Tw Cen MT"/>
        </w:rPr>
      </w:pPr>
      <w:r w:rsidRPr="00C64BA4">
        <w:rPr>
          <w:rFonts w:eastAsia="Tw Cen MT" w:cs="Tw Cen MT"/>
        </w:rPr>
        <w:t>New Hampshire’s population is aging; the “Silver Tsunami” has been growing for some time, as the Baby Boomers (those born from 1946 to 1964) age into their 60’s and 70’s.  This is not unique to New Hampshire, as the entire country is experiencing the same demographic changes.  The most recent population projections developed by the NH Office of Planning and Development (see</w:t>
      </w:r>
      <w:r w:rsidR="00935A90">
        <w:rPr>
          <w:rFonts w:eastAsia="Tw Cen MT" w:cs="Tw Cen MT"/>
        </w:rPr>
        <w:t xml:space="preserve"> </w:t>
      </w:r>
      <w:r w:rsidR="00531688">
        <w:rPr>
          <w:rFonts w:eastAsia="Tw Cen MT" w:cs="Tw Cen MT"/>
        </w:rPr>
        <w:fldChar w:fldCharType="begin"/>
      </w:r>
      <w:r w:rsidR="00531688">
        <w:rPr>
          <w:rFonts w:eastAsia="Tw Cen MT" w:cs="Tw Cen MT"/>
        </w:rPr>
        <w:instrText xml:space="preserve"> REF _Ref123644545 \h </w:instrText>
      </w:r>
      <w:r w:rsidR="00531688">
        <w:rPr>
          <w:rFonts w:eastAsia="Tw Cen MT" w:cs="Tw Cen MT"/>
        </w:rPr>
      </w:r>
      <w:r w:rsidR="00531688">
        <w:rPr>
          <w:rFonts w:eastAsia="Tw Cen MT" w:cs="Tw Cen MT"/>
        </w:rPr>
        <w:fldChar w:fldCharType="separate"/>
      </w:r>
      <w:r w:rsidR="00206C45">
        <w:t xml:space="preserve">Table </w:t>
      </w:r>
      <w:r w:rsidR="00206C45">
        <w:rPr>
          <w:noProof/>
        </w:rPr>
        <w:t>30</w:t>
      </w:r>
      <w:r w:rsidR="00531688">
        <w:rPr>
          <w:rFonts w:eastAsia="Tw Cen MT" w:cs="Tw Cen MT"/>
        </w:rPr>
        <w:fldChar w:fldCharType="end"/>
      </w:r>
      <w:r w:rsidRPr="00C64BA4">
        <w:rPr>
          <w:rFonts w:eastAsia="Tw Cen MT" w:cs="Tw Cen MT"/>
        </w:rPr>
        <w:t xml:space="preserve">) indicated that the 65 and older cohort will increase by </w:t>
      </w:r>
      <w:r w:rsidR="53C4D91C" w:rsidRPr="00C64BA4">
        <w:rPr>
          <w:rFonts w:eastAsia="Tw Cen MT" w:cs="Tw Cen MT"/>
        </w:rPr>
        <w:t>52</w:t>
      </w:r>
      <w:r w:rsidRPr="00C64BA4">
        <w:rPr>
          <w:rFonts w:eastAsia="Tw Cen MT" w:cs="Tw Cen MT"/>
        </w:rPr>
        <w:t xml:space="preserve">% between 2020 and 2050.  The 85 and older cohort is projected to increase </w:t>
      </w:r>
      <w:r w:rsidR="25FA323A" w:rsidRPr="00C64BA4">
        <w:rPr>
          <w:rFonts w:eastAsia="Tw Cen MT" w:cs="Tw Cen MT"/>
        </w:rPr>
        <w:t>238</w:t>
      </w:r>
      <w:r w:rsidRPr="00C64BA4">
        <w:rPr>
          <w:rFonts w:eastAsia="Tw Cen MT" w:cs="Tw Cen MT"/>
        </w:rPr>
        <w:t xml:space="preserve">%; although this was a much smaller number to begin with in 2020. </w:t>
      </w:r>
    </w:p>
    <w:p w14:paraId="15DCD4DF" w14:textId="75016C66" w:rsidR="27AFEA39" w:rsidRPr="00C64BA4" w:rsidRDefault="1FCC36DF" w:rsidP="00206C45">
      <w:pPr>
        <w:spacing w:line="300" w:lineRule="auto"/>
        <w:rPr>
          <w:rFonts w:eastAsia="Tw Cen MT" w:cs="Tw Cen MT"/>
        </w:rPr>
      </w:pPr>
      <w:r w:rsidRPr="00C64BA4">
        <w:rPr>
          <w:rFonts w:eastAsia="Tw Cen MT" w:cs="Tw Cen MT"/>
        </w:rPr>
        <w:t xml:space="preserve">The elderly population growth is having an impact on housing availability in the state.  This effect has been carefully documented by the NH Center for Public Policy Studies in </w:t>
      </w:r>
      <w:r w:rsidRPr="009F1F21">
        <w:rPr>
          <w:rFonts w:eastAsia="Tw Cen MT" w:cs="Tw Cen MT"/>
        </w:rPr>
        <w:t>the 2014 Report “Big Houses, Small Households: Perceptions, Preferences and Assessment”</w:t>
      </w:r>
      <w:r w:rsidRPr="00C64BA4">
        <w:rPr>
          <w:rFonts w:eastAsia="Tw Cen MT" w:cs="Tw Cen MT"/>
        </w:rPr>
        <w:t xml:space="preserve">. </w:t>
      </w:r>
      <w:r w:rsidR="00935A90">
        <w:rPr>
          <w:rStyle w:val="FootnoteReference"/>
          <w:rFonts w:eastAsia="Tw Cen MT" w:cs="Tw Cen MT"/>
        </w:rPr>
        <w:footnoteReference w:id="50"/>
      </w:r>
      <w:r w:rsidR="00935A90">
        <w:rPr>
          <w:rFonts w:eastAsia="Tw Cen MT" w:cs="Tw Cen MT"/>
        </w:rPr>
        <w:t xml:space="preserve"> </w:t>
      </w:r>
      <w:r w:rsidRPr="00C64BA4">
        <w:rPr>
          <w:rFonts w:eastAsia="Tw Cen MT" w:cs="Tw Cen MT"/>
        </w:rPr>
        <w:t>Key findings from this report include the misalignment of the state’s housing supply with evolving housing preferences.  Older residents are looking to downsize because they can no longer manage their homes – either financially or physically and are looking for smaller houses or apartments/condominiums.  At the same time, younger people just entering the workforce are looking for the same thing. Realtors in the region have shared that younger couples often compete with older couples for the few smaller, more manageable, and more affordable homes that come on the market.  It is the older couple that wins the bid because the home they are downsizing from and selling has considerable equity.  Town Planners in the region have also mentioned that people are getting married later, having kids later and living a more single and fluid lifestyle.  The 2014 report also points out that, with seniors making up the largest age cohort in the state, they will also be occupying a larger proportion of the available housing units.</w:t>
      </w:r>
    </w:p>
    <w:p w14:paraId="0644EB66" w14:textId="16015979" w:rsidR="00763798" w:rsidRPr="00DE7538" w:rsidRDefault="1FCC36DF" w:rsidP="00206C45">
      <w:pPr>
        <w:spacing w:line="300" w:lineRule="auto"/>
        <w:rPr>
          <w:rFonts w:eastAsia="Tw Cen MT" w:cs="Tw Cen MT"/>
        </w:rPr>
      </w:pPr>
      <w:r w:rsidRPr="00C64BA4">
        <w:rPr>
          <w:rFonts w:eastAsia="Tw Cen MT" w:cs="Tw Cen MT"/>
        </w:rPr>
        <w:t xml:space="preserve">The need for smaller, more affordable, and more manageable homes was echoed at SNHPC’s municipal and rural virtual focus group meetings held </w:t>
      </w:r>
      <w:r w:rsidR="00C35738">
        <w:rPr>
          <w:rFonts w:eastAsia="Tw Cen MT" w:cs="Tw Cen MT"/>
        </w:rPr>
        <w:t>i</w:t>
      </w:r>
      <w:r w:rsidRPr="00C64BA4">
        <w:rPr>
          <w:rFonts w:eastAsia="Tw Cen MT" w:cs="Tw Cen MT"/>
        </w:rPr>
        <w:t>n April 2022.  Only a few residents from medium-sized communities were not in favor of this style housing, but more concerned with maintaining community character.  Still, residents from all three focus groups shared the desire to age in place (or retire within their own community).</w:t>
      </w:r>
    </w:p>
    <w:p w14:paraId="5CC29065" w14:textId="1BC7407D" w:rsidR="00763798" w:rsidRPr="00C64BA4" w:rsidRDefault="00763798" w:rsidP="00A17D67">
      <w:pPr>
        <w:pStyle w:val="Heading3"/>
        <w:keepNext/>
        <w:keepLines/>
        <w:spacing w:line="300" w:lineRule="auto"/>
      </w:pPr>
      <w:bookmarkStart w:id="173" w:name="_Toc128137980"/>
      <w:r w:rsidRPr="00C64BA4">
        <w:lastRenderedPageBreak/>
        <w:t>Demographic Changes</w:t>
      </w:r>
      <w:bookmarkEnd w:id="173"/>
    </w:p>
    <w:p w14:paraId="667B631E" w14:textId="37BD6969" w:rsidR="00763798" w:rsidRPr="00C64BA4" w:rsidRDefault="00FE3637" w:rsidP="00A17D67">
      <w:pPr>
        <w:keepNext/>
        <w:keepLines/>
        <w:spacing w:line="300" w:lineRule="auto"/>
      </w:pPr>
      <w:r w:rsidRPr="00C64BA4">
        <w:t>From 1990 to 2000, the SNHPC region</w:t>
      </w:r>
      <w:r w:rsidR="00AA181C">
        <w:t>’s population</w:t>
      </w:r>
      <w:r w:rsidRPr="00C64BA4">
        <w:t xml:space="preserve"> grew by 15 percent</w:t>
      </w:r>
      <w:r w:rsidR="00E74CB2" w:rsidRPr="00C64BA4">
        <w:t>; from 2000 to 2010 the region grew by 6</w:t>
      </w:r>
      <w:r w:rsidR="00AA181C">
        <w:t>%</w:t>
      </w:r>
      <w:r w:rsidR="00E74CB2" w:rsidRPr="00C64BA4">
        <w:t>; and f</w:t>
      </w:r>
      <w:r w:rsidRPr="00DE7538">
        <w:t xml:space="preserve">rom 2010 to 2020 the SNHPC </w:t>
      </w:r>
      <w:r w:rsidRPr="00C64BA4">
        <w:t xml:space="preserve">region </w:t>
      </w:r>
      <w:r w:rsidRPr="00DE7538">
        <w:t xml:space="preserve">population grew by </w:t>
      </w:r>
      <w:r w:rsidR="00AA181C">
        <w:t>7%</w:t>
      </w:r>
      <w:r w:rsidRPr="00DE7538">
        <w:t>. The Town of Auburn saw the largest increase in population</w:t>
      </w:r>
      <w:r w:rsidRPr="00C64BA4">
        <w:t xml:space="preserve"> from 2010 to 2020</w:t>
      </w:r>
      <w:r w:rsidRPr="00DE7538">
        <w:t>, by 20</w:t>
      </w:r>
      <w:r w:rsidR="00AA181C">
        <w:t>%</w:t>
      </w:r>
      <w:r w:rsidRPr="00DE7538">
        <w:t xml:space="preserve">, while </w:t>
      </w:r>
      <w:r w:rsidRPr="00C64BA4">
        <w:t xml:space="preserve">the populations of Candia, </w:t>
      </w:r>
      <w:proofErr w:type="spellStart"/>
      <w:r w:rsidRPr="00C64BA4">
        <w:t>Francestown</w:t>
      </w:r>
      <w:proofErr w:type="spellEnd"/>
      <w:r w:rsidRPr="00C64BA4">
        <w:t xml:space="preserve">, and </w:t>
      </w:r>
      <w:proofErr w:type="spellStart"/>
      <w:r w:rsidRPr="00C64BA4">
        <w:t>Weare</w:t>
      </w:r>
      <w:proofErr w:type="spellEnd"/>
      <w:r w:rsidRPr="00C64BA4">
        <w:t xml:space="preserve"> had the lowest growth in the SNHPC region, by 3</w:t>
      </w:r>
      <w:r w:rsidR="00AA181C">
        <w:t>%</w:t>
      </w:r>
      <w:r w:rsidRPr="00C64BA4">
        <w:t xml:space="preserve">. </w:t>
      </w:r>
    </w:p>
    <w:p w14:paraId="2567A546" w14:textId="01F8D82F" w:rsidR="00E74CB2" w:rsidRPr="00C64BA4" w:rsidRDefault="00E74CB2" w:rsidP="00206C45">
      <w:pPr>
        <w:spacing w:line="300" w:lineRule="auto"/>
      </w:pPr>
      <w:r w:rsidRPr="00C64BA4">
        <w:t xml:space="preserve">The NH Office of Planning Development has </w:t>
      </w:r>
      <w:r w:rsidR="00AA181C">
        <w:t>conducted</w:t>
      </w:r>
      <w:r w:rsidR="00AA181C" w:rsidRPr="00C64BA4">
        <w:t xml:space="preserve"> </w:t>
      </w:r>
      <w:r w:rsidRPr="00C64BA4">
        <w:t xml:space="preserve">population projections since 1964. The projections are used by government agencies and private interests to guide public policy, gauge market </w:t>
      </w:r>
      <w:proofErr w:type="gramStart"/>
      <w:r w:rsidRPr="00C64BA4">
        <w:t>potential</w:t>
      </w:r>
      <w:proofErr w:type="gramEnd"/>
      <w:r w:rsidRPr="00C64BA4">
        <w:t xml:space="preserve"> and estimate future target populations.</w:t>
      </w:r>
    </w:p>
    <w:p w14:paraId="6A02F941" w14:textId="6FCE926F" w:rsidR="00E74CB2" w:rsidRPr="00C64BA4" w:rsidRDefault="00E74CB2" w:rsidP="00206C45">
      <w:pPr>
        <w:spacing w:line="300" w:lineRule="auto"/>
      </w:pPr>
      <w:r w:rsidRPr="00C64BA4">
        <w:t>The projections are based on the 2020 US Census, with updated input of vital records information, migration data, and American Community Survey data. The projections at the state and county level combine census data with birth and death data from the NH Department of State/Division of Vital Records Administration and other sources. It is then used to develop survival and fertility rates and age-specific migration rates. The births and deaths span the decade, with rates specific to New Hampshire.</w:t>
      </w:r>
    </w:p>
    <w:p w14:paraId="276E5817" w14:textId="3C4C22C4" w:rsidR="003D1760" w:rsidRPr="00C64BA4" w:rsidRDefault="001262E1" w:rsidP="00206C45">
      <w:pPr>
        <w:spacing w:line="300" w:lineRule="auto"/>
      </w:pPr>
      <w:r w:rsidRPr="00C64BA4">
        <w:t>The SNHPC region population is projected to increase by 32,460 individuals by 2050 to a total population of 317,690. This represents an increase of approximately 11.4 percent. Communities projected to have the greatest amount of growth in the region from 2020-2050 are Goffstown (12.1 percent growth rate), Bedford (11.9 percent growth rate) and Manchester (11.9 percent growth rate). Communities projected to have the least amount of growth from 2020-2050 are Windham (9.7percent growth rate), and Hooksett (9.9 percent growth rate).</w:t>
      </w:r>
    </w:p>
    <w:p w14:paraId="1FB49C44" w14:textId="7B1DD5F0" w:rsidR="000A570C" w:rsidRDefault="000A570C" w:rsidP="00206C45">
      <w:pPr>
        <w:pStyle w:val="Caption"/>
        <w:keepNext/>
        <w:spacing w:line="300" w:lineRule="auto"/>
      </w:pPr>
      <w:bookmarkStart w:id="174" w:name="_Ref123644545"/>
      <w:bookmarkStart w:id="175" w:name="_Toc128137921"/>
      <w:r>
        <w:t xml:space="preserve">Table </w:t>
      </w:r>
      <w:r w:rsidR="0062538A">
        <w:fldChar w:fldCharType="begin"/>
      </w:r>
      <w:r w:rsidR="0062538A">
        <w:instrText xml:space="preserve"> SEQ Table \* ARABIC </w:instrText>
      </w:r>
      <w:r w:rsidR="0062538A">
        <w:fldChar w:fldCharType="separate"/>
      </w:r>
      <w:r w:rsidR="008B512A">
        <w:rPr>
          <w:noProof/>
        </w:rPr>
        <w:t>30</w:t>
      </w:r>
      <w:r w:rsidR="0062538A">
        <w:rPr>
          <w:noProof/>
        </w:rPr>
        <w:fldChar w:fldCharType="end"/>
      </w:r>
      <w:bookmarkEnd w:id="174"/>
      <w:r>
        <w:t>: Total Population</w:t>
      </w:r>
      <w:bookmarkEnd w:id="175"/>
    </w:p>
    <w:tbl>
      <w:tblPr>
        <w:tblStyle w:val="TableGrid"/>
        <w:tblW w:w="0" w:type="auto"/>
        <w:tblLayout w:type="fixed"/>
        <w:tblLook w:val="06A0" w:firstRow="1" w:lastRow="0" w:firstColumn="1" w:lastColumn="0" w:noHBand="1" w:noVBand="1"/>
      </w:tblPr>
      <w:tblGrid>
        <w:gridCol w:w="1380"/>
        <w:gridCol w:w="1294"/>
        <w:gridCol w:w="1337"/>
        <w:gridCol w:w="1230"/>
        <w:gridCol w:w="107"/>
        <w:gridCol w:w="1337"/>
        <w:gridCol w:w="1337"/>
        <w:gridCol w:w="1337"/>
      </w:tblGrid>
      <w:tr w:rsidR="00E7437F" w:rsidRPr="00C64BA4" w14:paraId="3AB38C34" w14:textId="77777777" w:rsidTr="00D65D0C">
        <w:trPr>
          <w:trHeight w:val="300"/>
        </w:trPr>
        <w:tc>
          <w:tcPr>
            <w:tcW w:w="1380" w:type="dxa"/>
            <w:tcBorders>
              <w:top w:val="nil"/>
              <w:left w:val="nil"/>
              <w:bottom w:val="nil"/>
              <w:right w:val="nil"/>
            </w:tcBorders>
            <w:shd w:val="clear" w:color="auto" w:fill="auto"/>
            <w:vAlign w:val="bottom"/>
          </w:tcPr>
          <w:p w14:paraId="6AA4D8EB" w14:textId="77777777" w:rsidR="00E7437F" w:rsidRPr="00C64BA4" w:rsidRDefault="00E7437F" w:rsidP="00206C45">
            <w:pPr>
              <w:spacing w:line="300" w:lineRule="auto"/>
            </w:pPr>
          </w:p>
        </w:tc>
        <w:tc>
          <w:tcPr>
            <w:tcW w:w="7979" w:type="dxa"/>
            <w:gridSpan w:val="7"/>
            <w:tcBorders>
              <w:top w:val="nil"/>
              <w:left w:val="nil"/>
              <w:bottom w:val="nil"/>
              <w:right w:val="nil"/>
            </w:tcBorders>
            <w:shd w:val="clear" w:color="auto" w:fill="auto"/>
            <w:vAlign w:val="bottom"/>
          </w:tcPr>
          <w:p w14:paraId="5122AF7F" w14:textId="77777777" w:rsidR="00E7437F" w:rsidRPr="00C64BA4" w:rsidRDefault="00E7437F" w:rsidP="00206C45">
            <w:pPr>
              <w:spacing w:line="300" w:lineRule="auto"/>
              <w:jc w:val="center"/>
              <w:rPr>
                <w:rFonts w:eastAsia="Tw Cen MT" w:cs="Tw Cen MT"/>
                <w:b/>
                <w:bCs/>
                <w:color w:val="595959" w:themeColor="text1" w:themeTint="A6"/>
              </w:rPr>
            </w:pPr>
            <w:r w:rsidRPr="00C64BA4">
              <w:rPr>
                <w:b/>
                <w:bCs/>
                <w:color w:val="595959" w:themeColor="text1" w:themeTint="A6"/>
              </w:rPr>
              <w:t>Total Population</w:t>
            </w:r>
          </w:p>
        </w:tc>
      </w:tr>
      <w:tr w:rsidR="00E7437F" w:rsidRPr="00C64BA4" w14:paraId="53EC3130" w14:textId="77777777" w:rsidTr="00D65D0C">
        <w:trPr>
          <w:trHeight w:val="300"/>
        </w:trPr>
        <w:tc>
          <w:tcPr>
            <w:tcW w:w="1380" w:type="dxa"/>
            <w:tcBorders>
              <w:top w:val="nil"/>
              <w:left w:val="nil"/>
              <w:bottom w:val="nil"/>
              <w:right w:val="nil"/>
            </w:tcBorders>
            <w:shd w:val="clear" w:color="auto" w:fill="auto"/>
            <w:vAlign w:val="bottom"/>
          </w:tcPr>
          <w:p w14:paraId="15168467" w14:textId="77777777" w:rsidR="00E7437F" w:rsidRPr="00C64BA4" w:rsidRDefault="00E7437F" w:rsidP="00206C45">
            <w:pPr>
              <w:spacing w:line="300" w:lineRule="auto"/>
              <w:rPr>
                <w:sz w:val="22"/>
                <w:szCs w:val="22"/>
              </w:rPr>
            </w:pPr>
          </w:p>
        </w:tc>
        <w:tc>
          <w:tcPr>
            <w:tcW w:w="1294" w:type="dxa"/>
            <w:tcBorders>
              <w:top w:val="nil"/>
              <w:left w:val="nil"/>
              <w:bottom w:val="nil"/>
              <w:right w:val="nil"/>
            </w:tcBorders>
            <w:shd w:val="clear" w:color="auto" w:fill="auto"/>
            <w:vAlign w:val="bottom"/>
          </w:tcPr>
          <w:p w14:paraId="1BE23145" w14:textId="77777777" w:rsidR="00E7437F" w:rsidRPr="00C64BA4" w:rsidRDefault="00E7437F" w:rsidP="00206C45">
            <w:pPr>
              <w:spacing w:line="300" w:lineRule="auto"/>
              <w:rPr>
                <w:b/>
                <w:bCs/>
                <w:color w:val="595959" w:themeColor="text1" w:themeTint="A6"/>
                <w:sz w:val="22"/>
                <w:szCs w:val="22"/>
              </w:rPr>
            </w:pPr>
          </w:p>
        </w:tc>
        <w:tc>
          <w:tcPr>
            <w:tcW w:w="6685" w:type="dxa"/>
            <w:gridSpan w:val="6"/>
            <w:tcBorders>
              <w:top w:val="nil"/>
              <w:left w:val="single" w:sz="4" w:space="0" w:color="auto"/>
              <w:bottom w:val="nil"/>
              <w:right w:val="nil"/>
            </w:tcBorders>
            <w:shd w:val="clear" w:color="auto" w:fill="auto"/>
            <w:vAlign w:val="bottom"/>
          </w:tcPr>
          <w:p w14:paraId="4F88F357" w14:textId="77777777" w:rsidR="00E7437F" w:rsidRPr="00C64BA4" w:rsidRDefault="00E7437F" w:rsidP="00206C45">
            <w:pPr>
              <w:spacing w:line="300" w:lineRule="auto"/>
              <w:jc w:val="center"/>
              <w:rPr>
                <w:b/>
                <w:bCs/>
                <w:color w:val="595959" w:themeColor="text1" w:themeTint="A6"/>
                <w:sz w:val="22"/>
                <w:szCs w:val="22"/>
              </w:rPr>
            </w:pPr>
            <w:r w:rsidRPr="00C64BA4">
              <w:rPr>
                <w:rFonts w:eastAsia="Tw Cen MT" w:cs="Tw Cen MT"/>
                <w:b/>
                <w:bCs/>
                <w:color w:val="595959" w:themeColor="text1" w:themeTint="A6"/>
                <w:sz w:val="22"/>
                <w:szCs w:val="22"/>
              </w:rPr>
              <w:t>Projected</w:t>
            </w:r>
          </w:p>
        </w:tc>
      </w:tr>
      <w:tr w:rsidR="00E7437F" w:rsidRPr="00C64BA4" w14:paraId="6A320BBA" w14:textId="77777777" w:rsidTr="00D65D0C">
        <w:trPr>
          <w:trHeight w:val="315"/>
        </w:trPr>
        <w:tc>
          <w:tcPr>
            <w:tcW w:w="1380" w:type="dxa"/>
            <w:tcBorders>
              <w:top w:val="nil"/>
              <w:left w:val="nil"/>
              <w:bottom w:val="single" w:sz="8" w:space="0" w:color="auto"/>
              <w:right w:val="nil"/>
            </w:tcBorders>
            <w:shd w:val="clear" w:color="auto" w:fill="auto"/>
            <w:vAlign w:val="bottom"/>
          </w:tcPr>
          <w:p w14:paraId="2727DD73" w14:textId="77777777" w:rsidR="00E7437F" w:rsidRPr="00C64BA4" w:rsidRDefault="00E7437F" w:rsidP="00206C45">
            <w:pPr>
              <w:spacing w:line="300" w:lineRule="auto"/>
              <w:jc w:val="center"/>
              <w:rPr>
                <w:sz w:val="22"/>
                <w:szCs w:val="22"/>
              </w:rPr>
            </w:pPr>
          </w:p>
        </w:tc>
        <w:tc>
          <w:tcPr>
            <w:tcW w:w="1294" w:type="dxa"/>
            <w:tcBorders>
              <w:top w:val="nil"/>
              <w:left w:val="nil"/>
              <w:bottom w:val="single" w:sz="8" w:space="0" w:color="auto"/>
              <w:right w:val="nil"/>
            </w:tcBorders>
            <w:shd w:val="clear" w:color="auto" w:fill="auto"/>
            <w:vAlign w:val="bottom"/>
          </w:tcPr>
          <w:p w14:paraId="3F67448B" w14:textId="77777777" w:rsidR="00E7437F" w:rsidRPr="00C64BA4" w:rsidRDefault="00E7437F" w:rsidP="00206C45">
            <w:pPr>
              <w:spacing w:line="300" w:lineRule="auto"/>
              <w:jc w:val="center"/>
              <w:rPr>
                <w:b/>
                <w:bCs/>
                <w:color w:val="595959" w:themeColor="text1" w:themeTint="A6"/>
                <w:sz w:val="22"/>
                <w:szCs w:val="22"/>
              </w:rPr>
            </w:pPr>
            <w:r w:rsidRPr="00C64BA4">
              <w:rPr>
                <w:rFonts w:eastAsia="Tw Cen MT" w:cs="Tw Cen MT"/>
                <w:b/>
                <w:bCs/>
                <w:color w:val="595959" w:themeColor="text1" w:themeTint="A6"/>
                <w:sz w:val="22"/>
                <w:szCs w:val="22"/>
              </w:rPr>
              <w:t>2020</w:t>
            </w:r>
          </w:p>
        </w:tc>
        <w:tc>
          <w:tcPr>
            <w:tcW w:w="1337" w:type="dxa"/>
            <w:tcBorders>
              <w:top w:val="nil"/>
              <w:left w:val="single" w:sz="4" w:space="0" w:color="auto"/>
              <w:bottom w:val="single" w:sz="8" w:space="0" w:color="auto"/>
              <w:right w:val="nil"/>
            </w:tcBorders>
            <w:shd w:val="clear" w:color="auto" w:fill="auto"/>
            <w:vAlign w:val="bottom"/>
          </w:tcPr>
          <w:p w14:paraId="77BD5213" w14:textId="77777777" w:rsidR="00E7437F" w:rsidRPr="00C64BA4" w:rsidRDefault="00E7437F" w:rsidP="00206C45">
            <w:pPr>
              <w:spacing w:line="300" w:lineRule="auto"/>
              <w:jc w:val="center"/>
              <w:rPr>
                <w:b/>
                <w:bCs/>
                <w:color w:val="595959" w:themeColor="text1" w:themeTint="A6"/>
                <w:sz w:val="22"/>
                <w:szCs w:val="22"/>
              </w:rPr>
            </w:pPr>
            <w:r w:rsidRPr="00C64BA4">
              <w:rPr>
                <w:rFonts w:eastAsia="Tw Cen MT" w:cs="Tw Cen MT"/>
                <w:b/>
                <w:bCs/>
                <w:color w:val="595959" w:themeColor="text1" w:themeTint="A6"/>
                <w:sz w:val="22"/>
                <w:szCs w:val="22"/>
              </w:rPr>
              <w:t>2030</w:t>
            </w:r>
          </w:p>
        </w:tc>
        <w:tc>
          <w:tcPr>
            <w:tcW w:w="1337" w:type="dxa"/>
            <w:gridSpan w:val="2"/>
            <w:tcBorders>
              <w:top w:val="nil"/>
              <w:left w:val="nil"/>
              <w:bottom w:val="single" w:sz="8" w:space="0" w:color="auto"/>
              <w:right w:val="nil"/>
            </w:tcBorders>
            <w:shd w:val="clear" w:color="auto" w:fill="auto"/>
            <w:vAlign w:val="bottom"/>
          </w:tcPr>
          <w:p w14:paraId="35028AFB" w14:textId="77777777" w:rsidR="00E7437F" w:rsidRPr="00C64BA4" w:rsidRDefault="00E7437F" w:rsidP="00206C45">
            <w:pPr>
              <w:spacing w:line="300" w:lineRule="auto"/>
              <w:jc w:val="center"/>
              <w:rPr>
                <w:b/>
                <w:bCs/>
                <w:color w:val="595959" w:themeColor="text1" w:themeTint="A6"/>
                <w:sz w:val="22"/>
                <w:szCs w:val="22"/>
              </w:rPr>
            </w:pPr>
            <w:r w:rsidRPr="00C64BA4">
              <w:rPr>
                <w:rFonts w:eastAsia="Tw Cen MT" w:cs="Tw Cen MT"/>
                <w:b/>
                <w:bCs/>
                <w:color w:val="595959" w:themeColor="text1" w:themeTint="A6"/>
                <w:sz w:val="22"/>
                <w:szCs w:val="22"/>
              </w:rPr>
              <w:t>2040</w:t>
            </w:r>
          </w:p>
        </w:tc>
        <w:tc>
          <w:tcPr>
            <w:tcW w:w="1337" w:type="dxa"/>
            <w:tcBorders>
              <w:top w:val="nil"/>
              <w:left w:val="nil"/>
              <w:bottom w:val="single" w:sz="8" w:space="0" w:color="auto"/>
              <w:right w:val="nil"/>
            </w:tcBorders>
            <w:shd w:val="clear" w:color="auto" w:fill="auto"/>
            <w:vAlign w:val="bottom"/>
          </w:tcPr>
          <w:p w14:paraId="3D9A7E33" w14:textId="77777777" w:rsidR="00E7437F" w:rsidRPr="00C64BA4" w:rsidRDefault="00E7437F" w:rsidP="00206C45">
            <w:pPr>
              <w:spacing w:line="300" w:lineRule="auto"/>
              <w:jc w:val="center"/>
              <w:rPr>
                <w:b/>
                <w:bCs/>
                <w:color w:val="595959" w:themeColor="text1" w:themeTint="A6"/>
                <w:sz w:val="22"/>
                <w:szCs w:val="22"/>
              </w:rPr>
            </w:pPr>
            <w:r w:rsidRPr="00C64BA4">
              <w:rPr>
                <w:rFonts w:eastAsia="Tw Cen MT" w:cs="Tw Cen MT"/>
                <w:b/>
                <w:bCs/>
                <w:color w:val="595959" w:themeColor="text1" w:themeTint="A6"/>
                <w:sz w:val="22"/>
                <w:szCs w:val="22"/>
              </w:rPr>
              <w:t>2050</w:t>
            </w:r>
          </w:p>
        </w:tc>
        <w:tc>
          <w:tcPr>
            <w:tcW w:w="2674" w:type="dxa"/>
            <w:gridSpan w:val="2"/>
            <w:tcBorders>
              <w:top w:val="nil"/>
              <w:left w:val="single" w:sz="4" w:space="0" w:color="auto"/>
              <w:bottom w:val="single" w:sz="8" w:space="0" w:color="auto"/>
              <w:right w:val="nil"/>
            </w:tcBorders>
            <w:shd w:val="clear" w:color="auto" w:fill="auto"/>
            <w:vAlign w:val="bottom"/>
          </w:tcPr>
          <w:p w14:paraId="6AE83B26" w14:textId="77777777" w:rsidR="00E7437F" w:rsidRPr="00C64BA4" w:rsidRDefault="00E7437F" w:rsidP="00206C45">
            <w:pPr>
              <w:spacing w:line="300" w:lineRule="auto"/>
              <w:jc w:val="center"/>
              <w:rPr>
                <w:b/>
                <w:bCs/>
                <w:color w:val="595959" w:themeColor="text1" w:themeTint="A6"/>
                <w:sz w:val="22"/>
                <w:szCs w:val="22"/>
              </w:rPr>
            </w:pPr>
            <w:r w:rsidRPr="00C64BA4">
              <w:rPr>
                <w:rFonts w:eastAsia="Tw Cen MT" w:cs="Tw Cen MT"/>
                <w:b/>
                <w:bCs/>
                <w:color w:val="595959" w:themeColor="text1" w:themeTint="A6"/>
                <w:sz w:val="22"/>
                <w:szCs w:val="22"/>
              </w:rPr>
              <w:t>Growth 2020 to 2050</w:t>
            </w:r>
          </w:p>
        </w:tc>
      </w:tr>
      <w:tr w:rsidR="00E7437F" w:rsidRPr="00C64BA4" w14:paraId="6D645EE9" w14:textId="77777777" w:rsidTr="00D65D0C">
        <w:trPr>
          <w:trHeight w:val="295"/>
        </w:trPr>
        <w:tc>
          <w:tcPr>
            <w:tcW w:w="1380" w:type="dxa"/>
            <w:tcBorders>
              <w:top w:val="single" w:sz="8" w:space="0" w:color="auto"/>
              <w:left w:val="nil"/>
              <w:bottom w:val="single" w:sz="4" w:space="0" w:color="auto"/>
              <w:right w:val="nil"/>
            </w:tcBorders>
            <w:vAlign w:val="center"/>
          </w:tcPr>
          <w:p w14:paraId="1CF8C034"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Auburn</w:t>
            </w:r>
          </w:p>
        </w:tc>
        <w:tc>
          <w:tcPr>
            <w:tcW w:w="1294" w:type="dxa"/>
            <w:tcBorders>
              <w:top w:val="single" w:sz="8" w:space="0" w:color="auto"/>
              <w:left w:val="nil"/>
              <w:bottom w:val="single" w:sz="4" w:space="0" w:color="auto"/>
              <w:right w:val="nil"/>
            </w:tcBorders>
            <w:vAlign w:val="center"/>
          </w:tcPr>
          <w:p w14:paraId="0DF2585F"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5,950</w:t>
            </w:r>
          </w:p>
        </w:tc>
        <w:tc>
          <w:tcPr>
            <w:tcW w:w="1337" w:type="dxa"/>
            <w:tcBorders>
              <w:top w:val="single" w:sz="8" w:space="0" w:color="auto"/>
              <w:left w:val="single" w:sz="4" w:space="0" w:color="auto"/>
              <w:bottom w:val="single" w:sz="4" w:space="0" w:color="auto"/>
              <w:right w:val="nil"/>
            </w:tcBorders>
            <w:vAlign w:val="center"/>
          </w:tcPr>
          <w:p w14:paraId="2534E0F2"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6,400</w:t>
            </w:r>
          </w:p>
        </w:tc>
        <w:tc>
          <w:tcPr>
            <w:tcW w:w="1337" w:type="dxa"/>
            <w:gridSpan w:val="2"/>
            <w:tcBorders>
              <w:top w:val="single" w:sz="8" w:space="0" w:color="auto"/>
              <w:left w:val="nil"/>
              <w:bottom w:val="single" w:sz="4" w:space="0" w:color="auto"/>
              <w:right w:val="nil"/>
            </w:tcBorders>
            <w:vAlign w:val="center"/>
          </w:tcPr>
          <w:p w14:paraId="78A672BC"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6,610</w:t>
            </w:r>
          </w:p>
        </w:tc>
        <w:tc>
          <w:tcPr>
            <w:tcW w:w="1337" w:type="dxa"/>
            <w:tcBorders>
              <w:top w:val="single" w:sz="8" w:space="0" w:color="auto"/>
              <w:left w:val="nil"/>
              <w:bottom w:val="single" w:sz="4" w:space="0" w:color="auto"/>
              <w:right w:val="nil"/>
            </w:tcBorders>
            <w:vAlign w:val="center"/>
          </w:tcPr>
          <w:p w14:paraId="248C99CC"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6,560</w:t>
            </w:r>
          </w:p>
        </w:tc>
        <w:tc>
          <w:tcPr>
            <w:tcW w:w="1337" w:type="dxa"/>
            <w:tcBorders>
              <w:top w:val="single" w:sz="8" w:space="0" w:color="auto"/>
              <w:left w:val="single" w:sz="4" w:space="0" w:color="auto"/>
              <w:bottom w:val="single" w:sz="4" w:space="0" w:color="auto"/>
              <w:right w:val="nil"/>
            </w:tcBorders>
            <w:vAlign w:val="center"/>
          </w:tcPr>
          <w:p w14:paraId="40F4F88F"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620</w:t>
            </w:r>
          </w:p>
        </w:tc>
        <w:tc>
          <w:tcPr>
            <w:tcW w:w="1337" w:type="dxa"/>
            <w:tcBorders>
              <w:top w:val="nil"/>
              <w:left w:val="nil"/>
              <w:bottom w:val="single" w:sz="4" w:space="0" w:color="auto"/>
              <w:right w:val="nil"/>
            </w:tcBorders>
            <w:vAlign w:val="center"/>
          </w:tcPr>
          <w:p w14:paraId="10F04A70"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10.4%</w:t>
            </w:r>
          </w:p>
        </w:tc>
      </w:tr>
      <w:tr w:rsidR="00E7437F" w:rsidRPr="00C64BA4" w14:paraId="2FD866D1" w14:textId="77777777" w:rsidTr="00D65D0C">
        <w:trPr>
          <w:trHeight w:val="300"/>
        </w:trPr>
        <w:tc>
          <w:tcPr>
            <w:tcW w:w="1380" w:type="dxa"/>
            <w:tcBorders>
              <w:top w:val="single" w:sz="4" w:space="0" w:color="auto"/>
              <w:left w:val="nil"/>
              <w:bottom w:val="single" w:sz="4" w:space="0" w:color="auto"/>
              <w:right w:val="nil"/>
            </w:tcBorders>
            <w:shd w:val="clear" w:color="auto" w:fill="E7E6E6"/>
            <w:vAlign w:val="center"/>
          </w:tcPr>
          <w:p w14:paraId="3E9A01A3"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Bedford</w:t>
            </w:r>
          </w:p>
        </w:tc>
        <w:tc>
          <w:tcPr>
            <w:tcW w:w="1294" w:type="dxa"/>
            <w:tcBorders>
              <w:top w:val="single" w:sz="4" w:space="0" w:color="auto"/>
              <w:left w:val="nil"/>
              <w:bottom w:val="single" w:sz="4" w:space="0" w:color="auto"/>
              <w:right w:val="nil"/>
            </w:tcBorders>
            <w:shd w:val="clear" w:color="auto" w:fill="E7E6E6"/>
            <w:vAlign w:val="center"/>
          </w:tcPr>
          <w:p w14:paraId="353DA0C2"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23,320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184D0473"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25,150</w:t>
            </w:r>
          </w:p>
        </w:tc>
        <w:tc>
          <w:tcPr>
            <w:tcW w:w="1337" w:type="dxa"/>
            <w:gridSpan w:val="2"/>
            <w:tcBorders>
              <w:top w:val="single" w:sz="4" w:space="0" w:color="auto"/>
              <w:left w:val="nil"/>
              <w:bottom w:val="single" w:sz="4" w:space="0" w:color="auto"/>
              <w:right w:val="nil"/>
            </w:tcBorders>
            <w:shd w:val="clear" w:color="auto" w:fill="E7E6E6"/>
            <w:vAlign w:val="center"/>
          </w:tcPr>
          <w:p w14:paraId="5DB07EAD"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26,030</w:t>
            </w:r>
          </w:p>
        </w:tc>
        <w:tc>
          <w:tcPr>
            <w:tcW w:w="1337" w:type="dxa"/>
            <w:tcBorders>
              <w:top w:val="single" w:sz="4" w:space="0" w:color="auto"/>
              <w:left w:val="nil"/>
              <w:bottom w:val="single" w:sz="4" w:space="0" w:color="auto"/>
              <w:right w:val="nil"/>
            </w:tcBorders>
            <w:shd w:val="clear" w:color="auto" w:fill="E7E6E6"/>
            <w:vAlign w:val="center"/>
          </w:tcPr>
          <w:p w14:paraId="56F896F3"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26,100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19C3DBE5"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2,780</w:t>
            </w:r>
          </w:p>
        </w:tc>
        <w:tc>
          <w:tcPr>
            <w:tcW w:w="1337" w:type="dxa"/>
            <w:tcBorders>
              <w:top w:val="single" w:sz="4" w:space="0" w:color="auto"/>
              <w:left w:val="nil"/>
              <w:bottom w:val="single" w:sz="4" w:space="0" w:color="auto"/>
              <w:right w:val="nil"/>
            </w:tcBorders>
            <w:shd w:val="clear" w:color="auto" w:fill="E7E6E6"/>
            <w:vAlign w:val="center"/>
          </w:tcPr>
          <w:p w14:paraId="09D79E16"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11.9%</w:t>
            </w:r>
          </w:p>
        </w:tc>
      </w:tr>
      <w:tr w:rsidR="00E7437F" w:rsidRPr="00C64BA4" w14:paraId="2D41ABFE" w14:textId="77777777" w:rsidTr="00D65D0C">
        <w:trPr>
          <w:trHeight w:val="300"/>
        </w:trPr>
        <w:tc>
          <w:tcPr>
            <w:tcW w:w="1380" w:type="dxa"/>
            <w:tcBorders>
              <w:top w:val="single" w:sz="4" w:space="0" w:color="auto"/>
              <w:left w:val="nil"/>
              <w:bottom w:val="single" w:sz="4" w:space="0" w:color="auto"/>
              <w:right w:val="nil"/>
            </w:tcBorders>
            <w:vAlign w:val="center"/>
          </w:tcPr>
          <w:p w14:paraId="1BED3BF1"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Candia</w:t>
            </w:r>
          </w:p>
        </w:tc>
        <w:tc>
          <w:tcPr>
            <w:tcW w:w="1294" w:type="dxa"/>
            <w:tcBorders>
              <w:top w:val="single" w:sz="4" w:space="0" w:color="auto"/>
              <w:left w:val="nil"/>
              <w:bottom w:val="single" w:sz="4" w:space="0" w:color="auto"/>
              <w:right w:val="nil"/>
            </w:tcBorders>
            <w:vAlign w:val="center"/>
          </w:tcPr>
          <w:p w14:paraId="7721421F"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4,010</w:t>
            </w:r>
          </w:p>
        </w:tc>
        <w:tc>
          <w:tcPr>
            <w:tcW w:w="1337" w:type="dxa"/>
            <w:tcBorders>
              <w:top w:val="single" w:sz="4" w:space="0" w:color="auto"/>
              <w:left w:val="single" w:sz="4" w:space="0" w:color="auto"/>
              <w:bottom w:val="single" w:sz="4" w:space="0" w:color="auto"/>
              <w:right w:val="nil"/>
            </w:tcBorders>
            <w:vAlign w:val="center"/>
          </w:tcPr>
          <w:p w14:paraId="51F29A98"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4,330</w:t>
            </w:r>
          </w:p>
        </w:tc>
        <w:tc>
          <w:tcPr>
            <w:tcW w:w="1337" w:type="dxa"/>
            <w:gridSpan w:val="2"/>
            <w:tcBorders>
              <w:top w:val="single" w:sz="4" w:space="0" w:color="auto"/>
              <w:left w:val="nil"/>
              <w:bottom w:val="single" w:sz="4" w:space="0" w:color="auto"/>
              <w:right w:val="nil"/>
            </w:tcBorders>
            <w:vAlign w:val="center"/>
          </w:tcPr>
          <w:p w14:paraId="63219275"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4,480</w:t>
            </w:r>
          </w:p>
        </w:tc>
        <w:tc>
          <w:tcPr>
            <w:tcW w:w="1337" w:type="dxa"/>
            <w:tcBorders>
              <w:top w:val="single" w:sz="4" w:space="0" w:color="auto"/>
              <w:left w:val="nil"/>
              <w:bottom w:val="single" w:sz="4" w:space="0" w:color="auto"/>
              <w:right w:val="nil"/>
            </w:tcBorders>
            <w:vAlign w:val="center"/>
          </w:tcPr>
          <w:p w14:paraId="19FC7929"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4,450</w:t>
            </w:r>
          </w:p>
        </w:tc>
        <w:tc>
          <w:tcPr>
            <w:tcW w:w="1337" w:type="dxa"/>
            <w:tcBorders>
              <w:top w:val="single" w:sz="4" w:space="0" w:color="auto"/>
              <w:left w:val="single" w:sz="4" w:space="0" w:color="auto"/>
              <w:bottom w:val="single" w:sz="4" w:space="0" w:color="auto"/>
              <w:right w:val="nil"/>
            </w:tcBorders>
            <w:vAlign w:val="center"/>
          </w:tcPr>
          <w:p w14:paraId="05C0C788"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430</w:t>
            </w:r>
          </w:p>
        </w:tc>
        <w:tc>
          <w:tcPr>
            <w:tcW w:w="1337" w:type="dxa"/>
            <w:tcBorders>
              <w:top w:val="single" w:sz="4" w:space="0" w:color="auto"/>
              <w:left w:val="nil"/>
              <w:bottom w:val="single" w:sz="4" w:space="0" w:color="auto"/>
              <w:right w:val="nil"/>
            </w:tcBorders>
            <w:vAlign w:val="center"/>
          </w:tcPr>
          <w:p w14:paraId="4FB35145"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10.8%</w:t>
            </w:r>
          </w:p>
        </w:tc>
      </w:tr>
      <w:tr w:rsidR="00E7437F" w:rsidRPr="00C64BA4" w14:paraId="26B7E587" w14:textId="77777777" w:rsidTr="00D65D0C">
        <w:trPr>
          <w:trHeight w:val="300"/>
        </w:trPr>
        <w:tc>
          <w:tcPr>
            <w:tcW w:w="1380" w:type="dxa"/>
            <w:tcBorders>
              <w:top w:val="single" w:sz="4" w:space="0" w:color="auto"/>
              <w:left w:val="nil"/>
              <w:bottom w:val="single" w:sz="4" w:space="0" w:color="auto"/>
              <w:right w:val="nil"/>
            </w:tcBorders>
            <w:shd w:val="clear" w:color="auto" w:fill="E7E6E6"/>
            <w:vAlign w:val="center"/>
          </w:tcPr>
          <w:p w14:paraId="4B7006A4"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Chester</w:t>
            </w:r>
          </w:p>
        </w:tc>
        <w:tc>
          <w:tcPr>
            <w:tcW w:w="1294" w:type="dxa"/>
            <w:tcBorders>
              <w:top w:val="single" w:sz="4" w:space="0" w:color="auto"/>
              <w:left w:val="nil"/>
              <w:bottom w:val="single" w:sz="4" w:space="0" w:color="auto"/>
              <w:right w:val="nil"/>
            </w:tcBorders>
            <w:shd w:val="clear" w:color="auto" w:fill="E7E6E6"/>
            <w:vAlign w:val="center"/>
          </w:tcPr>
          <w:p w14:paraId="23BB937A"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5,230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6E157740"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5,620</w:t>
            </w:r>
          </w:p>
        </w:tc>
        <w:tc>
          <w:tcPr>
            <w:tcW w:w="1337" w:type="dxa"/>
            <w:gridSpan w:val="2"/>
            <w:tcBorders>
              <w:top w:val="single" w:sz="4" w:space="0" w:color="auto"/>
              <w:left w:val="nil"/>
              <w:bottom w:val="single" w:sz="4" w:space="0" w:color="auto"/>
              <w:right w:val="nil"/>
            </w:tcBorders>
            <w:shd w:val="clear" w:color="auto" w:fill="E7E6E6"/>
            <w:vAlign w:val="center"/>
          </w:tcPr>
          <w:p w14:paraId="488CBA7A"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5,800</w:t>
            </w:r>
          </w:p>
        </w:tc>
        <w:tc>
          <w:tcPr>
            <w:tcW w:w="1337" w:type="dxa"/>
            <w:tcBorders>
              <w:top w:val="single" w:sz="4" w:space="0" w:color="auto"/>
              <w:left w:val="nil"/>
              <w:bottom w:val="single" w:sz="4" w:space="0" w:color="auto"/>
              <w:right w:val="nil"/>
            </w:tcBorders>
            <w:shd w:val="clear" w:color="auto" w:fill="E7E6E6"/>
            <w:vAlign w:val="center"/>
          </w:tcPr>
          <w:p w14:paraId="59DAA745"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5,760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344FF0D0"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530</w:t>
            </w:r>
          </w:p>
        </w:tc>
        <w:tc>
          <w:tcPr>
            <w:tcW w:w="1337" w:type="dxa"/>
            <w:tcBorders>
              <w:top w:val="single" w:sz="4" w:space="0" w:color="auto"/>
              <w:left w:val="nil"/>
              <w:bottom w:val="single" w:sz="4" w:space="0" w:color="auto"/>
              <w:right w:val="nil"/>
            </w:tcBorders>
            <w:shd w:val="clear" w:color="auto" w:fill="E7E6E6"/>
            <w:vAlign w:val="center"/>
          </w:tcPr>
          <w:p w14:paraId="79D620DE"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10.1%</w:t>
            </w:r>
          </w:p>
        </w:tc>
      </w:tr>
      <w:tr w:rsidR="00E7437F" w:rsidRPr="00C64BA4" w14:paraId="40EAA569" w14:textId="77777777" w:rsidTr="00D65D0C">
        <w:trPr>
          <w:trHeight w:val="300"/>
        </w:trPr>
        <w:tc>
          <w:tcPr>
            <w:tcW w:w="1380" w:type="dxa"/>
            <w:tcBorders>
              <w:top w:val="single" w:sz="4" w:space="0" w:color="auto"/>
              <w:left w:val="nil"/>
              <w:bottom w:val="single" w:sz="4" w:space="0" w:color="auto"/>
              <w:right w:val="nil"/>
            </w:tcBorders>
            <w:vAlign w:val="center"/>
          </w:tcPr>
          <w:p w14:paraId="77ED2FB3"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Deerfield</w:t>
            </w:r>
          </w:p>
        </w:tc>
        <w:tc>
          <w:tcPr>
            <w:tcW w:w="1294" w:type="dxa"/>
            <w:tcBorders>
              <w:top w:val="single" w:sz="4" w:space="0" w:color="auto"/>
              <w:left w:val="nil"/>
              <w:bottom w:val="single" w:sz="4" w:space="0" w:color="auto"/>
              <w:right w:val="nil"/>
            </w:tcBorders>
            <w:vAlign w:val="center"/>
          </w:tcPr>
          <w:p w14:paraId="614BE70D"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4,860</w:t>
            </w:r>
          </w:p>
        </w:tc>
        <w:tc>
          <w:tcPr>
            <w:tcW w:w="1337" w:type="dxa"/>
            <w:tcBorders>
              <w:top w:val="single" w:sz="4" w:space="0" w:color="auto"/>
              <w:left w:val="single" w:sz="4" w:space="0" w:color="auto"/>
              <w:bottom w:val="single" w:sz="4" w:space="0" w:color="auto"/>
              <w:right w:val="nil"/>
            </w:tcBorders>
            <w:vAlign w:val="center"/>
          </w:tcPr>
          <w:p w14:paraId="37EBD5D5"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5,230</w:t>
            </w:r>
          </w:p>
        </w:tc>
        <w:tc>
          <w:tcPr>
            <w:tcW w:w="1337" w:type="dxa"/>
            <w:gridSpan w:val="2"/>
            <w:tcBorders>
              <w:top w:val="single" w:sz="4" w:space="0" w:color="auto"/>
              <w:left w:val="nil"/>
              <w:bottom w:val="single" w:sz="4" w:space="0" w:color="auto"/>
              <w:right w:val="nil"/>
            </w:tcBorders>
            <w:vAlign w:val="center"/>
          </w:tcPr>
          <w:p w14:paraId="6D772CBC"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5,400</w:t>
            </w:r>
          </w:p>
        </w:tc>
        <w:tc>
          <w:tcPr>
            <w:tcW w:w="1337" w:type="dxa"/>
            <w:tcBorders>
              <w:top w:val="single" w:sz="4" w:space="0" w:color="auto"/>
              <w:left w:val="nil"/>
              <w:bottom w:val="single" w:sz="4" w:space="0" w:color="auto"/>
              <w:right w:val="nil"/>
            </w:tcBorders>
            <w:vAlign w:val="center"/>
          </w:tcPr>
          <w:p w14:paraId="0FFC18C4"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5,360</w:t>
            </w:r>
          </w:p>
        </w:tc>
        <w:tc>
          <w:tcPr>
            <w:tcW w:w="1337" w:type="dxa"/>
            <w:tcBorders>
              <w:top w:val="single" w:sz="4" w:space="0" w:color="auto"/>
              <w:left w:val="single" w:sz="4" w:space="0" w:color="auto"/>
              <w:bottom w:val="single" w:sz="4" w:space="0" w:color="auto"/>
              <w:right w:val="nil"/>
            </w:tcBorders>
            <w:vAlign w:val="center"/>
          </w:tcPr>
          <w:p w14:paraId="554EE367"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510</w:t>
            </w:r>
          </w:p>
        </w:tc>
        <w:tc>
          <w:tcPr>
            <w:tcW w:w="1337" w:type="dxa"/>
            <w:tcBorders>
              <w:top w:val="single" w:sz="4" w:space="0" w:color="auto"/>
              <w:left w:val="nil"/>
              <w:bottom w:val="single" w:sz="4" w:space="0" w:color="auto"/>
              <w:right w:val="nil"/>
            </w:tcBorders>
            <w:vAlign w:val="center"/>
          </w:tcPr>
          <w:p w14:paraId="4E76DC34"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10.4%</w:t>
            </w:r>
          </w:p>
        </w:tc>
      </w:tr>
      <w:tr w:rsidR="00E7437F" w:rsidRPr="00C64BA4" w14:paraId="650CE1A9" w14:textId="77777777" w:rsidTr="00D65D0C">
        <w:trPr>
          <w:trHeight w:val="300"/>
        </w:trPr>
        <w:tc>
          <w:tcPr>
            <w:tcW w:w="1380" w:type="dxa"/>
            <w:tcBorders>
              <w:top w:val="single" w:sz="4" w:space="0" w:color="auto"/>
              <w:left w:val="nil"/>
              <w:bottom w:val="single" w:sz="4" w:space="0" w:color="auto"/>
              <w:right w:val="nil"/>
            </w:tcBorders>
            <w:shd w:val="clear" w:color="auto" w:fill="E7E6E6"/>
            <w:vAlign w:val="center"/>
          </w:tcPr>
          <w:p w14:paraId="04D883EA"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Derry</w:t>
            </w:r>
          </w:p>
        </w:tc>
        <w:tc>
          <w:tcPr>
            <w:tcW w:w="1294" w:type="dxa"/>
            <w:tcBorders>
              <w:top w:val="single" w:sz="4" w:space="0" w:color="auto"/>
              <w:left w:val="nil"/>
              <w:bottom w:val="single" w:sz="4" w:space="0" w:color="auto"/>
              <w:right w:val="nil"/>
            </w:tcBorders>
            <w:shd w:val="clear" w:color="auto" w:fill="E7E6E6"/>
            <w:vAlign w:val="center"/>
          </w:tcPr>
          <w:p w14:paraId="01496886"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34,320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783B9F37"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37,230</w:t>
            </w:r>
          </w:p>
        </w:tc>
        <w:tc>
          <w:tcPr>
            <w:tcW w:w="1337" w:type="dxa"/>
            <w:gridSpan w:val="2"/>
            <w:tcBorders>
              <w:top w:val="single" w:sz="4" w:space="0" w:color="auto"/>
              <w:left w:val="nil"/>
              <w:bottom w:val="single" w:sz="4" w:space="0" w:color="auto"/>
              <w:right w:val="nil"/>
            </w:tcBorders>
            <w:shd w:val="clear" w:color="auto" w:fill="E7E6E6"/>
            <w:vAlign w:val="center"/>
          </w:tcPr>
          <w:p w14:paraId="2257E636"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38,550</w:t>
            </w:r>
          </w:p>
        </w:tc>
        <w:tc>
          <w:tcPr>
            <w:tcW w:w="1337" w:type="dxa"/>
            <w:tcBorders>
              <w:top w:val="single" w:sz="4" w:space="0" w:color="auto"/>
              <w:left w:val="nil"/>
              <w:bottom w:val="single" w:sz="4" w:space="0" w:color="auto"/>
              <w:right w:val="nil"/>
            </w:tcBorders>
            <w:shd w:val="clear" w:color="auto" w:fill="E7E6E6"/>
            <w:vAlign w:val="center"/>
          </w:tcPr>
          <w:p w14:paraId="212773EB"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38,260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0196D119"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3,940</w:t>
            </w:r>
          </w:p>
        </w:tc>
        <w:tc>
          <w:tcPr>
            <w:tcW w:w="1337" w:type="dxa"/>
            <w:tcBorders>
              <w:top w:val="single" w:sz="4" w:space="0" w:color="auto"/>
              <w:left w:val="nil"/>
              <w:bottom w:val="single" w:sz="4" w:space="0" w:color="auto"/>
              <w:right w:val="nil"/>
            </w:tcBorders>
            <w:shd w:val="clear" w:color="auto" w:fill="E7E6E6"/>
            <w:vAlign w:val="center"/>
          </w:tcPr>
          <w:p w14:paraId="11E04D94"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11.5%</w:t>
            </w:r>
          </w:p>
        </w:tc>
      </w:tr>
      <w:tr w:rsidR="00E7437F" w:rsidRPr="00C64BA4" w14:paraId="202FC32D" w14:textId="77777777" w:rsidTr="00D65D0C">
        <w:trPr>
          <w:trHeight w:val="300"/>
        </w:trPr>
        <w:tc>
          <w:tcPr>
            <w:tcW w:w="1380" w:type="dxa"/>
            <w:tcBorders>
              <w:top w:val="single" w:sz="4" w:space="0" w:color="auto"/>
              <w:left w:val="nil"/>
              <w:bottom w:val="single" w:sz="4" w:space="0" w:color="auto"/>
              <w:right w:val="nil"/>
            </w:tcBorders>
            <w:vAlign w:val="center"/>
          </w:tcPr>
          <w:p w14:paraId="3A39ECE5" w14:textId="77777777" w:rsidR="00E7437F" w:rsidRPr="00C64BA4" w:rsidRDefault="00E7437F" w:rsidP="00206C45">
            <w:pPr>
              <w:spacing w:line="300" w:lineRule="auto"/>
              <w:jc w:val="center"/>
              <w:rPr>
                <w:rFonts w:eastAsia="Tw Cen MT" w:cs="Tw Cen MT"/>
                <w:color w:val="000000" w:themeColor="text1"/>
                <w:sz w:val="22"/>
                <w:szCs w:val="22"/>
              </w:rPr>
            </w:pPr>
            <w:proofErr w:type="spellStart"/>
            <w:r w:rsidRPr="00C64BA4">
              <w:rPr>
                <w:rFonts w:eastAsia="Tw Cen MT" w:cs="Tw Cen MT"/>
                <w:color w:val="000000" w:themeColor="text1"/>
                <w:sz w:val="22"/>
                <w:szCs w:val="22"/>
              </w:rPr>
              <w:t>Francestown</w:t>
            </w:r>
            <w:proofErr w:type="spellEnd"/>
          </w:p>
        </w:tc>
        <w:tc>
          <w:tcPr>
            <w:tcW w:w="1294" w:type="dxa"/>
            <w:tcBorders>
              <w:top w:val="single" w:sz="4" w:space="0" w:color="auto"/>
              <w:left w:val="nil"/>
              <w:bottom w:val="single" w:sz="4" w:space="0" w:color="auto"/>
              <w:right w:val="nil"/>
            </w:tcBorders>
            <w:vAlign w:val="center"/>
          </w:tcPr>
          <w:p w14:paraId="5B41DCEA"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1,610</w:t>
            </w:r>
          </w:p>
        </w:tc>
        <w:tc>
          <w:tcPr>
            <w:tcW w:w="1337" w:type="dxa"/>
            <w:tcBorders>
              <w:top w:val="single" w:sz="4" w:space="0" w:color="auto"/>
              <w:left w:val="single" w:sz="4" w:space="0" w:color="auto"/>
              <w:bottom w:val="single" w:sz="4" w:space="0" w:color="auto"/>
              <w:right w:val="nil"/>
            </w:tcBorders>
            <w:vAlign w:val="center"/>
          </w:tcPr>
          <w:p w14:paraId="08C4E10A"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1,730</w:t>
            </w:r>
          </w:p>
        </w:tc>
        <w:tc>
          <w:tcPr>
            <w:tcW w:w="1337" w:type="dxa"/>
            <w:gridSpan w:val="2"/>
            <w:tcBorders>
              <w:top w:val="single" w:sz="4" w:space="0" w:color="auto"/>
              <w:left w:val="nil"/>
              <w:bottom w:val="single" w:sz="4" w:space="0" w:color="auto"/>
              <w:right w:val="nil"/>
            </w:tcBorders>
            <w:vAlign w:val="center"/>
          </w:tcPr>
          <w:p w14:paraId="03FA02EB"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1,790</w:t>
            </w:r>
          </w:p>
        </w:tc>
        <w:tc>
          <w:tcPr>
            <w:tcW w:w="1337" w:type="dxa"/>
            <w:tcBorders>
              <w:top w:val="single" w:sz="4" w:space="0" w:color="auto"/>
              <w:left w:val="nil"/>
              <w:bottom w:val="single" w:sz="4" w:space="0" w:color="auto"/>
              <w:right w:val="nil"/>
            </w:tcBorders>
            <w:vAlign w:val="center"/>
          </w:tcPr>
          <w:p w14:paraId="294EB362"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1,790</w:t>
            </w:r>
          </w:p>
        </w:tc>
        <w:tc>
          <w:tcPr>
            <w:tcW w:w="1337" w:type="dxa"/>
            <w:tcBorders>
              <w:top w:val="single" w:sz="4" w:space="0" w:color="auto"/>
              <w:left w:val="single" w:sz="4" w:space="0" w:color="auto"/>
              <w:bottom w:val="single" w:sz="4" w:space="0" w:color="auto"/>
              <w:right w:val="nil"/>
            </w:tcBorders>
            <w:vAlign w:val="center"/>
          </w:tcPr>
          <w:p w14:paraId="4B44916A"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180</w:t>
            </w:r>
          </w:p>
        </w:tc>
        <w:tc>
          <w:tcPr>
            <w:tcW w:w="1337" w:type="dxa"/>
            <w:tcBorders>
              <w:top w:val="single" w:sz="4" w:space="0" w:color="auto"/>
              <w:left w:val="nil"/>
              <w:bottom w:val="single" w:sz="4" w:space="0" w:color="auto"/>
              <w:right w:val="nil"/>
            </w:tcBorders>
            <w:vAlign w:val="center"/>
          </w:tcPr>
          <w:p w14:paraId="208B6F0B"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11.5%</w:t>
            </w:r>
          </w:p>
        </w:tc>
      </w:tr>
      <w:tr w:rsidR="00E7437F" w:rsidRPr="00C64BA4" w14:paraId="5F29F1AB" w14:textId="77777777" w:rsidTr="00D65D0C">
        <w:trPr>
          <w:trHeight w:val="300"/>
        </w:trPr>
        <w:tc>
          <w:tcPr>
            <w:tcW w:w="1380" w:type="dxa"/>
            <w:tcBorders>
              <w:top w:val="single" w:sz="4" w:space="0" w:color="auto"/>
              <w:left w:val="nil"/>
              <w:bottom w:val="single" w:sz="4" w:space="0" w:color="auto"/>
              <w:right w:val="nil"/>
            </w:tcBorders>
            <w:shd w:val="clear" w:color="auto" w:fill="E7E6E6"/>
            <w:vAlign w:val="center"/>
          </w:tcPr>
          <w:p w14:paraId="635F6871"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Goffstown</w:t>
            </w:r>
          </w:p>
        </w:tc>
        <w:tc>
          <w:tcPr>
            <w:tcW w:w="1294" w:type="dxa"/>
            <w:tcBorders>
              <w:top w:val="single" w:sz="4" w:space="0" w:color="auto"/>
              <w:left w:val="nil"/>
              <w:bottom w:val="single" w:sz="4" w:space="0" w:color="auto"/>
              <w:right w:val="nil"/>
            </w:tcBorders>
            <w:shd w:val="clear" w:color="auto" w:fill="E7E6E6"/>
            <w:vAlign w:val="center"/>
          </w:tcPr>
          <w:p w14:paraId="5E36A1BF"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18,580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70E80F66"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20,060</w:t>
            </w:r>
          </w:p>
        </w:tc>
        <w:tc>
          <w:tcPr>
            <w:tcW w:w="1337" w:type="dxa"/>
            <w:gridSpan w:val="2"/>
            <w:tcBorders>
              <w:top w:val="single" w:sz="4" w:space="0" w:color="auto"/>
              <w:left w:val="nil"/>
              <w:bottom w:val="single" w:sz="4" w:space="0" w:color="auto"/>
              <w:right w:val="nil"/>
            </w:tcBorders>
            <w:shd w:val="clear" w:color="auto" w:fill="E7E6E6"/>
            <w:vAlign w:val="center"/>
          </w:tcPr>
          <w:p w14:paraId="11A3B54B"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20,760</w:t>
            </w:r>
          </w:p>
        </w:tc>
        <w:tc>
          <w:tcPr>
            <w:tcW w:w="1337" w:type="dxa"/>
            <w:tcBorders>
              <w:top w:val="single" w:sz="4" w:space="0" w:color="auto"/>
              <w:left w:val="nil"/>
              <w:bottom w:val="single" w:sz="4" w:space="0" w:color="auto"/>
              <w:right w:val="nil"/>
            </w:tcBorders>
            <w:shd w:val="clear" w:color="auto" w:fill="E7E6E6"/>
            <w:vAlign w:val="center"/>
          </w:tcPr>
          <w:p w14:paraId="506EADD3"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20,820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410F5E9B"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2,240</w:t>
            </w:r>
          </w:p>
        </w:tc>
        <w:tc>
          <w:tcPr>
            <w:tcW w:w="1337" w:type="dxa"/>
            <w:tcBorders>
              <w:top w:val="single" w:sz="4" w:space="0" w:color="auto"/>
              <w:left w:val="nil"/>
              <w:bottom w:val="single" w:sz="4" w:space="0" w:color="auto"/>
              <w:right w:val="nil"/>
            </w:tcBorders>
            <w:shd w:val="clear" w:color="auto" w:fill="E7E6E6"/>
            <w:vAlign w:val="center"/>
          </w:tcPr>
          <w:p w14:paraId="05AD29D1"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12.1%</w:t>
            </w:r>
          </w:p>
        </w:tc>
      </w:tr>
      <w:tr w:rsidR="00E7437F" w:rsidRPr="00C64BA4" w14:paraId="57302997" w14:textId="77777777" w:rsidTr="00D65D0C">
        <w:trPr>
          <w:trHeight w:val="300"/>
        </w:trPr>
        <w:tc>
          <w:tcPr>
            <w:tcW w:w="1380" w:type="dxa"/>
            <w:tcBorders>
              <w:top w:val="single" w:sz="4" w:space="0" w:color="auto"/>
              <w:left w:val="nil"/>
              <w:bottom w:val="single" w:sz="4" w:space="0" w:color="auto"/>
              <w:right w:val="nil"/>
            </w:tcBorders>
            <w:vAlign w:val="center"/>
          </w:tcPr>
          <w:p w14:paraId="6729168B"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Hooksett</w:t>
            </w:r>
          </w:p>
        </w:tc>
        <w:tc>
          <w:tcPr>
            <w:tcW w:w="1294" w:type="dxa"/>
            <w:tcBorders>
              <w:top w:val="single" w:sz="4" w:space="0" w:color="auto"/>
              <w:left w:val="nil"/>
              <w:bottom w:val="single" w:sz="4" w:space="0" w:color="auto"/>
              <w:right w:val="nil"/>
            </w:tcBorders>
            <w:vAlign w:val="center"/>
          </w:tcPr>
          <w:p w14:paraId="2E52C224"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14,870</w:t>
            </w:r>
          </w:p>
        </w:tc>
        <w:tc>
          <w:tcPr>
            <w:tcW w:w="1337" w:type="dxa"/>
            <w:tcBorders>
              <w:top w:val="single" w:sz="4" w:space="0" w:color="auto"/>
              <w:left w:val="single" w:sz="4" w:space="0" w:color="auto"/>
              <w:bottom w:val="single" w:sz="4" w:space="0" w:color="auto"/>
              <w:right w:val="nil"/>
            </w:tcBorders>
            <w:vAlign w:val="center"/>
          </w:tcPr>
          <w:p w14:paraId="37EEAB48"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15,900</w:t>
            </w:r>
          </w:p>
        </w:tc>
        <w:tc>
          <w:tcPr>
            <w:tcW w:w="1337" w:type="dxa"/>
            <w:gridSpan w:val="2"/>
            <w:tcBorders>
              <w:top w:val="single" w:sz="4" w:space="0" w:color="auto"/>
              <w:left w:val="nil"/>
              <w:bottom w:val="single" w:sz="4" w:space="0" w:color="auto"/>
              <w:right w:val="nil"/>
            </w:tcBorders>
            <w:vAlign w:val="center"/>
          </w:tcPr>
          <w:p w14:paraId="5A2DB894"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16,350</w:t>
            </w:r>
          </w:p>
        </w:tc>
        <w:tc>
          <w:tcPr>
            <w:tcW w:w="1337" w:type="dxa"/>
            <w:tcBorders>
              <w:top w:val="single" w:sz="4" w:space="0" w:color="auto"/>
              <w:left w:val="nil"/>
              <w:bottom w:val="single" w:sz="4" w:space="0" w:color="auto"/>
              <w:right w:val="nil"/>
            </w:tcBorders>
            <w:vAlign w:val="center"/>
          </w:tcPr>
          <w:p w14:paraId="270EF449"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16,340</w:t>
            </w:r>
          </w:p>
        </w:tc>
        <w:tc>
          <w:tcPr>
            <w:tcW w:w="1337" w:type="dxa"/>
            <w:tcBorders>
              <w:top w:val="single" w:sz="4" w:space="0" w:color="auto"/>
              <w:left w:val="single" w:sz="4" w:space="0" w:color="auto"/>
              <w:bottom w:val="single" w:sz="4" w:space="0" w:color="auto"/>
              <w:right w:val="nil"/>
            </w:tcBorders>
            <w:vAlign w:val="center"/>
          </w:tcPr>
          <w:p w14:paraId="03BE6B4A"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1,470</w:t>
            </w:r>
          </w:p>
        </w:tc>
        <w:tc>
          <w:tcPr>
            <w:tcW w:w="1337" w:type="dxa"/>
            <w:tcBorders>
              <w:top w:val="single" w:sz="4" w:space="0" w:color="auto"/>
              <w:left w:val="nil"/>
              <w:bottom w:val="single" w:sz="4" w:space="0" w:color="auto"/>
              <w:right w:val="nil"/>
            </w:tcBorders>
            <w:vAlign w:val="center"/>
          </w:tcPr>
          <w:p w14:paraId="3B26B666"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9.9%</w:t>
            </w:r>
          </w:p>
        </w:tc>
      </w:tr>
      <w:tr w:rsidR="00E7437F" w:rsidRPr="00C64BA4" w14:paraId="434BC78A" w14:textId="77777777" w:rsidTr="00D65D0C">
        <w:trPr>
          <w:trHeight w:val="300"/>
        </w:trPr>
        <w:tc>
          <w:tcPr>
            <w:tcW w:w="1380" w:type="dxa"/>
            <w:tcBorders>
              <w:top w:val="single" w:sz="4" w:space="0" w:color="auto"/>
              <w:left w:val="nil"/>
              <w:bottom w:val="single" w:sz="4" w:space="0" w:color="auto"/>
              <w:right w:val="nil"/>
            </w:tcBorders>
            <w:shd w:val="clear" w:color="auto" w:fill="E7E6E6"/>
            <w:vAlign w:val="center"/>
          </w:tcPr>
          <w:p w14:paraId="6DB86B15"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Londonderry</w:t>
            </w:r>
          </w:p>
        </w:tc>
        <w:tc>
          <w:tcPr>
            <w:tcW w:w="1294" w:type="dxa"/>
            <w:tcBorders>
              <w:top w:val="single" w:sz="4" w:space="0" w:color="auto"/>
              <w:left w:val="nil"/>
              <w:bottom w:val="single" w:sz="4" w:space="0" w:color="auto"/>
              <w:right w:val="nil"/>
            </w:tcBorders>
            <w:shd w:val="clear" w:color="auto" w:fill="E7E6E6"/>
            <w:vAlign w:val="center"/>
          </w:tcPr>
          <w:p w14:paraId="56F0EDAD"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25,830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73DAF929"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27,940</w:t>
            </w:r>
          </w:p>
        </w:tc>
        <w:tc>
          <w:tcPr>
            <w:tcW w:w="1337" w:type="dxa"/>
            <w:gridSpan w:val="2"/>
            <w:tcBorders>
              <w:top w:val="single" w:sz="4" w:space="0" w:color="auto"/>
              <w:left w:val="nil"/>
              <w:bottom w:val="single" w:sz="4" w:space="0" w:color="auto"/>
              <w:right w:val="nil"/>
            </w:tcBorders>
            <w:shd w:val="clear" w:color="auto" w:fill="E7E6E6"/>
            <w:vAlign w:val="center"/>
          </w:tcPr>
          <w:p w14:paraId="329588A4"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28,890</w:t>
            </w:r>
          </w:p>
        </w:tc>
        <w:tc>
          <w:tcPr>
            <w:tcW w:w="1337" w:type="dxa"/>
            <w:tcBorders>
              <w:top w:val="single" w:sz="4" w:space="0" w:color="auto"/>
              <w:left w:val="nil"/>
              <w:bottom w:val="single" w:sz="4" w:space="0" w:color="auto"/>
              <w:right w:val="nil"/>
            </w:tcBorders>
            <w:shd w:val="clear" w:color="auto" w:fill="E7E6E6"/>
            <w:vAlign w:val="center"/>
          </w:tcPr>
          <w:p w14:paraId="2DA7C10A"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28,680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17A55EB9"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2,850</w:t>
            </w:r>
          </w:p>
        </w:tc>
        <w:tc>
          <w:tcPr>
            <w:tcW w:w="1337" w:type="dxa"/>
            <w:tcBorders>
              <w:top w:val="single" w:sz="4" w:space="0" w:color="auto"/>
              <w:left w:val="nil"/>
              <w:bottom w:val="single" w:sz="4" w:space="0" w:color="auto"/>
              <w:right w:val="nil"/>
            </w:tcBorders>
            <w:shd w:val="clear" w:color="auto" w:fill="E7E6E6"/>
            <w:vAlign w:val="center"/>
          </w:tcPr>
          <w:p w14:paraId="3E2F9AA0"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11.1%</w:t>
            </w:r>
          </w:p>
        </w:tc>
      </w:tr>
      <w:tr w:rsidR="00E7437F" w:rsidRPr="00C64BA4" w14:paraId="597EF068" w14:textId="77777777" w:rsidTr="00D65D0C">
        <w:trPr>
          <w:trHeight w:val="300"/>
        </w:trPr>
        <w:tc>
          <w:tcPr>
            <w:tcW w:w="1380" w:type="dxa"/>
            <w:tcBorders>
              <w:top w:val="single" w:sz="4" w:space="0" w:color="auto"/>
              <w:left w:val="nil"/>
              <w:bottom w:val="single" w:sz="4" w:space="0" w:color="auto"/>
              <w:right w:val="nil"/>
            </w:tcBorders>
            <w:vAlign w:val="center"/>
          </w:tcPr>
          <w:p w14:paraId="4D32C3B0"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Manchester</w:t>
            </w:r>
          </w:p>
        </w:tc>
        <w:tc>
          <w:tcPr>
            <w:tcW w:w="1294" w:type="dxa"/>
            <w:tcBorders>
              <w:top w:val="single" w:sz="4" w:space="0" w:color="auto"/>
              <w:left w:val="nil"/>
              <w:bottom w:val="single" w:sz="4" w:space="0" w:color="auto"/>
              <w:right w:val="nil"/>
            </w:tcBorders>
            <w:vAlign w:val="center"/>
          </w:tcPr>
          <w:p w14:paraId="2F8A0683"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115,640</w:t>
            </w:r>
          </w:p>
        </w:tc>
        <w:tc>
          <w:tcPr>
            <w:tcW w:w="1337" w:type="dxa"/>
            <w:tcBorders>
              <w:top w:val="single" w:sz="4" w:space="0" w:color="auto"/>
              <w:left w:val="single" w:sz="4" w:space="0" w:color="auto"/>
              <w:bottom w:val="single" w:sz="4" w:space="0" w:color="auto"/>
              <w:right w:val="nil"/>
            </w:tcBorders>
            <w:vAlign w:val="center"/>
          </w:tcPr>
          <w:p w14:paraId="5D28A5AE"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124,700</w:t>
            </w:r>
          </w:p>
        </w:tc>
        <w:tc>
          <w:tcPr>
            <w:tcW w:w="1337" w:type="dxa"/>
            <w:gridSpan w:val="2"/>
            <w:tcBorders>
              <w:top w:val="single" w:sz="4" w:space="0" w:color="auto"/>
              <w:left w:val="nil"/>
              <w:bottom w:val="single" w:sz="4" w:space="0" w:color="auto"/>
              <w:right w:val="nil"/>
            </w:tcBorders>
            <w:vAlign w:val="center"/>
          </w:tcPr>
          <w:p w14:paraId="7B68F919"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129,040</w:t>
            </w:r>
          </w:p>
        </w:tc>
        <w:tc>
          <w:tcPr>
            <w:tcW w:w="1337" w:type="dxa"/>
            <w:tcBorders>
              <w:top w:val="single" w:sz="4" w:space="0" w:color="auto"/>
              <w:left w:val="nil"/>
              <w:bottom w:val="single" w:sz="4" w:space="0" w:color="auto"/>
              <w:right w:val="nil"/>
            </w:tcBorders>
            <w:vAlign w:val="center"/>
          </w:tcPr>
          <w:p w14:paraId="05291BB6"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129,370</w:t>
            </w:r>
          </w:p>
        </w:tc>
        <w:tc>
          <w:tcPr>
            <w:tcW w:w="1337" w:type="dxa"/>
            <w:tcBorders>
              <w:top w:val="single" w:sz="4" w:space="0" w:color="auto"/>
              <w:left w:val="single" w:sz="4" w:space="0" w:color="auto"/>
              <w:bottom w:val="single" w:sz="4" w:space="0" w:color="auto"/>
              <w:right w:val="nil"/>
            </w:tcBorders>
            <w:vAlign w:val="center"/>
          </w:tcPr>
          <w:p w14:paraId="1518D0B0"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13,730</w:t>
            </w:r>
          </w:p>
        </w:tc>
        <w:tc>
          <w:tcPr>
            <w:tcW w:w="1337" w:type="dxa"/>
            <w:tcBorders>
              <w:top w:val="single" w:sz="4" w:space="0" w:color="auto"/>
              <w:left w:val="nil"/>
              <w:bottom w:val="single" w:sz="4" w:space="0" w:color="auto"/>
              <w:right w:val="nil"/>
            </w:tcBorders>
            <w:vAlign w:val="center"/>
          </w:tcPr>
          <w:p w14:paraId="740AB2EC"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11.9%</w:t>
            </w:r>
          </w:p>
        </w:tc>
      </w:tr>
      <w:tr w:rsidR="00E7437F" w:rsidRPr="00C64BA4" w14:paraId="40679105" w14:textId="77777777" w:rsidTr="00D65D0C">
        <w:trPr>
          <w:trHeight w:val="300"/>
        </w:trPr>
        <w:tc>
          <w:tcPr>
            <w:tcW w:w="1380" w:type="dxa"/>
            <w:tcBorders>
              <w:top w:val="single" w:sz="4" w:space="0" w:color="auto"/>
              <w:left w:val="nil"/>
              <w:bottom w:val="single" w:sz="4" w:space="0" w:color="auto"/>
              <w:right w:val="nil"/>
            </w:tcBorders>
            <w:shd w:val="clear" w:color="auto" w:fill="E7E6E6"/>
            <w:vAlign w:val="center"/>
          </w:tcPr>
          <w:p w14:paraId="75D9BC8A"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New Boston</w:t>
            </w:r>
          </w:p>
        </w:tc>
        <w:tc>
          <w:tcPr>
            <w:tcW w:w="1294" w:type="dxa"/>
            <w:tcBorders>
              <w:top w:val="single" w:sz="4" w:space="0" w:color="auto"/>
              <w:left w:val="nil"/>
              <w:bottom w:val="single" w:sz="4" w:space="0" w:color="auto"/>
              <w:right w:val="nil"/>
            </w:tcBorders>
            <w:shd w:val="clear" w:color="auto" w:fill="E7E6E6"/>
            <w:vAlign w:val="center"/>
          </w:tcPr>
          <w:p w14:paraId="3D22F684"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6,110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0157ED84"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6,540</w:t>
            </w:r>
          </w:p>
        </w:tc>
        <w:tc>
          <w:tcPr>
            <w:tcW w:w="1337" w:type="dxa"/>
            <w:gridSpan w:val="2"/>
            <w:tcBorders>
              <w:top w:val="single" w:sz="4" w:space="0" w:color="auto"/>
              <w:left w:val="nil"/>
              <w:bottom w:val="single" w:sz="4" w:space="0" w:color="auto"/>
              <w:right w:val="nil"/>
            </w:tcBorders>
            <w:shd w:val="clear" w:color="auto" w:fill="E7E6E6"/>
            <w:vAlign w:val="center"/>
          </w:tcPr>
          <w:p w14:paraId="253F7FFA"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6,740</w:t>
            </w:r>
          </w:p>
        </w:tc>
        <w:tc>
          <w:tcPr>
            <w:tcW w:w="1337" w:type="dxa"/>
            <w:tcBorders>
              <w:top w:val="single" w:sz="4" w:space="0" w:color="auto"/>
              <w:left w:val="nil"/>
              <w:bottom w:val="single" w:sz="4" w:space="0" w:color="auto"/>
              <w:right w:val="nil"/>
            </w:tcBorders>
            <w:shd w:val="clear" w:color="auto" w:fill="E7E6E6"/>
            <w:vAlign w:val="center"/>
          </w:tcPr>
          <w:p w14:paraId="101D54F1"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6,760</w:t>
            </w:r>
          </w:p>
        </w:tc>
        <w:tc>
          <w:tcPr>
            <w:tcW w:w="1337" w:type="dxa"/>
            <w:tcBorders>
              <w:top w:val="single" w:sz="4" w:space="0" w:color="auto"/>
              <w:left w:val="single" w:sz="4" w:space="0" w:color="auto"/>
              <w:bottom w:val="single" w:sz="4" w:space="0" w:color="auto"/>
              <w:right w:val="nil"/>
            </w:tcBorders>
            <w:shd w:val="clear" w:color="auto" w:fill="E7E6E6"/>
            <w:vAlign w:val="center"/>
          </w:tcPr>
          <w:p w14:paraId="50506C97"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650</w:t>
            </w:r>
          </w:p>
        </w:tc>
        <w:tc>
          <w:tcPr>
            <w:tcW w:w="1337" w:type="dxa"/>
            <w:tcBorders>
              <w:top w:val="single" w:sz="4" w:space="0" w:color="auto"/>
              <w:left w:val="nil"/>
              <w:bottom w:val="single" w:sz="4" w:space="0" w:color="auto"/>
              <w:right w:val="nil"/>
            </w:tcBorders>
            <w:shd w:val="clear" w:color="auto" w:fill="E7E6E6"/>
            <w:vAlign w:val="center"/>
          </w:tcPr>
          <w:p w14:paraId="3862C68B"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10.7%</w:t>
            </w:r>
          </w:p>
        </w:tc>
      </w:tr>
      <w:tr w:rsidR="00E7437F" w:rsidRPr="00C64BA4" w14:paraId="403CDAC8" w14:textId="77777777" w:rsidTr="00D65D0C">
        <w:trPr>
          <w:trHeight w:val="300"/>
        </w:trPr>
        <w:tc>
          <w:tcPr>
            <w:tcW w:w="1380" w:type="dxa"/>
            <w:tcBorders>
              <w:top w:val="single" w:sz="4" w:space="0" w:color="auto"/>
              <w:left w:val="nil"/>
              <w:bottom w:val="single" w:sz="4" w:space="0" w:color="auto"/>
              <w:right w:val="nil"/>
            </w:tcBorders>
            <w:vAlign w:val="center"/>
          </w:tcPr>
          <w:p w14:paraId="60335471" w14:textId="77777777" w:rsidR="00E7437F" w:rsidRPr="00C64BA4" w:rsidRDefault="00E7437F" w:rsidP="00206C45">
            <w:pPr>
              <w:spacing w:line="300" w:lineRule="auto"/>
              <w:jc w:val="center"/>
              <w:rPr>
                <w:sz w:val="22"/>
                <w:szCs w:val="22"/>
              </w:rPr>
            </w:pPr>
            <w:proofErr w:type="spellStart"/>
            <w:r w:rsidRPr="00C64BA4">
              <w:rPr>
                <w:rFonts w:eastAsia="Tw Cen MT" w:cs="Tw Cen MT"/>
                <w:color w:val="000000" w:themeColor="text1"/>
                <w:sz w:val="22"/>
                <w:szCs w:val="22"/>
              </w:rPr>
              <w:t>Weare</w:t>
            </w:r>
            <w:proofErr w:type="spellEnd"/>
          </w:p>
        </w:tc>
        <w:tc>
          <w:tcPr>
            <w:tcW w:w="1294" w:type="dxa"/>
            <w:tcBorders>
              <w:top w:val="single" w:sz="4" w:space="0" w:color="auto"/>
              <w:left w:val="nil"/>
              <w:bottom w:val="single" w:sz="4" w:space="0" w:color="auto"/>
              <w:right w:val="nil"/>
            </w:tcBorders>
            <w:vAlign w:val="center"/>
          </w:tcPr>
          <w:p w14:paraId="2C3B54E9"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9,090</w:t>
            </w:r>
          </w:p>
        </w:tc>
        <w:tc>
          <w:tcPr>
            <w:tcW w:w="1337" w:type="dxa"/>
            <w:tcBorders>
              <w:top w:val="single" w:sz="4" w:space="0" w:color="auto"/>
              <w:left w:val="single" w:sz="4" w:space="0" w:color="auto"/>
              <w:bottom w:val="single" w:sz="4" w:space="0" w:color="auto"/>
              <w:right w:val="nil"/>
            </w:tcBorders>
            <w:vAlign w:val="center"/>
          </w:tcPr>
          <w:p w14:paraId="7B352AA9"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9,750</w:t>
            </w:r>
          </w:p>
        </w:tc>
        <w:tc>
          <w:tcPr>
            <w:tcW w:w="1337" w:type="dxa"/>
            <w:gridSpan w:val="2"/>
            <w:tcBorders>
              <w:top w:val="single" w:sz="4" w:space="0" w:color="auto"/>
              <w:left w:val="nil"/>
              <w:bottom w:val="single" w:sz="4" w:space="0" w:color="auto"/>
              <w:right w:val="nil"/>
            </w:tcBorders>
            <w:vAlign w:val="center"/>
          </w:tcPr>
          <w:p w14:paraId="41B28231"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10,060</w:t>
            </w:r>
          </w:p>
        </w:tc>
        <w:tc>
          <w:tcPr>
            <w:tcW w:w="1337" w:type="dxa"/>
            <w:tcBorders>
              <w:top w:val="single" w:sz="4" w:space="0" w:color="auto"/>
              <w:left w:val="nil"/>
              <w:bottom w:val="single" w:sz="4" w:space="0" w:color="auto"/>
              <w:right w:val="nil"/>
            </w:tcBorders>
            <w:vAlign w:val="center"/>
          </w:tcPr>
          <w:p w14:paraId="783961BF"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10,080</w:t>
            </w:r>
          </w:p>
        </w:tc>
        <w:tc>
          <w:tcPr>
            <w:tcW w:w="1337" w:type="dxa"/>
            <w:tcBorders>
              <w:top w:val="single" w:sz="4" w:space="0" w:color="auto"/>
              <w:left w:val="single" w:sz="4" w:space="0" w:color="auto"/>
              <w:bottom w:val="single" w:sz="4" w:space="0" w:color="auto"/>
              <w:right w:val="nil"/>
            </w:tcBorders>
            <w:vAlign w:val="center"/>
          </w:tcPr>
          <w:p w14:paraId="4C67D552"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990</w:t>
            </w:r>
          </w:p>
        </w:tc>
        <w:tc>
          <w:tcPr>
            <w:tcW w:w="1337" w:type="dxa"/>
            <w:tcBorders>
              <w:top w:val="single" w:sz="4" w:space="0" w:color="auto"/>
              <w:left w:val="nil"/>
              <w:bottom w:val="single" w:sz="4" w:space="0" w:color="auto"/>
              <w:right w:val="nil"/>
            </w:tcBorders>
            <w:vAlign w:val="center"/>
          </w:tcPr>
          <w:p w14:paraId="466F8B39"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10.9%</w:t>
            </w:r>
          </w:p>
        </w:tc>
      </w:tr>
      <w:tr w:rsidR="00E7437F" w:rsidRPr="00C64BA4" w14:paraId="218AF934" w14:textId="77777777" w:rsidTr="00D65D0C">
        <w:trPr>
          <w:trHeight w:val="315"/>
        </w:trPr>
        <w:tc>
          <w:tcPr>
            <w:tcW w:w="1380" w:type="dxa"/>
            <w:tcBorders>
              <w:top w:val="single" w:sz="4" w:space="0" w:color="auto"/>
              <w:left w:val="nil"/>
              <w:bottom w:val="single" w:sz="12" w:space="0" w:color="404040" w:themeColor="text1" w:themeTint="BF"/>
              <w:right w:val="nil"/>
            </w:tcBorders>
            <w:shd w:val="clear" w:color="auto" w:fill="E7E6E6"/>
            <w:vAlign w:val="center"/>
          </w:tcPr>
          <w:p w14:paraId="79A1F2A9"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Windham</w:t>
            </w:r>
          </w:p>
        </w:tc>
        <w:tc>
          <w:tcPr>
            <w:tcW w:w="1294" w:type="dxa"/>
            <w:tcBorders>
              <w:top w:val="single" w:sz="4" w:space="0" w:color="auto"/>
              <w:left w:val="nil"/>
              <w:bottom w:val="single" w:sz="12" w:space="0" w:color="404040" w:themeColor="text1" w:themeTint="BF"/>
              <w:right w:val="nil"/>
            </w:tcBorders>
            <w:shd w:val="clear" w:color="auto" w:fill="E7E6E6"/>
            <w:vAlign w:val="center"/>
          </w:tcPr>
          <w:p w14:paraId="54E72C96"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15,820</w:t>
            </w:r>
          </w:p>
        </w:tc>
        <w:tc>
          <w:tcPr>
            <w:tcW w:w="1337" w:type="dxa"/>
            <w:tcBorders>
              <w:top w:val="single" w:sz="4" w:space="0" w:color="auto"/>
              <w:left w:val="single" w:sz="4" w:space="0" w:color="auto"/>
              <w:bottom w:val="single" w:sz="12" w:space="0" w:color="404040" w:themeColor="text1" w:themeTint="BF"/>
              <w:right w:val="nil"/>
            </w:tcBorders>
            <w:shd w:val="clear" w:color="auto" w:fill="E7E6E6"/>
            <w:vAlign w:val="center"/>
          </w:tcPr>
          <w:p w14:paraId="43A6659C"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16,950</w:t>
            </w:r>
          </w:p>
        </w:tc>
        <w:tc>
          <w:tcPr>
            <w:tcW w:w="1337" w:type="dxa"/>
            <w:gridSpan w:val="2"/>
            <w:tcBorders>
              <w:top w:val="single" w:sz="4" w:space="0" w:color="auto"/>
              <w:left w:val="nil"/>
              <w:bottom w:val="single" w:sz="12" w:space="0" w:color="404040" w:themeColor="text1" w:themeTint="BF"/>
              <w:right w:val="nil"/>
            </w:tcBorders>
            <w:shd w:val="clear" w:color="auto" w:fill="E7E6E6"/>
            <w:vAlign w:val="center"/>
          </w:tcPr>
          <w:p w14:paraId="6194F9D2"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17,470</w:t>
            </w:r>
          </w:p>
        </w:tc>
        <w:tc>
          <w:tcPr>
            <w:tcW w:w="1337" w:type="dxa"/>
            <w:tcBorders>
              <w:top w:val="single" w:sz="4" w:space="0" w:color="auto"/>
              <w:left w:val="nil"/>
              <w:bottom w:val="single" w:sz="12" w:space="0" w:color="404040" w:themeColor="text1" w:themeTint="BF"/>
              <w:right w:val="nil"/>
            </w:tcBorders>
            <w:shd w:val="clear" w:color="auto" w:fill="E7E6E6"/>
            <w:vAlign w:val="center"/>
          </w:tcPr>
          <w:p w14:paraId="2B40D990"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17,350</w:t>
            </w:r>
          </w:p>
        </w:tc>
        <w:tc>
          <w:tcPr>
            <w:tcW w:w="1337" w:type="dxa"/>
            <w:tcBorders>
              <w:top w:val="single" w:sz="4" w:space="0" w:color="auto"/>
              <w:left w:val="single" w:sz="4" w:space="0" w:color="auto"/>
              <w:bottom w:val="single" w:sz="12" w:space="0" w:color="404040" w:themeColor="text1" w:themeTint="BF"/>
              <w:right w:val="nil"/>
            </w:tcBorders>
            <w:shd w:val="clear" w:color="auto" w:fill="E7E6E6"/>
            <w:vAlign w:val="center"/>
          </w:tcPr>
          <w:p w14:paraId="71E72ED8"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1,540</w:t>
            </w:r>
          </w:p>
        </w:tc>
        <w:tc>
          <w:tcPr>
            <w:tcW w:w="1337" w:type="dxa"/>
            <w:tcBorders>
              <w:top w:val="single" w:sz="4" w:space="0" w:color="auto"/>
              <w:left w:val="nil"/>
              <w:bottom w:val="single" w:sz="12" w:space="0" w:color="404040" w:themeColor="text1" w:themeTint="BF"/>
              <w:right w:val="nil"/>
            </w:tcBorders>
            <w:shd w:val="clear" w:color="auto" w:fill="E7E6E6"/>
            <w:vAlign w:val="center"/>
          </w:tcPr>
          <w:p w14:paraId="4CFD03E3"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9.7%</w:t>
            </w:r>
          </w:p>
        </w:tc>
      </w:tr>
      <w:tr w:rsidR="00E7437F" w:rsidRPr="00C64BA4" w14:paraId="3ACBCAF3" w14:textId="77777777" w:rsidTr="00D65D0C">
        <w:trPr>
          <w:trHeight w:val="300"/>
        </w:trPr>
        <w:tc>
          <w:tcPr>
            <w:tcW w:w="1380" w:type="dxa"/>
            <w:tcBorders>
              <w:top w:val="single" w:sz="12" w:space="0" w:color="404040" w:themeColor="text1" w:themeTint="BF"/>
              <w:left w:val="nil"/>
              <w:bottom w:val="nil"/>
              <w:right w:val="nil"/>
            </w:tcBorders>
            <w:vAlign w:val="center"/>
          </w:tcPr>
          <w:p w14:paraId="6B86FC48"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SNHPC</w:t>
            </w:r>
          </w:p>
        </w:tc>
        <w:tc>
          <w:tcPr>
            <w:tcW w:w="1294" w:type="dxa"/>
            <w:tcBorders>
              <w:top w:val="single" w:sz="12" w:space="0" w:color="404040" w:themeColor="text1" w:themeTint="BF"/>
              <w:left w:val="nil"/>
              <w:bottom w:val="nil"/>
              <w:right w:val="nil"/>
            </w:tcBorders>
            <w:vAlign w:val="center"/>
          </w:tcPr>
          <w:p w14:paraId="34893F6E"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285,230</w:t>
            </w:r>
          </w:p>
        </w:tc>
        <w:tc>
          <w:tcPr>
            <w:tcW w:w="1337" w:type="dxa"/>
            <w:tcBorders>
              <w:top w:val="single" w:sz="12" w:space="0" w:color="404040" w:themeColor="text1" w:themeTint="BF"/>
              <w:left w:val="single" w:sz="4" w:space="0" w:color="auto"/>
              <w:bottom w:val="nil"/>
              <w:right w:val="nil"/>
            </w:tcBorders>
            <w:vAlign w:val="center"/>
          </w:tcPr>
          <w:p w14:paraId="105340BF"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307,540</w:t>
            </w:r>
          </w:p>
        </w:tc>
        <w:tc>
          <w:tcPr>
            <w:tcW w:w="1337" w:type="dxa"/>
            <w:gridSpan w:val="2"/>
            <w:tcBorders>
              <w:top w:val="single" w:sz="12" w:space="0" w:color="404040" w:themeColor="text1" w:themeTint="BF"/>
              <w:left w:val="nil"/>
              <w:bottom w:val="nil"/>
              <w:right w:val="nil"/>
            </w:tcBorders>
            <w:vAlign w:val="center"/>
          </w:tcPr>
          <w:p w14:paraId="64E7946F"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317,980</w:t>
            </w:r>
          </w:p>
        </w:tc>
        <w:tc>
          <w:tcPr>
            <w:tcW w:w="1337" w:type="dxa"/>
            <w:tcBorders>
              <w:top w:val="single" w:sz="12" w:space="0" w:color="404040" w:themeColor="text1" w:themeTint="BF"/>
              <w:left w:val="nil"/>
              <w:bottom w:val="nil"/>
              <w:right w:val="nil"/>
            </w:tcBorders>
            <w:vAlign w:val="center"/>
          </w:tcPr>
          <w:p w14:paraId="2336573E"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317,690</w:t>
            </w:r>
          </w:p>
        </w:tc>
        <w:tc>
          <w:tcPr>
            <w:tcW w:w="1337" w:type="dxa"/>
            <w:tcBorders>
              <w:top w:val="single" w:sz="12" w:space="0" w:color="404040" w:themeColor="text1" w:themeTint="BF"/>
              <w:left w:val="single" w:sz="4" w:space="0" w:color="auto"/>
              <w:bottom w:val="nil"/>
              <w:right w:val="nil"/>
            </w:tcBorders>
            <w:vAlign w:val="center"/>
          </w:tcPr>
          <w:p w14:paraId="76BDB518"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32,460</w:t>
            </w:r>
          </w:p>
        </w:tc>
        <w:tc>
          <w:tcPr>
            <w:tcW w:w="1337" w:type="dxa"/>
            <w:tcBorders>
              <w:top w:val="single" w:sz="12" w:space="0" w:color="404040" w:themeColor="text1" w:themeTint="BF"/>
              <w:left w:val="nil"/>
              <w:bottom w:val="nil"/>
              <w:right w:val="nil"/>
            </w:tcBorders>
            <w:vAlign w:val="center"/>
          </w:tcPr>
          <w:p w14:paraId="66D9562C" w14:textId="77777777" w:rsidR="00E7437F" w:rsidRPr="00C64BA4" w:rsidRDefault="00E7437F" w:rsidP="00206C45">
            <w:pPr>
              <w:spacing w:line="300" w:lineRule="auto"/>
              <w:jc w:val="center"/>
              <w:rPr>
                <w:sz w:val="22"/>
                <w:szCs w:val="22"/>
              </w:rPr>
            </w:pPr>
            <w:r w:rsidRPr="00C64BA4">
              <w:rPr>
                <w:rFonts w:eastAsia="Tw Cen MT" w:cs="Tw Cen MT"/>
                <w:color w:val="000000" w:themeColor="text1"/>
                <w:sz w:val="22"/>
                <w:szCs w:val="22"/>
              </w:rPr>
              <w:t>11.4%</w:t>
            </w:r>
          </w:p>
        </w:tc>
      </w:tr>
      <w:tr w:rsidR="00E7437F" w:rsidRPr="00C64BA4" w14:paraId="1D8F1CF7" w14:textId="77777777" w:rsidTr="00D65D0C">
        <w:trPr>
          <w:trHeight w:val="315"/>
        </w:trPr>
        <w:tc>
          <w:tcPr>
            <w:tcW w:w="9359" w:type="dxa"/>
            <w:gridSpan w:val="8"/>
            <w:tcBorders>
              <w:top w:val="nil"/>
              <w:left w:val="nil"/>
              <w:bottom w:val="nil"/>
              <w:right w:val="nil"/>
            </w:tcBorders>
            <w:vAlign w:val="bottom"/>
          </w:tcPr>
          <w:p w14:paraId="37359482" w14:textId="77777777" w:rsidR="00E7437F" w:rsidRPr="00C64BA4" w:rsidRDefault="00E7437F" w:rsidP="00206C45">
            <w:pPr>
              <w:spacing w:line="300" w:lineRule="auto"/>
              <w:jc w:val="right"/>
            </w:pPr>
            <w:r w:rsidRPr="00C64BA4">
              <w:rPr>
                <w:rFonts w:eastAsia="Tw Cen MT" w:cs="Tw Cen MT"/>
                <w:color w:val="000000" w:themeColor="text1"/>
                <w:sz w:val="20"/>
                <w:szCs w:val="20"/>
              </w:rPr>
              <w:t>Source: NH Office of Planning &amp; Development</w:t>
            </w:r>
          </w:p>
        </w:tc>
      </w:tr>
      <w:tr w:rsidR="007C25A7" w:rsidRPr="00C64BA4" w14:paraId="5AD97B3C" w14:textId="77777777" w:rsidTr="00D65D0C">
        <w:trPr>
          <w:trHeight w:val="315"/>
        </w:trPr>
        <w:tc>
          <w:tcPr>
            <w:tcW w:w="9359" w:type="dxa"/>
            <w:gridSpan w:val="8"/>
            <w:tcBorders>
              <w:top w:val="nil"/>
              <w:left w:val="nil"/>
              <w:bottom w:val="nil"/>
              <w:right w:val="nil"/>
            </w:tcBorders>
            <w:vAlign w:val="bottom"/>
          </w:tcPr>
          <w:p w14:paraId="5AD3BE46" w14:textId="31D74F6C" w:rsidR="007C25A7" w:rsidRDefault="007C25A7" w:rsidP="00206C45">
            <w:pPr>
              <w:spacing w:line="300" w:lineRule="auto"/>
              <w:jc w:val="right"/>
              <w:rPr>
                <w:rFonts w:eastAsia="Tw Cen MT" w:cs="Tw Cen MT"/>
                <w:color w:val="000000" w:themeColor="text1"/>
                <w:sz w:val="20"/>
                <w:szCs w:val="20"/>
              </w:rPr>
            </w:pPr>
            <w:r w:rsidRPr="00C64BA4">
              <w:rPr>
                <w:noProof/>
              </w:rPr>
              <w:lastRenderedPageBreak/>
              <w:drawing>
                <wp:anchor distT="0" distB="0" distL="114300" distR="114300" simplePos="0" relativeHeight="251700224" behindDoc="0" locked="0" layoutInCell="1" allowOverlap="1" wp14:anchorId="7671015D" wp14:editId="4E10E7FC">
                  <wp:simplePos x="0" y="0"/>
                  <wp:positionH relativeFrom="column">
                    <wp:posOffset>6647180</wp:posOffset>
                  </wp:positionH>
                  <wp:positionV relativeFrom="paragraph">
                    <wp:posOffset>221615</wp:posOffset>
                  </wp:positionV>
                  <wp:extent cx="3190875" cy="6000750"/>
                  <wp:effectExtent l="0" t="0" r="0" b="0"/>
                  <wp:wrapThrough wrapText="bothSides">
                    <wp:wrapPolygon edited="0">
                      <wp:start x="0" y="0"/>
                      <wp:lineTo x="0" y="21531"/>
                      <wp:lineTo x="21407" y="21531"/>
                      <wp:lineTo x="21407" y="0"/>
                      <wp:lineTo x="0" y="0"/>
                    </wp:wrapPolygon>
                  </wp:wrapThrough>
                  <wp:docPr id="27" name="Chart 27">
                    <a:extLst xmlns:a="http://schemas.openxmlformats.org/drawingml/2006/main">
                      <a:ext uri="{FF2B5EF4-FFF2-40B4-BE49-F238E27FC236}">
                        <a16:creationId xmlns:a16="http://schemas.microsoft.com/office/drawing/2014/main" id="{ED3E73A2-1481-42A6-8212-F220AC1770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p>
          <w:p w14:paraId="4E249BB2" w14:textId="57D5F516" w:rsidR="007C25A7" w:rsidRDefault="007C25A7" w:rsidP="00206C45">
            <w:pPr>
              <w:spacing w:line="300" w:lineRule="auto"/>
              <w:jc w:val="right"/>
              <w:rPr>
                <w:rFonts w:eastAsia="Tw Cen MT" w:cs="Tw Cen MT"/>
                <w:color w:val="000000" w:themeColor="text1"/>
                <w:sz w:val="20"/>
                <w:szCs w:val="20"/>
              </w:rPr>
            </w:pPr>
            <w:r w:rsidRPr="00C64BA4">
              <w:rPr>
                <w:noProof/>
              </w:rPr>
              <w:drawing>
                <wp:anchor distT="0" distB="0" distL="114300" distR="114300" simplePos="0" relativeHeight="251698176" behindDoc="0" locked="0" layoutInCell="1" allowOverlap="1" wp14:anchorId="6FAD7DAA" wp14:editId="56AB66FD">
                  <wp:simplePos x="0" y="0"/>
                  <wp:positionH relativeFrom="column">
                    <wp:posOffset>-2700020</wp:posOffset>
                  </wp:positionH>
                  <wp:positionV relativeFrom="paragraph">
                    <wp:posOffset>133350</wp:posOffset>
                  </wp:positionV>
                  <wp:extent cx="2648585" cy="4505325"/>
                  <wp:effectExtent l="0" t="0" r="0" b="0"/>
                  <wp:wrapSquare wrapText="bothSides"/>
                  <wp:docPr id="937973216" name="Chart 937973216">
                    <a:extLst xmlns:a="http://schemas.openxmlformats.org/drawingml/2006/main">
                      <a:ext uri="{FF2B5EF4-FFF2-40B4-BE49-F238E27FC236}">
                        <a16:creationId xmlns:a16="http://schemas.microsoft.com/office/drawing/2014/main" id="{925FAAC8-60BA-4D36-8453-9E4C2BAF5B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5E0AD655" w14:textId="46282CFA" w:rsidR="007C25A7" w:rsidRPr="007C25A7" w:rsidRDefault="007C25A7" w:rsidP="00206C45">
            <w:pPr>
              <w:spacing w:line="300" w:lineRule="auto"/>
              <w:rPr>
                <w:rFonts w:eastAsia="Tw Cen MT" w:cs="Tw Cen MT"/>
                <w:sz w:val="20"/>
                <w:szCs w:val="20"/>
              </w:rPr>
            </w:pPr>
            <w:r>
              <w:rPr>
                <w:noProof/>
              </w:rPr>
              <mc:AlternateContent>
                <mc:Choice Requires="wps">
                  <w:drawing>
                    <wp:anchor distT="0" distB="0" distL="114300" distR="114300" simplePos="0" relativeHeight="251702272" behindDoc="0" locked="0" layoutInCell="1" allowOverlap="1" wp14:anchorId="6189B168" wp14:editId="6B60B1D9">
                      <wp:simplePos x="0" y="0"/>
                      <wp:positionH relativeFrom="column">
                        <wp:posOffset>-63500</wp:posOffset>
                      </wp:positionH>
                      <wp:positionV relativeFrom="paragraph">
                        <wp:posOffset>48260</wp:posOffset>
                      </wp:positionV>
                      <wp:extent cx="2847975" cy="63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2847975" cy="635"/>
                              </a:xfrm>
                              <a:prstGeom prst="rect">
                                <a:avLst/>
                              </a:prstGeom>
                              <a:solidFill>
                                <a:prstClr val="white"/>
                              </a:solidFill>
                              <a:ln>
                                <a:noFill/>
                              </a:ln>
                            </wps:spPr>
                            <wps:txbx>
                              <w:txbxContent>
                                <w:p w14:paraId="47A83F88" w14:textId="0D23575D" w:rsidR="007C25A7" w:rsidRPr="00F30C26" w:rsidRDefault="007C25A7" w:rsidP="007C25A7">
                                  <w:pPr>
                                    <w:pStyle w:val="Caption"/>
                                    <w:rPr>
                                      <w:noProof/>
                                    </w:rPr>
                                  </w:pPr>
                                  <w:bookmarkStart w:id="176" w:name="_Toc128137876"/>
                                  <w:r>
                                    <w:t xml:space="preserve">Figure </w:t>
                                  </w:r>
                                  <w:r w:rsidR="0062538A">
                                    <w:fldChar w:fldCharType="begin"/>
                                  </w:r>
                                  <w:r w:rsidR="0062538A">
                                    <w:instrText xml:space="preserve"> SEQ Figure \* ARABIC </w:instrText>
                                  </w:r>
                                  <w:r w:rsidR="0062538A">
                                    <w:fldChar w:fldCharType="separate"/>
                                  </w:r>
                                  <w:r w:rsidR="00E75682">
                                    <w:rPr>
                                      <w:noProof/>
                                    </w:rPr>
                                    <w:t>17</w:t>
                                  </w:r>
                                  <w:r w:rsidR="0062538A">
                                    <w:rPr>
                                      <w:noProof/>
                                    </w:rPr>
                                    <w:fldChar w:fldCharType="end"/>
                                  </w:r>
                                  <w:r>
                                    <w:t>: New Hampshire's Population Growth Rate Over Time</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89B168" id="Text Box 8" o:spid="_x0000_s1030" type="#_x0000_t202" style="position:absolute;margin-left:-5pt;margin-top:3.8pt;width:224.25pt;height:.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" stroked="f">
                      <v:textbox style="mso-fit-shape-to-text:t" inset="0,0,0,0">
                        <w:txbxContent>
                          <w:p w14:paraId="47A83F88" w14:textId="0D23575D" w:rsidR="007C25A7" w:rsidRPr="00F30C26" w:rsidRDefault="007C25A7" w:rsidP="007C25A7">
                            <w:pPr>
                              <w:pStyle w:val="Caption"/>
                              <w:rPr>
                                <w:noProof/>
                              </w:rPr>
                            </w:pPr>
                            <w:bookmarkStart w:id="177" w:name="_Toc128137876"/>
                            <w:r>
                              <w:t xml:space="preserve">Figure </w:t>
                            </w:r>
                            <w:r w:rsidR="0062538A">
                              <w:fldChar w:fldCharType="begin"/>
                            </w:r>
                            <w:r w:rsidR="0062538A">
                              <w:instrText xml:space="preserve"> SEQ Figure \* ARABIC </w:instrText>
                            </w:r>
                            <w:r w:rsidR="0062538A">
                              <w:fldChar w:fldCharType="separate"/>
                            </w:r>
                            <w:r w:rsidR="00E75682">
                              <w:rPr>
                                <w:noProof/>
                              </w:rPr>
                              <w:t>17</w:t>
                            </w:r>
                            <w:r w:rsidR="0062538A">
                              <w:rPr>
                                <w:noProof/>
                              </w:rPr>
                              <w:fldChar w:fldCharType="end"/>
                            </w:r>
                            <w:r>
                              <w:t>: New Hampshire's Population Growth Rate Over Time</w:t>
                            </w:r>
                            <w:bookmarkEnd w:id="177"/>
                          </w:p>
                        </w:txbxContent>
                      </v:textbox>
                      <w10:wrap type="square"/>
                    </v:shape>
                  </w:pict>
                </mc:Fallback>
              </mc:AlternateContent>
            </w:r>
          </w:p>
          <w:p w14:paraId="4442B9F5" w14:textId="2A4AB42C" w:rsidR="007C25A7" w:rsidRPr="007C25A7" w:rsidRDefault="007C25A7" w:rsidP="00206C45">
            <w:pPr>
              <w:spacing w:line="300" w:lineRule="auto"/>
              <w:rPr>
                <w:rFonts w:eastAsia="Tw Cen MT" w:cs="Tw Cen MT"/>
                <w:sz w:val="20"/>
                <w:szCs w:val="20"/>
              </w:rPr>
            </w:pPr>
          </w:p>
          <w:p w14:paraId="3B586C31" w14:textId="57DF1017" w:rsidR="007C25A7" w:rsidRDefault="007C25A7" w:rsidP="00206C45">
            <w:pPr>
              <w:spacing w:line="300" w:lineRule="auto"/>
              <w:rPr>
                <w:rFonts w:eastAsia="Tw Cen MT" w:cs="Tw Cen MT"/>
                <w:color w:val="000000" w:themeColor="text1"/>
                <w:sz w:val="20"/>
                <w:szCs w:val="20"/>
              </w:rPr>
            </w:pPr>
          </w:p>
          <w:p w14:paraId="628899AA" w14:textId="07C9CEBF" w:rsidR="007C25A7" w:rsidRDefault="007C25A7" w:rsidP="00206C45">
            <w:pPr>
              <w:spacing w:line="300" w:lineRule="auto"/>
              <w:rPr>
                <w:rFonts w:eastAsia="Tw Cen MT" w:cs="Tw Cen MT"/>
                <w:color w:val="000000" w:themeColor="text1"/>
                <w:sz w:val="20"/>
                <w:szCs w:val="20"/>
              </w:rPr>
            </w:pPr>
          </w:p>
          <w:p w14:paraId="4D4E95E6" w14:textId="640D24AA" w:rsidR="007C25A7" w:rsidRPr="007C25A7" w:rsidRDefault="007C25A7" w:rsidP="00206C45">
            <w:pPr>
              <w:spacing w:line="300" w:lineRule="auto"/>
              <w:rPr>
                <w:rFonts w:eastAsia="Tw Cen MT" w:cs="Tw Cen MT"/>
                <w:sz w:val="20"/>
                <w:szCs w:val="20"/>
              </w:rPr>
            </w:pPr>
            <w:r>
              <w:rPr>
                <w:noProof/>
              </w:rPr>
              <mc:AlternateContent>
                <mc:Choice Requires="wps">
                  <w:drawing>
                    <wp:anchor distT="0" distB="0" distL="114300" distR="114300" simplePos="0" relativeHeight="251704320" behindDoc="0" locked="0" layoutInCell="1" allowOverlap="1" wp14:anchorId="11BC7BA7" wp14:editId="699B356F">
                      <wp:simplePos x="0" y="0"/>
                      <wp:positionH relativeFrom="column">
                        <wp:posOffset>2847975</wp:posOffset>
                      </wp:positionH>
                      <wp:positionV relativeFrom="paragraph">
                        <wp:posOffset>12700</wp:posOffset>
                      </wp:positionV>
                      <wp:extent cx="2847975" cy="635"/>
                      <wp:effectExtent l="0" t="0" r="0" b="0"/>
                      <wp:wrapSquare wrapText="bothSides"/>
                      <wp:docPr id="937973218" name="Text Box 937973218"/>
                      <wp:cNvGraphicFramePr/>
                      <a:graphic xmlns:a="http://schemas.openxmlformats.org/drawingml/2006/main">
                        <a:graphicData uri="http://schemas.microsoft.com/office/word/2010/wordprocessingShape">
                          <wps:wsp>
                            <wps:cNvSpPr txBox="1"/>
                            <wps:spPr>
                              <a:xfrm>
                                <a:off x="0" y="0"/>
                                <a:ext cx="2847975" cy="635"/>
                              </a:xfrm>
                              <a:prstGeom prst="rect">
                                <a:avLst/>
                              </a:prstGeom>
                              <a:solidFill>
                                <a:prstClr val="white"/>
                              </a:solidFill>
                              <a:ln>
                                <a:noFill/>
                              </a:ln>
                            </wps:spPr>
                            <wps:txbx>
                              <w:txbxContent>
                                <w:p w14:paraId="7793C285" w14:textId="6D5694C1" w:rsidR="007C25A7" w:rsidRPr="00F30C26" w:rsidRDefault="007C25A7" w:rsidP="007C25A7">
                                  <w:pPr>
                                    <w:pStyle w:val="Caption"/>
                                    <w:rPr>
                                      <w:noProof/>
                                    </w:rPr>
                                  </w:pPr>
                                  <w:bookmarkStart w:id="178" w:name="_Toc128137877"/>
                                  <w:r>
                                    <w:t xml:space="preserve">Figure </w:t>
                                  </w:r>
                                  <w:r w:rsidR="0062538A">
                                    <w:fldChar w:fldCharType="begin"/>
                                  </w:r>
                                  <w:r w:rsidR="0062538A">
                                    <w:instrText xml:space="preserve"> SEQ Figure \* ARABIC </w:instrText>
                                  </w:r>
                                  <w:r w:rsidR="0062538A">
                                    <w:fldChar w:fldCharType="separate"/>
                                  </w:r>
                                  <w:r w:rsidR="00E75682">
                                    <w:rPr>
                                      <w:noProof/>
                                    </w:rPr>
                                    <w:t>18</w:t>
                                  </w:r>
                                  <w:r w:rsidR="0062538A">
                                    <w:rPr>
                                      <w:noProof/>
                                    </w:rPr>
                                    <w:fldChar w:fldCharType="end"/>
                                  </w:r>
                                  <w:r>
                                    <w:t>: SNHPC Age Group</w:t>
                                  </w:r>
                                  <w:r w:rsidR="00004DF9">
                                    <w:t>S</w:t>
                                  </w:r>
                                  <w:r>
                                    <w:t xml:space="preserve"> as a Percentage of the Total Population</w:t>
                                  </w:r>
                                  <w:bookmarkEnd w:id="1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BC7BA7" id="Text Box 937973218" o:spid="_x0000_s1031" type="#_x0000_t202" style="position:absolute;margin-left:224.25pt;margin-top:1pt;width:224.25pt;height:.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" stroked="f">
                      <v:textbox style="mso-fit-shape-to-text:t" inset="0,0,0,0">
                        <w:txbxContent>
                          <w:p w14:paraId="7793C285" w14:textId="6D5694C1" w:rsidR="007C25A7" w:rsidRPr="00F30C26" w:rsidRDefault="007C25A7" w:rsidP="007C25A7">
                            <w:pPr>
                              <w:pStyle w:val="Caption"/>
                              <w:rPr>
                                <w:noProof/>
                              </w:rPr>
                            </w:pPr>
                            <w:bookmarkStart w:id="179" w:name="_Toc128137877"/>
                            <w:r>
                              <w:t xml:space="preserve">Figure </w:t>
                            </w:r>
                            <w:r w:rsidR="0062538A">
                              <w:fldChar w:fldCharType="begin"/>
                            </w:r>
                            <w:r w:rsidR="0062538A">
                              <w:instrText xml:space="preserve"> SEQ Figure \* ARABIC </w:instrText>
                            </w:r>
                            <w:r w:rsidR="0062538A">
                              <w:fldChar w:fldCharType="separate"/>
                            </w:r>
                            <w:r w:rsidR="00E75682">
                              <w:rPr>
                                <w:noProof/>
                              </w:rPr>
                              <w:t>18</w:t>
                            </w:r>
                            <w:r w:rsidR="0062538A">
                              <w:rPr>
                                <w:noProof/>
                              </w:rPr>
                              <w:fldChar w:fldCharType="end"/>
                            </w:r>
                            <w:r>
                              <w:t>: SNHPC Age Group</w:t>
                            </w:r>
                            <w:r w:rsidR="00004DF9">
                              <w:t>S</w:t>
                            </w:r>
                            <w:r>
                              <w:t xml:space="preserve"> as a Percentage of the Total Population</w:t>
                            </w:r>
                            <w:bookmarkEnd w:id="179"/>
                          </w:p>
                        </w:txbxContent>
                      </v:textbox>
                      <w10:wrap type="square"/>
                    </v:shape>
                  </w:pict>
                </mc:Fallback>
              </mc:AlternateContent>
            </w:r>
          </w:p>
        </w:tc>
      </w:tr>
      <w:tr w:rsidR="00A435F9" w:rsidRPr="00C64BA4" w14:paraId="03295916" w14:textId="77777777" w:rsidTr="000A570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gridAfter w:val="4"/>
          <w:wAfter w:w="4118" w:type="dxa"/>
        </w:trPr>
        <w:tc>
          <w:tcPr>
            <w:tcW w:w="5241" w:type="dxa"/>
            <w:gridSpan w:val="4"/>
          </w:tcPr>
          <w:p w14:paraId="4A142DAE" w14:textId="18FC6011" w:rsidR="00A435F9" w:rsidRPr="00C64BA4" w:rsidRDefault="00A435F9" w:rsidP="00206C45">
            <w:pPr>
              <w:pStyle w:val="Caption"/>
              <w:spacing w:line="300" w:lineRule="auto"/>
            </w:pPr>
          </w:p>
        </w:tc>
      </w:tr>
    </w:tbl>
    <w:p w14:paraId="4BDA666D" w14:textId="2CBF6C62" w:rsidR="00763798" w:rsidRPr="00366ACF" w:rsidRDefault="0AD54FAB" w:rsidP="00206C45">
      <w:pPr>
        <w:pStyle w:val="Heading2"/>
        <w:pBdr>
          <w:bottom w:val="single" w:sz="4" w:space="0" w:color="003BB3" w:themeColor="accent2" w:themeShade="7F"/>
        </w:pBdr>
        <w:spacing w:line="300" w:lineRule="auto"/>
      </w:pPr>
      <w:bookmarkStart w:id="180" w:name="_Toc1077152773"/>
      <w:bookmarkStart w:id="181" w:name="_Toc2126884869"/>
      <w:bookmarkStart w:id="182" w:name="_Toc128137981"/>
      <w:r w:rsidRPr="00366ACF">
        <w:t>Housing Needs Projections</w:t>
      </w:r>
      <w:bookmarkEnd w:id="180"/>
      <w:bookmarkEnd w:id="181"/>
      <w:bookmarkEnd w:id="182"/>
    </w:p>
    <w:p w14:paraId="5069D201" w14:textId="77777777" w:rsidR="0035314F" w:rsidRPr="007936A1" w:rsidRDefault="0035314F" w:rsidP="0035314F">
      <w:pPr>
        <w:spacing w:line="300" w:lineRule="auto"/>
        <w:rPr>
          <w:rFonts w:ascii="Tw Cen MT" w:hAnsi="Tw Cen MT"/>
        </w:rPr>
      </w:pPr>
      <w:bookmarkStart w:id="183" w:name="_Toc1429719853"/>
      <w:bookmarkStart w:id="184" w:name="_Toc706396478"/>
      <w:r w:rsidRPr="007936A1">
        <w:rPr>
          <w:rFonts w:ascii="Tw Cen MT" w:hAnsi="Tw Cen MT"/>
        </w:rPr>
        <w:t>As part of this Housing Needs Assessment, the State’s consultant, Root Policy Research, produced a Fair Share Housing Production Model to assist New Hampshire’s Regional Planning Commissions (RPCs) in determining the housing production needed to meet current and future demand.</w:t>
      </w:r>
    </w:p>
    <w:p w14:paraId="06AA4B54" w14:textId="77777777" w:rsidR="0035314F" w:rsidRPr="007936A1" w:rsidRDefault="0035314F" w:rsidP="0035314F">
      <w:pPr>
        <w:spacing w:line="300" w:lineRule="auto"/>
        <w:rPr>
          <w:rFonts w:ascii="Tw Cen MT" w:hAnsi="Tw Cen MT"/>
        </w:rPr>
      </w:pPr>
      <w:r w:rsidRPr="007936A1">
        <w:rPr>
          <w:rFonts w:ascii="Tw Cen MT" w:hAnsi="Tw Cen MT"/>
        </w:rPr>
        <w:t xml:space="preserve">The Fair Share Housing Production </w:t>
      </w:r>
      <w:r>
        <w:rPr>
          <w:rFonts w:ascii="Tw Cen MT" w:hAnsi="Tw Cen MT"/>
        </w:rPr>
        <w:t>M</w:t>
      </w:r>
      <w:r w:rsidRPr="007936A1">
        <w:rPr>
          <w:rFonts w:ascii="Tw Cen MT" w:hAnsi="Tw Cen MT"/>
        </w:rPr>
        <w:t xml:space="preserve">odel (“model”) projects the number of housing units, by tenure and Area Median Income (AMI) threshold, that jurisdictions should allow or accommodate to meet projected </w:t>
      </w:r>
      <w:r w:rsidRPr="007936A1">
        <w:rPr>
          <w:rFonts w:ascii="Tw Cen MT" w:hAnsi="Tw Cen MT"/>
        </w:rPr>
        <w:lastRenderedPageBreak/>
        <w:t xml:space="preserve">population and employment demand—and to support a more balanced housing market in New Hampshire. </w:t>
      </w:r>
    </w:p>
    <w:p w14:paraId="4E189C9F" w14:textId="77777777" w:rsidR="0035314F" w:rsidRPr="007936A1" w:rsidRDefault="0035314F" w:rsidP="0035314F">
      <w:pPr>
        <w:spacing w:line="300" w:lineRule="auto"/>
        <w:rPr>
          <w:rFonts w:ascii="Tw Cen MT" w:hAnsi="Tw Cen MT"/>
        </w:rPr>
      </w:pPr>
      <w:r w:rsidRPr="007936A1">
        <w:rPr>
          <w:rFonts w:ascii="Tw Cen MT" w:hAnsi="Tw Cen MT"/>
        </w:rPr>
        <w:t xml:space="preserve">The employment component is critical to support economic stabilization and growth, especially in the state’s small towns and rural areas. A model based solely on demographic projections—which are based on historical trends—would drive housing demand into urban areas and away from rural areas that are aging. This would result in rural economies that cannot support the needs of aging residents, </w:t>
      </w:r>
      <w:proofErr w:type="gramStart"/>
      <w:r w:rsidRPr="007936A1">
        <w:rPr>
          <w:rFonts w:ascii="Tw Cen MT" w:hAnsi="Tw Cen MT"/>
        </w:rPr>
        <w:t>tourism</w:t>
      </w:r>
      <w:proofErr w:type="gramEnd"/>
      <w:r w:rsidRPr="007936A1">
        <w:rPr>
          <w:rFonts w:ascii="Tw Cen MT" w:hAnsi="Tw Cen MT"/>
        </w:rPr>
        <w:t xml:space="preserve"> and recreation activity—including second and vacation homeowners—and economic development.</w:t>
      </w:r>
    </w:p>
    <w:p w14:paraId="0E1C66E3" w14:textId="5E6E0F5D" w:rsidR="00763798" w:rsidRPr="00C64BA4" w:rsidRDefault="5B9AA232" w:rsidP="00206C45">
      <w:pPr>
        <w:pStyle w:val="Heading3"/>
        <w:spacing w:line="300" w:lineRule="auto"/>
      </w:pPr>
      <w:bookmarkStart w:id="185" w:name="_Toc128137982"/>
      <w:r w:rsidRPr="00C64BA4">
        <w:t>Fair Share Distribution</w:t>
      </w:r>
      <w:bookmarkEnd w:id="183"/>
      <w:bookmarkEnd w:id="184"/>
      <w:bookmarkEnd w:id="185"/>
    </w:p>
    <w:p w14:paraId="42310B1E" w14:textId="0F0CD317" w:rsidR="0035314F" w:rsidRPr="007936A1" w:rsidRDefault="0035314F" w:rsidP="0035314F">
      <w:pPr>
        <w:spacing w:line="300" w:lineRule="auto"/>
        <w:rPr>
          <w:rFonts w:ascii="Tw Cen MT" w:hAnsi="Tw Cen MT"/>
        </w:rPr>
      </w:pPr>
      <w:r w:rsidRPr="007936A1">
        <w:rPr>
          <w:rFonts w:ascii="Tw Cen MT" w:hAnsi="Tw Cen MT"/>
        </w:rPr>
        <w:t>Adequate, affordable housing for everyone is a basic yet critical concept that is vital to the welfare and security of all those residing in the SNHPC region. In 2008 (effective January 1, 2010) the New Hampshire legislature enacted RSA 674:59, which states that</w:t>
      </w:r>
      <w:r w:rsidR="004B5FF2">
        <w:rPr>
          <w:rFonts w:ascii="Tw Cen MT" w:hAnsi="Tw Cen MT"/>
        </w:rPr>
        <w:t>:</w:t>
      </w:r>
    </w:p>
    <w:p w14:paraId="6E845BEE" w14:textId="77777777" w:rsidR="0035314F" w:rsidRPr="007936A1" w:rsidRDefault="0035314F" w:rsidP="0035314F">
      <w:pPr>
        <w:spacing w:line="300" w:lineRule="auto"/>
        <w:rPr>
          <w:rFonts w:ascii="Tw Cen MT" w:hAnsi="Tw Cen MT"/>
        </w:rPr>
      </w:pPr>
      <w:r w:rsidRPr="007936A1">
        <w:rPr>
          <w:rFonts w:ascii="Tw Cen MT" w:hAnsi="Tw Cen MT"/>
        </w:rPr>
        <w:t xml:space="preserve">“I. In every municipality that exercises the power to adopt land use ordinances and regulations, such </w:t>
      </w:r>
      <w:r w:rsidRPr="009F7996">
        <w:rPr>
          <w:rFonts w:ascii="Tw Cen MT" w:hAnsi="Tw Cen MT"/>
          <w:i/>
          <w:iCs/>
        </w:rPr>
        <w:t>ordinances and regulations shall provide reasonable and realistic opportunities for the development of workforce housing, including rental multi-family housing</w:t>
      </w:r>
      <w:r>
        <w:rPr>
          <w:rFonts w:ascii="Tw Cen MT" w:hAnsi="Tw Cen MT"/>
          <w:i/>
          <w:iCs/>
        </w:rPr>
        <w:t xml:space="preserve"> </w:t>
      </w:r>
      <w:r>
        <w:rPr>
          <w:rFonts w:ascii="Tw Cen MT" w:hAnsi="Tw Cen MT"/>
        </w:rPr>
        <w:t>[emphasis added]</w:t>
      </w:r>
      <w:r w:rsidRPr="007936A1">
        <w:rPr>
          <w:rFonts w:ascii="Tw Cen MT" w:hAnsi="Tw Cen MT"/>
        </w:rPr>
        <w:t xml:space="preserve">. </w:t>
      </w:r>
      <w:proofErr w:type="gramStart"/>
      <w:r w:rsidRPr="007936A1">
        <w:rPr>
          <w:rFonts w:ascii="Tw Cen MT" w:hAnsi="Tw Cen MT"/>
        </w:rPr>
        <w:t>In order to</w:t>
      </w:r>
      <w:proofErr w:type="gramEnd"/>
      <w:r w:rsidRPr="007936A1">
        <w:rPr>
          <w:rFonts w:ascii="Tw Cen MT" w:hAnsi="Tw Cen MT"/>
        </w:rPr>
        <w:t xml:space="preserve"> provide such opportunities, lot size and overall density requirements for workforce housing shall be reasonable. A municipality that adopts land use ordinances and regulations shall allow workforce housing to </w:t>
      </w:r>
      <w:proofErr w:type="gramStart"/>
      <w:r w:rsidRPr="007936A1">
        <w:rPr>
          <w:rFonts w:ascii="Tw Cen MT" w:hAnsi="Tw Cen MT"/>
        </w:rPr>
        <w:t>be located in</w:t>
      </w:r>
      <w:proofErr w:type="gramEnd"/>
      <w:r w:rsidRPr="007936A1">
        <w:rPr>
          <w:rFonts w:ascii="Tw Cen MT" w:hAnsi="Tw Cen MT"/>
        </w:rPr>
        <w:t xml:space="preserve"> a majority, but not necessarily all, of the land area that is zoned to permit residential uses within the municipality. Such a municipality shall have the discretion to determine what land areas are appropriate to meet this obligation. This obligation may be satisfied by the adoption of inclusionary zoning as defined in RSA 674:21, IV (a). This paragraph shall not be construed to require a municipality to allow for the development of multifamily housing in </w:t>
      </w:r>
      <w:proofErr w:type="gramStart"/>
      <w:r w:rsidRPr="007936A1">
        <w:rPr>
          <w:rFonts w:ascii="Tw Cen MT" w:hAnsi="Tw Cen MT"/>
        </w:rPr>
        <w:t>a majority of</w:t>
      </w:r>
      <w:proofErr w:type="gramEnd"/>
      <w:r w:rsidRPr="007936A1">
        <w:rPr>
          <w:rFonts w:ascii="Tw Cen MT" w:hAnsi="Tw Cen MT"/>
        </w:rPr>
        <w:t xml:space="preserve"> its land zoned to permit residential uses.”</w:t>
      </w:r>
    </w:p>
    <w:p w14:paraId="11C4457F" w14:textId="59C3AAE9" w:rsidR="00714A80" w:rsidRDefault="0035314F" w:rsidP="0035314F">
      <w:pPr>
        <w:spacing w:line="300" w:lineRule="auto"/>
        <w:rPr>
          <w:rFonts w:ascii="Tw Cen MT" w:hAnsi="Tw Cen MT"/>
        </w:rPr>
      </w:pPr>
      <w:r w:rsidRPr="007936A1">
        <w:rPr>
          <w:rFonts w:ascii="Tw Cen MT" w:hAnsi="Tw Cen MT"/>
        </w:rPr>
        <w:t>It is also important to note the definitions in RSA 674:58,</w:t>
      </w:r>
      <w:r w:rsidR="00714A80">
        <w:rPr>
          <w:rFonts w:ascii="Tw Cen MT" w:hAnsi="Tw Cen MT"/>
        </w:rPr>
        <w:t xml:space="preserve"> where:</w:t>
      </w:r>
    </w:p>
    <w:p w14:paraId="60DAAE24" w14:textId="08834380" w:rsidR="00714A80" w:rsidRPr="00714A80" w:rsidRDefault="00714A80" w:rsidP="00714A80">
      <w:pPr>
        <w:pStyle w:val="ListParagraph"/>
        <w:numPr>
          <w:ilvl w:val="0"/>
          <w:numId w:val="48"/>
        </w:numPr>
        <w:spacing w:line="300" w:lineRule="auto"/>
        <w:rPr>
          <w:rFonts w:ascii="Tw Cen MT" w:eastAsia="Tw Cen MT" w:hAnsi="Tw Cen MT" w:cs="Tw Cen MT"/>
        </w:rPr>
      </w:pPr>
      <w:r>
        <w:rPr>
          <w:rFonts w:ascii="Tw Cen MT" w:hAnsi="Tw Cen MT"/>
        </w:rPr>
        <w:t>A</w:t>
      </w:r>
      <w:r w:rsidR="0035314F" w:rsidRPr="00714A80">
        <w:rPr>
          <w:rFonts w:ascii="Tw Cen MT" w:hAnsi="Tw Cen MT"/>
          <w:i/>
          <w:iCs/>
        </w:rPr>
        <w:t>ffordable housing</w:t>
      </w:r>
      <w:r w:rsidR="0035314F" w:rsidRPr="00714A80">
        <w:rPr>
          <w:rFonts w:ascii="Tw Cen MT" w:hAnsi="Tw Cen MT"/>
        </w:rPr>
        <w:t xml:space="preserve"> is defined as “housing with combined rental and utility costs or combined mortgage loan debt services, property taxes and require insurance that do not exceed 30 percent of a household’s gross annual income.” </w:t>
      </w:r>
    </w:p>
    <w:p w14:paraId="7A1B3FC7" w14:textId="77777777" w:rsidR="00714A80" w:rsidRPr="00714A80" w:rsidRDefault="0035314F" w:rsidP="00714A80">
      <w:pPr>
        <w:pStyle w:val="ListParagraph"/>
        <w:numPr>
          <w:ilvl w:val="0"/>
          <w:numId w:val="48"/>
        </w:numPr>
        <w:spacing w:line="300" w:lineRule="auto"/>
        <w:rPr>
          <w:rFonts w:ascii="Tw Cen MT" w:eastAsia="Tw Cen MT" w:hAnsi="Tw Cen MT" w:cs="Tw Cen MT"/>
        </w:rPr>
      </w:pPr>
      <w:r w:rsidRPr="00714A80">
        <w:rPr>
          <w:rFonts w:ascii="Tw Cen MT" w:hAnsi="Tw Cen MT"/>
          <w:i/>
          <w:iCs/>
        </w:rPr>
        <w:t>Multi-family housing</w:t>
      </w:r>
      <w:r w:rsidRPr="00714A80">
        <w:rPr>
          <w:rFonts w:ascii="Tw Cen MT" w:hAnsi="Tw Cen MT"/>
        </w:rPr>
        <w:t xml:space="preserve"> is defined as “a building or structure containing 5 or more dwelling units.” </w:t>
      </w:r>
    </w:p>
    <w:p w14:paraId="66C7B816" w14:textId="40578F24" w:rsidR="0035314F" w:rsidRPr="00714A80" w:rsidRDefault="0035314F" w:rsidP="00714A80">
      <w:pPr>
        <w:pStyle w:val="ListParagraph"/>
        <w:numPr>
          <w:ilvl w:val="0"/>
          <w:numId w:val="48"/>
        </w:numPr>
        <w:spacing w:line="300" w:lineRule="auto"/>
        <w:rPr>
          <w:rFonts w:ascii="Tw Cen MT" w:eastAsia="Tw Cen MT" w:hAnsi="Tw Cen MT" w:cs="Tw Cen MT"/>
        </w:rPr>
      </w:pPr>
      <w:r w:rsidRPr="00714A80">
        <w:rPr>
          <w:rFonts w:ascii="Tw Cen MT" w:hAnsi="Tw Cen MT"/>
          <w:i/>
          <w:iCs/>
        </w:rPr>
        <w:t>Workforce housing</w:t>
      </w:r>
      <w:r w:rsidRPr="00714A80">
        <w:rPr>
          <w:rFonts w:ascii="Tw Cen MT" w:hAnsi="Tw Cen MT"/>
        </w:rPr>
        <w:t xml:space="preserve"> is defined as “housing which is intended for sale and which is affordable to a household with an income of no more than 100 percent of the median income for a 4-person household for the metropolitan area or county in which the housing is located as published annually by the United States Department of Housing and Urban Development. </w:t>
      </w:r>
      <w:r w:rsidRPr="00714A80">
        <w:rPr>
          <w:rFonts w:ascii="Tw Cen MT" w:hAnsi="Tw Cen MT"/>
          <w:i/>
          <w:iCs/>
        </w:rPr>
        <w:t>Workforce housing</w:t>
      </w:r>
      <w:r w:rsidRPr="00714A80">
        <w:rPr>
          <w:rFonts w:ascii="Tw Cen MT" w:hAnsi="Tw Cen MT"/>
        </w:rPr>
        <w:t xml:space="preserve"> also means rental housing which is affordable to a household with an income of no more than 60 percent of the median income for a 3-</w:t>
      </w:r>
      <w:r w:rsidRPr="00714A80">
        <w:rPr>
          <w:rFonts w:ascii="Tw Cen MT" w:eastAsia="Tw Cen MT" w:hAnsi="Tw Cen MT" w:cs="Tw Cen MT"/>
        </w:rPr>
        <w:t>person household for the metropolitan area or county in which the housing is located as published annually by the United States Department of Housing and Urban Development. Housing units that exclude minor children from more than 20 percent of the units, or in which more than 50 percent of the dwelling units have fewer than two bedrooms, shall not constitute workforce housing for the purposes of this subdivision.”</w:t>
      </w:r>
    </w:p>
    <w:p w14:paraId="16013068" w14:textId="3C2C2F92" w:rsidR="0035314F" w:rsidRPr="008B512A" w:rsidRDefault="0035314F" w:rsidP="00206C45">
      <w:pPr>
        <w:spacing w:line="300" w:lineRule="auto"/>
        <w:rPr>
          <w:b/>
          <w:bCs/>
        </w:rPr>
      </w:pPr>
      <w:r>
        <w:rPr>
          <w:rFonts w:ascii="Tw Cen MT" w:eastAsia="Tw Cen MT" w:hAnsi="Tw Cen MT" w:cs="Tw Cen MT"/>
        </w:rPr>
        <w:t xml:space="preserve">The results from the </w:t>
      </w:r>
      <w:r w:rsidR="005629DC">
        <w:rPr>
          <w:rFonts w:ascii="Tw Cen MT" w:eastAsia="Tw Cen MT" w:hAnsi="Tw Cen MT" w:cs="Tw Cen MT"/>
        </w:rPr>
        <w:t xml:space="preserve">Roots </w:t>
      </w:r>
      <w:r>
        <w:rPr>
          <w:rFonts w:ascii="Tw Cen MT" w:eastAsia="Tw Cen MT" w:hAnsi="Tw Cen MT" w:cs="Tw Cen MT"/>
        </w:rPr>
        <w:t xml:space="preserve">model for the state, region, and individual municipalities can be found </w:t>
      </w:r>
      <w:r w:rsidR="00D109D7">
        <w:rPr>
          <w:rFonts w:ascii="Tw Cen MT" w:eastAsia="Tw Cen MT" w:hAnsi="Tw Cen MT" w:cs="Tw Cen MT"/>
        </w:rPr>
        <w:t xml:space="preserve">in </w:t>
      </w:r>
      <w:r w:rsidR="00273C95">
        <w:rPr>
          <w:rFonts w:ascii="Tw Cen MT" w:eastAsia="Tw Cen MT" w:hAnsi="Tw Cen MT" w:cs="Tw Cen MT"/>
        </w:rPr>
        <w:fldChar w:fldCharType="begin"/>
      </w:r>
      <w:r w:rsidR="00273C95">
        <w:rPr>
          <w:rFonts w:ascii="Tw Cen MT" w:eastAsia="Tw Cen MT" w:hAnsi="Tw Cen MT" w:cs="Tw Cen MT"/>
        </w:rPr>
        <w:instrText xml:space="preserve"> REF _Ref127970113 \h </w:instrText>
      </w:r>
      <w:r w:rsidR="00273C95">
        <w:rPr>
          <w:rFonts w:ascii="Tw Cen MT" w:eastAsia="Tw Cen MT" w:hAnsi="Tw Cen MT" w:cs="Tw Cen MT"/>
        </w:rPr>
      </w:r>
      <w:r w:rsidR="00273C95">
        <w:rPr>
          <w:rFonts w:ascii="Tw Cen MT" w:eastAsia="Tw Cen MT" w:hAnsi="Tw Cen MT" w:cs="Tw Cen MT"/>
        </w:rPr>
        <w:fldChar w:fldCharType="separate"/>
      </w:r>
      <w:r w:rsidR="00273C95">
        <w:t xml:space="preserve">Table </w:t>
      </w:r>
      <w:r w:rsidR="00273C95">
        <w:rPr>
          <w:noProof/>
        </w:rPr>
        <w:t>32</w:t>
      </w:r>
      <w:r w:rsidR="00273C95">
        <w:rPr>
          <w:rFonts w:ascii="Tw Cen MT" w:eastAsia="Tw Cen MT" w:hAnsi="Tw Cen MT" w:cs="Tw Cen MT"/>
        </w:rPr>
        <w:fldChar w:fldCharType="end"/>
      </w:r>
      <w:r w:rsidR="00273C95">
        <w:rPr>
          <w:rFonts w:ascii="Tw Cen MT" w:eastAsia="Tw Cen MT" w:hAnsi="Tw Cen MT" w:cs="Tw Cen MT"/>
        </w:rPr>
        <w:t xml:space="preserve"> </w:t>
      </w:r>
      <w:r>
        <w:rPr>
          <w:rFonts w:ascii="Tw Cen MT" w:eastAsia="Tw Cen MT" w:hAnsi="Tw Cen MT" w:cs="Tw Cen MT"/>
        </w:rPr>
        <w:t xml:space="preserve">illustrates the </w:t>
      </w:r>
      <w:r w:rsidRPr="006140A7">
        <w:rPr>
          <w:rFonts w:ascii="Tw Cen MT" w:eastAsia="Tw Cen MT" w:hAnsi="Tw Cen MT" w:cs="Tw Cen MT"/>
          <w:i/>
          <w:iCs/>
        </w:rPr>
        <w:t>cumulative</w:t>
      </w:r>
      <w:r>
        <w:rPr>
          <w:rFonts w:ascii="Tw Cen MT" w:eastAsia="Tw Cen MT" w:hAnsi="Tw Cen MT" w:cs="Tw Cen MT"/>
        </w:rPr>
        <w:t xml:space="preserve"> number of new housing units needed over five-year periods out to 2040</w:t>
      </w:r>
      <w:r w:rsidR="007E2BBE">
        <w:rPr>
          <w:rFonts w:ascii="Tw Cen MT" w:eastAsia="Tw Cen MT" w:hAnsi="Tw Cen MT" w:cs="Tw Cen MT"/>
        </w:rPr>
        <w:t xml:space="preserve">. That is, the SNHPC region is expected to produce around 7,200 new housing units between 2020 and 2025 and an additional 6,000 between 2025 and 2030. By the 2035 to 2040 period the number of additional units has decreased to 2,500. This slowdown in growth reflects decelerating population growth due to an </w:t>
      </w:r>
      <w:r w:rsidR="007E2BBE">
        <w:rPr>
          <w:rFonts w:ascii="Tw Cen MT" w:eastAsia="Tw Cen MT" w:hAnsi="Tw Cen MT" w:cs="Tw Cen MT"/>
        </w:rPr>
        <w:lastRenderedPageBreak/>
        <w:t>aging population and a more balanced housing market</w:t>
      </w:r>
      <w:r>
        <w:rPr>
          <w:rFonts w:ascii="Tw Cen MT" w:eastAsia="Tw Cen MT" w:hAnsi="Tw Cen MT" w:cs="Tw Cen MT"/>
        </w:rPr>
        <w:t>.</w:t>
      </w:r>
      <w:r w:rsidR="00430953">
        <w:rPr>
          <w:rFonts w:ascii="Tw Cen MT" w:eastAsia="Tw Cen MT" w:hAnsi="Tw Cen MT" w:cs="Tw Cen MT"/>
        </w:rPr>
        <w:t xml:space="preserve"> </w:t>
      </w:r>
      <w:r w:rsidR="00024F47">
        <w:rPr>
          <w:rFonts w:ascii="Tw Cen MT" w:eastAsia="Tw Cen MT" w:hAnsi="Tw Cen MT" w:cs="Tw Cen MT"/>
        </w:rPr>
        <w:t>The full</w:t>
      </w:r>
      <w:r w:rsidR="00430953">
        <w:rPr>
          <w:rFonts w:ascii="Tw Cen MT" w:eastAsia="Tw Cen MT" w:hAnsi="Tw Cen MT" w:cs="Tw Cen MT"/>
        </w:rPr>
        <w:t xml:space="preserve"> detailed breakdown by tenure and AMI can be found in </w:t>
      </w:r>
      <w:r w:rsidR="00430953" w:rsidRPr="002B2278">
        <w:rPr>
          <w:rFonts w:ascii="Tw Cen MT" w:eastAsia="Tw Cen MT" w:hAnsi="Tw Cen MT" w:cs="Tw Cen MT"/>
        </w:rPr>
        <w:t xml:space="preserve">Appendix </w:t>
      </w:r>
      <w:r w:rsidR="002B2278" w:rsidRPr="002B2278">
        <w:rPr>
          <w:rFonts w:ascii="Tw Cen MT" w:eastAsia="Tw Cen MT" w:hAnsi="Tw Cen MT" w:cs="Tw Cen MT"/>
        </w:rPr>
        <w:t>C</w:t>
      </w:r>
      <w:r w:rsidR="00430953">
        <w:rPr>
          <w:rFonts w:ascii="Tw Cen MT" w:eastAsia="Tw Cen MT" w:hAnsi="Tw Cen MT" w:cs="Tw Cen MT"/>
        </w:rPr>
        <w:t>.</w:t>
      </w:r>
      <w:r w:rsidR="00987162" w:rsidRPr="00987162">
        <w:rPr>
          <w:b/>
          <w:bCs/>
        </w:rPr>
        <w:t xml:space="preserve"> The estimate produced by using the fair share model should be considered as a guide or goal for each community striving to increase the housing supply and provide decent, affordable housing for all levels of income</w:t>
      </w:r>
      <w:r w:rsidR="00462F23">
        <w:rPr>
          <w:b/>
          <w:bCs/>
        </w:rPr>
        <w:t>.</w:t>
      </w:r>
    </w:p>
    <w:tbl>
      <w:tblPr>
        <w:tblpPr w:leftFromText="180" w:rightFromText="180" w:vertAnchor="text" w:horzAnchor="margin" w:tblpY="357"/>
        <w:tblW w:w="6633" w:type="dxa"/>
        <w:tblLook w:val="04A0" w:firstRow="1" w:lastRow="0" w:firstColumn="1" w:lastColumn="0" w:noHBand="0" w:noVBand="1"/>
      </w:tblPr>
      <w:tblGrid>
        <w:gridCol w:w="1732"/>
        <w:gridCol w:w="1225"/>
        <w:gridCol w:w="1225"/>
        <w:gridCol w:w="1225"/>
        <w:gridCol w:w="1226"/>
      </w:tblGrid>
      <w:tr w:rsidR="0035314F" w:rsidRPr="00C64BA4" w14:paraId="3E93D4CB" w14:textId="77777777" w:rsidTr="0035314F">
        <w:trPr>
          <w:trHeight w:val="321"/>
        </w:trPr>
        <w:tc>
          <w:tcPr>
            <w:tcW w:w="1732" w:type="dxa"/>
            <w:tcBorders>
              <w:top w:val="nil"/>
              <w:left w:val="nil"/>
              <w:bottom w:val="nil"/>
              <w:right w:val="nil"/>
            </w:tcBorders>
            <w:shd w:val="clear" w:color="auto" w:fill="auto"/>
            <w:noWrap/>
            <w:vAlign w:val="bottom"/>
            <w:hideMark/>
          </w:tcPr>
          <w:p w14:paraId="66935DA4" w14:textId="77777777" w:rsidR="0035314F" w:rsidRPr="00C64BA4" w:rsidRDefault="0035314F" w:rsidP="0035314F">
            <w:pPr>
              <w:spacing w:after="0" w:line="300" w:lineRule="auto"/>
              <w:rPr>
                <w:rFonts w:eastAsia="Times New Roman" w:cs="Calibri"/>
                <w:color w:val="000000"/>
                <w:sz w:val="20"/>
                <w:szCs w:val="20"/>
              </w:rPr>
            </w:pPr>
          </w:p>
        </w:tc>
        <w:tc>
          <w:tcPr>
            <w:tcW w:w="4901" w:type="dxa"/>
            <w:gridSpan w:val="4"/>
            <w:tcBorders>
              <w:top w:val="nil"/>
              <w:left w:val="nil"/>
              <w:bottom w:val="nil"/>
              <w:right w:val="nil"/>
            </w:tcBorders>
            <w:shd w:val="clear" w:color="auto" w:fill="auto"/>
            <w:noWrap/>
            <w:vAlign w:val="bottom"/>
            <w:hideMark/>
          </w:tcPr>
          <w:p w14:paraId="3E7C3897" w14:textId="77777777" w:rsidR="0035314F" w:rsidRPr="00C64BA4" w:rsidRDefault="0035314F" w:rsidP="0035314F">
            <w:pPr>
              <w:spacing w:after="0" w:line="300" w:lineRule="auto"/>
              <w:jc w:val="center"/>
              <w:rPr>
                <w:rFonts w:eastAsia="Times New Roman" w:cs="Calibri"/>
                <w:b/>
                <w:bCs/>
                <w:color w:val="595959"/>
              </w:rPr>
            </w:pPr>
            <w:r w:rsidRPr="00C64BA4">
              <w:rPr>
                <w:rFonts w:eastAsia="Times New Roman" w:cs="Calibri"/>
                <w:b/>
                <w:bCs/>
                <w:color w:val="595959"/>
              </w:rPr>
              <w:t>Fair Share Cumulative Net New Housing Units</w:t>
            </w:r>
          </w:p>
        </w:tc>
      </w:tr>
      <w:tr w:rsidR="0035314F" w:rsidRPr="00C64BA4" w14:paraId="28323FF4" w14:textId="77777777" w:rsidTr="0035314F">
        <w:trPr>
          <w:trHeight w:val="321"/>
        </w:trPr>
        <w:tc>
          <w:tcPr>
            <w:tcW w:w="1732" w:type="dxa"/>
            <w:tcBorders>
              <w:top w:val="nil"/>
              <w:left w:val="nil"/>
              <w:bottom w:val="single" w:sz="4" w:space="0" w:color="auto"/>
              <w:right w:val="nil"/>
            </w:tcBorders>
            <w:shd w:val="clear" w:color="auto" w:fill="auto"/>
            <w:noWrap/>
            <w:vAlign w:val="bottom"/>
            <w:hideMark/>
          </w:tcPr>
          <w:p w14:paraId="485744B7" w14:textId="77777777" w:rsidR="0035314F" w:rsidRPr="00C64BA4" w:rsidRDefault="0035314F" w:rsidP="0035314F">
            <w:pPr>
              <w:spacing w:after="0" w:line="300" w:lineRule="auto"/>
              <w:rPr>
                <w:rFonts w:eastAsia="Times New Roman" w:cs="Calibri"/>
                <w:color w:val="000000"/>
              </w:rPr>
            </w:pPr>
            <w:r w:rsidRPr="00C64BA4">
              <w:rPr>
                <w:rFonts w:eastAsia="Times New Roman" w:cs="Calibri"/>
                <w:color w:val="000000"/>
              </w:rPr>
              <w:t> </w:t>
            </w:r>
          </w:p>
        </w:tc>
        <w:tc>
          <w:tcPr>
            <w:tcW w:w="1225" w:type="dxa"/>
            <w:tcBorders>
              <w:top w:val="nil"/>
              <w:left w:val="nil"/>
              <w:bottom w:val="single" w:sz="4" w:space="0" w:color="auto"/>
              <w:right w:val="nil"/>
            </w:tcBorders>
            <w:shd w:val="clear" w:color="auto" w:fill="auto"/>
            <w:noWrap/>
            <w:vAlign w:val="bottom"/>
            <w:hideMark/>
          </w:tcPr>
          <w:p w14:paraId="56F3F992" w14:textId="77777777" w:rsidR="0035314F" w:rsidRPr="00C64BA4" w:rsidRDefault="0035314F" w:rsidP="0035314F">
            <w:pPr>
              <w:spacing w:after="0" w:line="300" w:lineRule="auto"/>
              <w:jc w:val="center"/>
              <w:rPr>
                <w:rFonts w:eastAsia="Times New Roman" w:cs="Calibri"/>
                <w:b/>
                <w:bCs/>
                <w:color w:val="595959"/>
              </w:rPr>
            </w:pPr>
            <w:r w:rsidRPr="00C64BA4">
              <w:rPr>
                <w:rFonts w:eastAsia="Times New Roman" w:cs="Calibri"/>
                <w:b/>
                <w:bCs/>
                <w:color w:val="595959"/>
              </w:rPr>
              <w:t>2025</w:t>
            </w:r>
          </w:p>
        </w:tc>
        <w:tc>
          <w:tcPr>
            <w:tcW w:w="1225" w:type="dxa"/>
            <w:tcBorders>
              <w:top w:val="nil"/>
              <w:left w:val="nil"/>
              <w:bottom w:val="single" w:sz="4" w:space="0" w:color="auto"/>
              <w:right w:val="nil"/>
            </w:tcBorders>
            <w:shd w:val="clear" w:color="auto" w:fill="auto"/>
            <w:noWrap/>
            <w:vAlign w:val="bottom"/>
            <w:hideMark/>
          </w:tcPr>
          <w:p w14:paraId="68BA2EC1" w14:textId="77777777" w:rsidR="0035314F" w:rsidRPr="00C64BA4" w:rsidRDefault="0035314F" w:rsidP="0035314F">
            <w:pPr>
              <w:spacing w:after="0" w:line="300" w:lineRule="auto"/>
              <w:jc w:val="center"/>
              <w:rPr>
                <w:rFonts w:eastAsia="Times New Roman" w:cs="Calibri"/>
                <w:b/>
                <w:bCs/>
                <w:color w:val="595959"/>
              </w:rPr>
            </w:pPr>
            <w:r w:rsidRPr="00C64BA4">
              <w:rPr>
                <w:rFonts w:eastAsia="Times New Roman" w:cs="Calibri"/>
                <w:b/>
                <w:bCs/>
                <w:color w:val="595959"/>
              </w:rPr>
              <w:t>2030</w:t>
            </w:r>
          </w:p>
        </w:tc>
        <w:tc>
          <w:tcPr>
            <w:tcW w:w="1225" w:type="dxa"/>
            <w:tcBorders>
              <w:top w:val="nil"/>
              <w:left w:val="nil"/>
              <w:bottom w:val="single" w:sz="4" w:space="0" w:color="auto"/>
              <w:right w:val="nil"/>
            </w:tcBorders>
            <w:shd w:val="clear" w:color="auto" w:fill="auto"/>
            <w:noWrap/>
            <w:vAlign w:val="bottom"/>
            <w:hideMark/>
          </w:tcPr>
          <w:p w14:paraId="49A07E5A" w14:textId="77777777" w:rsidR="0035314F" w:rsidRPr="00C64BA4" w:rsidRDefault="0035314F" w:rsidP="0035314F">
            <w:pPr>
              <w:spacing w:after="0" w:line="300" w:lineRule="auto"/>
              <w:jc w:val="center"/>
              <w:rPr>
                <w:rFonts w:eastAsia="Times New Roman" w:cs="Calibri"/>
                <w:b/>
                <w:bCs/>
                <w:color w:val="595959"/>
              </w:rPr>
            </w:pPr>
            <w:r w:rsidRPr="00C64BA4">
              <w:rPr>
                <w:rFonts w:eastAsia="Times New Roman" w:cs="Calibri"/>
                <w:b/>
                <w:bCs/>
                <w:color w:val="595959"/>
              </w:rPr>
              <w:t>2035</w:t>
            </w:r>
          </w:p>
        </w:tc>
        <w:tc>
          <w:tcPr>
            <w:tcW w:w="1226" w:type="dxa"/>
            <w:tcBorders>
              <w:top w:val="nil"/>
              <w:left w:val="nil"/>
              <w:bottom w:val="single" w:sz="4" w:space="0" w:color="auto"/>
              <w:right w:val="nil"/>
            </w:tcBorders>
            <w:shd w:val="clear" w:color="auto" w:fill="auto"/>
            <w:noWrap/>
            <w:vAlign w:val="bottom"/>
            <w:hideMark/>
          </w:tcPr>
          <w:p w14:paraId="2D1C0D2D" w14:textId="77777777" w:rsidR="0035314F" w:rsidRPr="00C64BA4" w:rsidRDefault="0035314F" w:rsidP="0035314F">
            <w:pPr>
              <w:spacing w:after="0" w:line="300" w:lineRule="auto"/>
              <w:jc w:val="center"/>
              <w:rPr>
                <w:rFonts w:eastAsia="Times New Roman" w:cs="Calibri"/>
                <w:b/>
                <w:bCs/>
                <w:color w:val="595959"/>
              </w:rPr>
            </w:pPr>
            <w:r w:rsidRPr="00C64BA4">
              <w:rPr>
                <w:rFonts w:eastAsia="Times New Roman" w:cs="Calibri"/>
                <w:b/>
                <w:bCs/>
                <w:color w:val="595959"/>
              </w:rPr>
              <w:t>2040</w:t>
            </w:r>
          </w:p>
        </w:tc>
      </w:tr>
      <w:tr w:rsidR="0035314F" w:rsidRPr="00C64BA4" w14:paraId="308C2657" w14:textId="77777777" w:rsidTr="00516F66">
        <w:trPr>
          <w:trHeight w:val="321"/>
        </w:trPr>
        <w:tc>
          <w:tcPr>
            <w:tcW w:w="1732" w:type="dxa"/>
            <w:tcBorders>
              <w:top w:val="nil"/>
              <w:left w:val="nil"/>
              <w:bottom w:val="nil"/>
              <w:right w:val="nil"/>
            </w:tcBorders>
            <w:shd w:val="clear" w:color="auto" w:fill="auto"/>
            <w:noWrap/>
            <w:vAlign w:val="center"/>
            <w:hideMark/>
          </w:tcPr>
          <w:p w14:paraId="2ACC4DDB"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Auburn</w:t>
            </w:r>
          </w:p>
        </w:tc>
        <w:tc>
          <w:tcPr>
            <w:tcW w:w="1225" w:type="dxa"/>
            <w:tcBorders>
              <w:top w:val="nil"/>
              <w:left w:val="nil"/>
              <w:bottom w:val="nil"/>
              <w:right w:val="nil"/>
            </w:tcBorders>
            <w:shd w:val="clear" w:color="auto" w:fill="auto"/>
            <w:noWrap/>
            <w:vAlign w:val="center"/>
            <w:hideMark/>
          </w:tcPr>
          <w:p w14:paraId="7AD398B5"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142</w:t>
            </w:r>
          </w:p>
        </w:tc>
        <w:tc>
          <w:tcPr>
            <w:tcW w:w="1225" w:type="dxa"/>
            <w:tcBorders>
              <w:top w:val="nil"/>
              <w:left w:val="nil"/>
              <w:bottom w:val="nil"/>
              <w:right w:val="nil"/>
            </w:tcBorders>
            <w:shd w:val="clear" w:color="auto" w:fill="auto"/>
            <w:noWrap/>
            <w:vAlign w:val="center"/>
            <w:hideMark/>
          </w:tcPr>
          <w:p w14:paraId="229642E7"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262</w:t>
            </w:r>
          </w:p>
        </w:tc>
        <w:tc>
          <w:tcPr>
            <w:tcW w:w="1225" w:type="dxa"/>
            <w:tcBorders>
              <w:top w:val="nil"/>
              <w:left w:val="nil"/>
              <w:bottom w:val="nil"/>
              <w:right w:val="nil"/>
            </w:tcBorders>
            <w:shd w:val="clear" w:color="auto" w:fill="auto"/>
            <w:noWrap/>
            <w:vAlign w:val="center"/>
            <w:hideMark/>
          </w:tcPr>
          <w:p w14:paraId="7991682A"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343</w:t>
            </w:r>
          </w:p>
        </w:tc>
        <w:tc>
          <w:tcPr>
            <w:tcW w:w="1226" w:type="dxa"/>
            <w:tcBorders>
              <w:top w:val="nil"/>
              <w:left w:val="nil"/>
              <w:bottom w:val="nil"/>
              <w:right w:val="nil"/>
            </w:tcBorders>
            <w:shd w:val="clear" w:color="auto" w:fill="auto"/>
            <w:noWrap/>
            <w:vAlign w:val="center"/>
            <w:hideMark/>
          </w:tcPr>
          <w:p w14:paraId="5A5601B3"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388</w:t>
            </w:r>
          </w:p>
        </w:tc>
      </w:tr>
      <w:tr w:rsidR="0035314F" w:rsidRPr="00C64BA4" w14:paraId="6CA799C4" w14:textId="77777777" w:rsidTr="00516F66">
        <w:trPr>
          <w:trHeight w:val="321"/>
        </w:trPr>
        <w:tc>
          <w:tcPr>
            <w:tcW w:w="1732" w:type="dxa"/>
            <w:tcBorders>
              <w:top w:val="single" w:sz="4" w:space="0" w:color="auto"/>
              <w:left w:val="nil"/>
              <w:bottom w:val="single" w:sz="4" w:space="0" w:color="auto"/>
              <w:right w:val="nil"/>
            </w:tcBorders>
            <w:shd w:val="clear" w:color="000000" w:fill="F2F2F2"/>
            <w:noWrap/>
            <w:vAlign w:val="center"/>
            <w:hideMark/>
          </w:tcPr>
          <w:p w14:paraId="0BA7AA2E"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Bedford</w:t>
            </w:r>
          </w:p>
        </w:tc>
        <w:tc>
          <w:tcPr>
            <w:tcW w:w="1225" w:type="dxa"/>
            <w:tcBorders>
              <w:top w:val="single" w:sz="4" w:space="0" w:color="auto"/>
              <w:left w:val="nil"/>
              <w:bottom w:val="single" w:sz="4" w:space="0" w:color="auto"/>
              <w:right w:val="nil"/>
            </w:tcBorders>
            <w:shd w:val="clear" w:color="000000" w:fill="F2F2F2"/>
            <w:noWrap/>
            <w:vAlign w:val="center"/>
            <w:hideMark/>
          </w:tcPr>
          <w:p w14:paraId="3A3860A2"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572</w:t>
            </w:r>
          </w:p>
        </w:tc>
        <w:tc>
          <w:tcPr>
            <w:tcW w:w="1225" w:type="dxa"/>
            <w:tcBorders>
              <w:top w:val="single" w:sz="4" w:space="0" w:color="auto"/>
              <w:left w:val="nil"/>
              <w:bottom w:val="single" w:sz="4" w:space="0" w:color="auto"/>
              <w:right w:val="nil"/>
            </w:tcBorders>
            <w:shd w:val="clear" w:color="000000" w:fill="F2F2F2"/>
            <w:noWrap/>
            <w:vAlign w:val="center"/>
            <w:hideMark/>
          </w:tcPr>
          <w:p w14:paraId="1FDFE9FD"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1,044</w:t>
            </w:r>
          </w:p>
        </w:tc>
        <w:tc>
          <w:tcPr>
            <w:tcW w:w="1225" w:type="dxa"/>
            <w:tcBorders>
              <w:top w:val="single" w:sz="4" w:space="0" w:color="auto"/>
              <w:left w:val="nil"/>
              <w:bottom w:val="single" w:sz="4" w:space="0" w:color="auto"/>
              <w:right w:val="nil"/>
            </w:tcBorders>
            <w:shd w:val="clear" w:color="000000" w:fill="F2F2F2"/>
            <w:noWrap/>
            <w:vAlign w:val="center"/>
            <w:hideMark/>
          </w:tcPr>
          <w:p w14:paraId="6C205F28"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1,374</w:t>
            </w:r>
          </w:p>
        </w:tc>
        <w:tc>
          <w:tcPr>
            <w:tcW w:w="1226" w:type="dxa"/>
            <w:tcBorders>
              <w:top w:val="single" w:sz="4" w:space="0" w:color="auto"/>
              <w:left w:val="nil"/>
              <w:bottom w:val="single" w:sz="4" w:space="0" w:color="auto"/>
              <w:right w:val="nil"/>
            </w:tcBorders>
            <w:shd w:val="clear" w:color="000000" w:fill="F2F2F2"/>
            <w:noWrap/>
            <w:vAlign w:val="center"/>
            <w:hideMark/>
          </w:tcPr>
          <w:p w14:paraId="30EF6FFA"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1,581</w:t>
            </w:r>
          </w:p>
        </w:tc>
      </w:tr>
      <w:tr w:rsidR="0035314F" w:rsidRPr="00C64BA4" w14:paraId="3819A832" w14:textId="77777777" w:rsidTr="00516F66">
        <w:trPr>
          <w:trHeight w:val="321"/>
        </w:trPr>
        <w:tc>
          <w:tcPr>
            <w:tcW w:w="1732" w:type="dxa"/>
            <w:tcBorders>
              <w:top w:val="nil"/>
              <w:left w:val="nil"/>
              <w:bottom w:val="nil"/>
              <w:right w:val="nil"/>
            </w:tcBorders>
            <w:shd w:val="clear" w:color="auto" w:fill="auto"/>
            <w:noWrap/>
            <w:vAlign w:val="center"/>
            <w:hideMark/>
          </w:tcPr>
          <w:p w14:paraId="74C2ED22"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Candia</w:t>
            </w:r>
          </w:p>
        </w:tc>
        <w:tc>
          <w:tcPr>
            <w:tcW w:w="1225" w:type="dxa"/>
            <w:tcBorders>
              <w:top w:val="nil"/>
              <w:left w:val="nil"/>
              <w:bottom w:val="nil"/>
              <w:right w:val="nil"/>
            </w:tcBorders>
            <w:shd w:val="clear" w:color="auto" w:fill="auto"/>
            <w:noWrap/>
            <w:vAlign w:val="center"/>
            <w:hideMark/>
          </w:tcPr>
          <w:p w14:paraId="75103825"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102</w:t>
            </w:r>
          </w:p>
        </w:tc>
        <w:tc>
          <w:tcPr>
            <w:tcW w:w="1225" w:type="dxa"/>
            <w:tcBorders>
              <w:top w:val="nil"/>
              <w:left w:val="nil"/>
              <w:bottom w:val="nil"/>
              <w:right w:val="nil"/>
            </w:tcBorders>
            <w:shd w:val="clear" w:color="auto" w:fill="auto"/>
            <w:noWrap/>
            <w:vAlign w:val="center"/>
            <w:hideMark/>
          </w:tcPr>
          <w:p w14:paraId="0A46DAF5"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187</w:t>
            </w:r>
          </w:p>
        </w:tc>
        <w:tc>
          <w:tcPr>
            <w:tcW w:w="1225" w:type="dxa"/>
            <w:tcBorders>
              <w:top w:val="nil"/>
              <w:left w:val="nil"/>
              <w:bottom w:val="nil"/>
              <w:right w:val="nil"/>
            </w:tcBorders>
            <w:shd w:val="clear" w:color="auto" w:fill="auto"/>
            <w:noWrap/>
            <w:vAlign w:val="center"/>
            <w:hideMark/>
          </w:tcPr>
          <w:p w14:paraId="5B4A91B0"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245</w:t>
            </w:r>
          </w:p>
        </w:tc>
        <w:tc>
          <w:tcPr>
            <w:tcW w:w="1226" w:type="dxa"/>
            <w:tcBorders>
              <w:top w:val="nil"/>
              <w:left w:val="nil"/>
              <w:bottom w:val="nil"/>
              <w:right w:val="nil"/>
            </w:tcBorders>
            <w:shd w:val="clear" w:color="auto" w:fill="auto"/>
            <w:noWrap/>
            <w:vAlign w:val="center"/>
            <w:hideMark/>
          </w:tcPr>
          <w:p w14:paraId="56C3FEFA"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277</w:t>
            </w:r>
          </w:p>
        </w:tc>
      </w:tr>
      <w:tr w:rsidR="0035314F" w:rsidRPr="00C64BA4" w14:paraId="6380B2E4" w14:textId="77777777" w:rsidTr="00516F66">
        <w:trPr>
          <w:trHeight w:val="321"/>
        </w:trPr>
        <w:tc>
          <w:tcPr>
            <w:tcW w:w="1732" w:type="dxa"/>
            <w:tcBorders>
              <w:top w:val="single" w:sz="4" w:space="0" w:color="auto"/>
              <w:left w:val="nil"/>
              <w:bottom w:val="single" w:sz="4" w:space="0" w:color="auto"/>
              <w:right w:val="nil"/>
            </w:tcBorders>
            <w:shd w:val="clear" w:color="000000" w:fill="F2F2F2"/>
            <w:noWrap/>
            <w:vAlign w:val="center"/>
            <w:hideMark/>
          </w:tcPr>
          <w:p w14:paraId="4B5644CE"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Chester</w:t>
            </w:r>
          </w:p>
        </w:tc>
        <w:tc>
          <w:tcPr>
            <w:tcW w:w="1225" w:type="dxa"/>
            <w:tcBorders>
              <w:top w:val="single" w:sz="4" w:space="0" w:color="auto"/>
              <w:left w:val="nil"/>
              <w:bottom w:val="single" w:sz="4" w:space="0" w:color="auto"/>
              <w:right w:val="nil"/>
            </w:tcBorders>
            <w:shd w:val="clear" w:color="000000" w:fill="F2F2F2"/>
            <w:noWrap/>
            <w:vAlign w:val="center"/>
            <w:hideMark/>
          </w:tcPr>
          <w:p w14:paraId="479A66FB"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115</w:t>
            </w:r>
          </w:p>
        </w:tc>
        <w:tc>
          <w:tcPr>
            <w:tcW w:w="1225" w:type="dxa"/>
            <w:tcBorders>
              <w:top w:val="single" w:sz="4" w:space="0" w:color="auto"/>
              <w:left w:val="nil"/>
              <w:bottom w:val="single" w:sz="4" w:space="0" w:color="auto"/>
              <w:right w:val="nil"/>
            </w:tcBorders>
            <w:shd w:val="clear" w:color="000000" w:fill="F2F2F2"/>
            <w:noWrap/>
            <w:vAlign w:val="center"/>
            <w:hideMark/>
          </w:tcPr>
          <w:p w14:paraId="096D845A"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212</w:t>
            </w:r>
          </w:p>
        </w:tc>
        <w:tc>
          <w:tcPr>
            <w:tcW w:w="1225" w:type="dxa"/>
            <w:tcBorders>
              <w:top w:val="single" w:sz="4" w:space="0" w:color="auto"/>
              <w:left w:val="nil"/>
              <w:bottom w:val="single" w:sz="4" w:space="0" w:color="auto"/>
              <w:right w:val="nil"/>
            </w:tcBorders>
            <w:shd w:val="clear" w:color="000000" w:fill="F2F2F2"/>
            <w:noWrap/>
            <w:vAlign w:val="center"/>
            <w:hideMark/>
          </w:tcPr>
          <w:p w14:paraId="497B2A04"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278</w:t>
            </w:r>
          </w:p>
        </w:tc>
        <w:tc>
          <w:tcPr>
            <w:tcW w:w="1226" w:type="dxa"/>
            <w:tcBorders>
              <w:top w:val="single" w:sz="4" w:space="0" w:color="auto"/>
              <w:left w:val="nil"/>
              <w:bottom w:val="single" w:sz="4" w:space="0" w:color="auto"/>
              <w:right w:val="nil"/>
            </w:tcBorders>
            <w:shd w:val="clear" w:color="000000" w:fill="F2F2F2"/>
            <w:noWrap/>
            <w:vAlign w:val="center"/>
            <w:hideMark/>
          </w:tcPr>
          <w:p w14:paraId="1507B392"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315</w:t>
            </w:r>
          </w:p>
        </w:tc>
      </w:tr>
      <w:tr w:rsidR="0035314F" w:rsidRPr="00C64BA4" w14:paraId="5E9BA853" w14:textId="77777777" w:rsidTr="00516F66">
        <w:trPr>
          <w:trHeight w:val="321"/>
        </w:trPr>
        <w:tc>
          <w:tcPr>
            <w:tcW w:w="1732" w:type="dxa"/>
            <w:tcBorders>
              <w:top w:val="nil"/>
              <w:left w:val="nil"/>
              <w:bottom w:val="nil"/>
              <w:right w:val="nil"/>
            </w:tcBorders>
            <w:shd w:val="clear" w:color="auto" w:fill="auto"/>
            <w:noWrap/>
            <w:vAlign w:val="center"/>
            <w:hideMark/>
          </w:tcPr>
          <w:p w14:paraId="5B5BC046"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Deerfield</w:t>
            </w:r>
          </w:p>
        </w:tc>
        <w:tc>
          <w:tcPr>
            <w:tcW w:w="1225" w:type="dxa"/>
            <w:tcBorders>
              <w:top w:val="nil"/>
              <w:left w:val="nil"/>
              <w:bottom w:val="nil"/>
              <w:right w:val="nil"/>
            </w:tcBorders>
            <w:shd w:val="clear" w:color="auto" w:fill="auto"/>
            <w:noWrap/>
            <w:vAlign w:val="center"/>
            <w:hideMark/>
          </w:tcPr>
          <w:p w14:paraId="69EC2966"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85</w:t>
            </w:r>
          </w:p>
        </w:tc>
        <w:tc>
          <w:tcPr>
            <w:tcW w:w="1225" w:type="dxa"/>
            <w:tcBorders>
              <w:top w:val="nil"/>
              <w:left w:val="nil"/>
              <w:bottom w:val="nil"/>
              <w:right w:val="nil"/>
            </w:tcBorders>
            <w:shd w:val="clear" w:color="auto" w:fill="auto"/>
            <w:noWrap/>
            <w:vAlign w:val="center"/>
            <w:hideMark/>
          </w:tcPr>
          <w:p w14:paraId="23FD2472"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156</w:t>
            </w:r>
          </w:p>
        </w:tc>
        <w:tc>
          <w:tcPr>
            <w:tcW w:w="1225" w:type="dxa"/>
            <w:tcBorders>
              <w:top w:val="nil"/>
              <w:left w:val="nil"/>
              <w:bottom w:val="nil"/>
              <w:right w:val="nil"/>
            </w:tcBorders>
            <w:shd w:val="clear" w:color="auto" w:fill="auto"/>
            <w:noWrap/>
            <w:vAlign w:val="center"/>
            <w:hideMark/>
          </w:tcPr>
          <w:p w14:paraId="416BDC97"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204</w:t>
            </w:r>
          </w:p>
        </w:tc>
        <w:tc>
          <w:tcPr>
            <w:tcW w:w="1226" w:type="dxa"/>
            <w:tcBorders>
              <w:top w:val="nil"/>
              <w:left w:val="nil"/>
              <w:bottom w:val="nil"/>
              <w:right w:val="nil"/>
            </w:tcBorders>
            <w:shd w:val="clear" w:color="auto" w:fill="auto"/>
            <w:noWrap/>
            <w:vAlign w:val="center"/>
            <w:hideMark/>
          </w:tcPr>
          <w:p w14:paraId="61FA6904"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231</w:t>
            </w:r>
          </w:p>
        </w:tc>
      </w:tr>
      <w:tr w:rsidR="0035314F" w:rsidRPr="00C64BA4" w14:paraId="1B1178A0" w14:textId="77777777" w:rsidTr="00516F66">
        <w:trPr>
          <w:trHeight w:val="321"/>
        </w:trPr>
        <w:tc>
          <w:tcPr>
            <w:tcW w:w="1732" w:type="dxa"/>
            <w:tcBorders>
              <w:top w:val="single" w:sz="4" w:space="0" w:color="auto"/>
              <w:left w:val="nil"/>
              <w:bottom w:val="single" w:sz="4" w:space="0" w:color="auto"/>
              <w:right w:val="nil"/>
            </w:tcBorders>
            <w:shd w:val="clear" w:color="000000" w:fill="F2F2F2"/>
            <w:noWrap/>
            <w:vAlign w:val="center"/>
            <w:hideMark/>
          </w:tcPr>
          <w:p w14:paraId="14956B3F"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Derry</w:t>
            </w:r>
          </w:p>
        </w:tc>
        <w:tc>
          <w:tcPr>
            <w:tcW w:w="1225" w:type="dxa"/>
            <w:tcBorders>
              <w:top w:val="single" w:sz="4" w:space="0" w:color="auto"/>
              <w:left w:val="nil"/>
              <w:bottom w:val="single" w:sz="4" w:space="0" w:color="auto"/>
              <w:right w:val="nil"/>
            </w:tcBorders>
            <w:shd w:val="clear" w:color="000000" w:fill="F2F2F2"/>
            <w:noWrap/>
            <w:vAlign w:val="center"/>
            <w:hideMark/>
          </w:tcPr>
          <w:p w14:paraId="4340035D"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848</w:t>
            </w:r>
          </w:p>
        </w:tc>
        <w:tc>
          <w:tcPr>
            <w:tcW w:w="1225" w:type="dxa"/>
            <w:tcBorders>
              <w:top w:val="single" w:sz="4" w:space="0" w:color="auto"/>
              <w:left w:val="nil"/>
              <w:bottom w:val="single" w:sz="4" w:space="0" w:color="auto"/>
              <w:right w:val="nil"/>
            </w:tcBorders>
            <w:shd w:val="clear" w:color="000000" w:fill="F2F2F2"/>
            <w:noWrap/>
            <w:vAlign w:val="center"/>
            <w:hideMark/>
          </w:tcPr>
          <w:p w14:paraId="09CDD876"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1,559</w:t>
            </w:r>
          </w:p>
        </w:tc>
        <w:tc>
          <w:tcPr>
            <w:tcW w:w="1225" w:type="dxa"/>
            <w:tcBorders>
              <w:top w:val="single" w:sz="4" w:space="0" w:color="auto"/>
              <w:left w:val="nil"/>
              <w:bottom w:val="single" w:sz="4" w:space="0" w:color="auto"/>
              <w:right w:val="nil"/>
            </w:tcBorders>
            <w:shd w:val="clear" w:color="000000" w:fill="F2F2F2"/>
            <w:noWrap/>
            <w:vAlign w:val="center"/>
            <w:hideMark/>
          </w:tcPr>
          <w:p w14:paraId="38F5D9E5"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2,043</w:t>
            </w:r>
          </w:p>
        </w:tc>
        <w:tc>
          <w:tcPr>
            <w:tcW w:w="1226" w:type="dxa"/>
            <w:tcBorders>
              <w:top w:val="single" w:sz="4" w:space="0" w:color="auto"/>
              <w:left w:val="nil"/>
              <w:bottom w:val="single" w:sz="4" w:space="0" w:color="auto"/>
              <w:right w:val="nil"/>
            </w:tcBorders>
            <w:shd w:val="clear" w:color="000000" w:fill="F2F2F2"/>
            <w:noWrap/>
            <w:vAlign w:val="center"/>
            <w:hideMark/>
          </w:tcPr>
          <w:p w14:paraId="4AB4F46B"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2,309</w:t>
            </w:r>
          </w:p>
        </w:tc>
      </w:tr>
      <w:tr w:rsidR="0035314F" w:rsidRPr="00C64BA4" w14:paraId="2F4DF2FB" w14:textId="77777777" w:rsidTr="00516F66">
        <w:trPr>
          <w:trHeight w:val="321"/>
        </w:trPr>
        <w:tc>
          <w:tcPr>
            <w:tcW w:w="1732" w:type="dxa"/>
            <w:tcBorders>
              <w:top w:val="nil"/>
              <w:left w:val="nil"/>
              <w:bottom w:val="nil"/>
              <w:right w:val="nil"/>
            </w:tcBorders>
            <w:shd w:val="clear" w:color="auto" w:fill="auto"/>
            <w:noWrap/>
            <w:vAlign w:val="center"/>
            <w:hideMark/>
          </w:tcPr>
          <w:p w14:paraId="084D5E1B" w14:textId="77777777" w:rsidR="0035314F" w:rsidRPr="00C64BA4" w:rsidRDefault="0035314F" w:rsidP="00516F66">
            <w:pPr>
              <w:spacing w:after="0" w:line="300" w:lineRule="auto"/>
              <w:jc w:val="center"/>
              <w:rPr>
                <w:rFonts w:eastAsia="Times New Roman" w:cs="Calibri"/>
                <w:color w:val="000000"/>
              </w:rPr>
            </w:pPr>
            <w:proofErr w:type="spellStart"/>
            <w:r w:rsidRPr="00C64BA4">
              <w:rPr>
                <w:rFonts w:eastAsia="Times New Roman" w:cs="Calibri"/>
                <w:color w:val="000000"/>
              </w:rPr>
              <w:t>Francestown</w:t>
            </w:r>
            <w:proofErr w:type="spellEnd"/>
          </w:p>
        </w:tc>
        <w:tc>
          <w:tcPr>
            <w:tcW w:w="1225" w:type="dxa"/>
            <w:tcBorders>
              <w:top w:val="nil"/>
              <w:left w:val="nil"/>
              <w:bottom w:val="nil"/>
              <w:right w:val="nil"/>
            </w:tcBorders>
            <w:shd w:val="clear" w:color="auto" w:fill="auto"/>
            <w:noWrap/>
            <w:vAlign w:val="center"/>
            <w:hideMark/>
          </w:tcPr>
          <w:p w14:paraId="1B1FEC55"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35</w:t>
            </w:r>
          </w:p>
        </w:tc>
        <w:tc>
          <w:tcPr>
            <w:tcW w:w="1225" w:type="dxa"/>
            <w:tcBorders>
              <w:top w:val="nil"/>
              <w:left w:val="nil"/>
              <w:bottom w:val="nil"/>
              <w:right w:val="nil"/>
            </w:tcBorders>
            <w:shd w:val="clear" w:color="auto" w:fill="auto"/>
            <w:noWrap/>
            <w:vAlign w:val="center"/>
            <w:hideMark/>
          </w:tcPr>
          <w:p w14:paraId="32BA2709"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65</w:t>
            </w:r>
          </w:p>
        </w:tc>
        <w:tc>
          <w:tcPr>
            <w:tcW w:w="1225" w:type="dxa"/>
            <w:tcBorders>
              <w:top w:val="nil"/>
              <w:left w:val="nil"/>
              <w:bottom w:val="nil"/>
              <w:right w:val="nil"/>
            </w:tcBorders>
            <w:shd w:val="clear" w:color="auto" w:fill="auto"/>
            <w:noWrap/>
            <w:vAlign w:val="center"/>
            <w:hideMark/>
          </w:tcPr>
          <w:p w14:paraId="2A7859EA"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85</w:t>
            </w:r>
          </w:p>
        </w:tc>
        <w:tc>
          <w:tcPr>
            <w:tcW w:w="1226" w:type="dxa"/>
            <w:tcBorders>
              <w:top w:val="nil"/>
              <w:left w:val="nil"/>
              <w:bottom w:val="nil"/>
              <w:right w:val="nil"/>
            </w:tcBorders>
            <w:shd w:val="clear" w:color="auto" w:fill="auto"/>
            <w:noWrap/>
            <w:vAlign w:val="center"/>
            <w:hideMark/>
          </w:tcPr>
          <w:p w14:paraId="661E3115"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98</w:t>
            </w:r>
          </w:p>
        </w:tc>
      </w:tr>
      <w:tr w:rsidR="0035314F" w:rsidRPr="00C64BA4" w14:paraId="7A8F4F5A" w14:textId="77777777" w:rsidTr="00516F66">
        <w:trPr>
          <w:trHeight w:val="321"/>
        </w:trPr>
        <w:tc>
          <w:tcPr>
            <w:tcW w:w="1732" w:type="dxa"/>
            <w:tcBorders>
              <w:top w:val="single" w:sz="4" w:space="0" w:color="auto"/>
              <w:left w:val="nil"/>
              <w:bottom w:val="single" w:sz="4" w:space="0" w:color="auto"/>
              <w:right w:val="nil"/>
            </w:tcBorders>
            <w:shd w:val="clear" w:color="000000" w:fill="F2F2F2"/>
            <w:noWrap/>
            <w:vAlign w:val="center"/>
            <w:hideMark/>
          </w:tcPr>
          <w:p w14:paraId="5C6F66CA"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Goffstown</w:t>
            </w:r>
          </w:p>
        </w:tc>
        <w:tc>
          <w:tcPr>
            <w:tcW w:w="1225" w:type="dxa"/>
            <w:tcBorders>
              <w:top w:val="single" w:sz="4" w:space="0" w:color="auto"/>
              <w:left w:val="nil"/>
              <w:bottom w:val="single" w:sz="4" w:space="0" w:color="auto"/>
              <w:right w:val="nil"/>
            </w:tcBorders>
            <w:shd w:val="clear" w:color="000000" w:fill="F2F2F2"/>
            <w:noWrap/>
            <w:vAlign w:val="center"/>
            <w:hideMark/>
          </w:tcPr>
          <w:p w14:paraId="38C74AE5"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459</w:t>
            </w:r>
          </w:p>
        </w:tc>
        <w:tc>
          <w:tcPr>
            <w:tcW w:w="1225" w:type="dxa"/>
            <w:tcBorders>
              <w:top w:val="single" w:sz="4" w:space="0" w:color="auto"/>
              <w:left w:val="nil"/>
              <w:bottom w:val="single" w:sz="4" w:space="0" w:color="auto"/>
              <w:right w:val="nil"/>
            </w:tcBorders>
            <w:shd w:val="clear" w:color="000000" w:fill="F2F2F2"/>
            <w:noWrap/>
            <w:vAlign w:val="center"/>
            <w:hideMark/>
          </w:tcPr>
          <w:p w14:paraId="5091022A"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837</w:t>
            </w:r>
          </w:p>
        </w:tc>
        <w:tc>
          <w:tcPr>
            <w:tcW w:w="1225" w:type="dxa"/>
            <w:tcBorders>
              <w:top w:val="single" w:sz="4" w:space="0" w:color="auto"/>
              <w:left w:val="nil"/>
              <w:bottom w:val="single" w:sz="4" w:space="0" w:color="auto"/>
              <w:right w:val="nil"/>
            </w:tcBorders>
            <w:shd w:val="clear" w:color="000000" w:fill="F2F2F2"/>
            <w:noWrap/>
            <w:vAlign w:val="center"/>
            <w:hideMark/>
          </w:tcPr>
          <w:p w14:paraId="660CF054"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1,101</w:t>
            </w:r>
          </w:p>
        </w:tc>
        <w:tc>
          <w:tcPr>
            <w:tcW w:w="1226" w:type="dxa"/>
            <w:tcBorders>
              <w:top w:val="single" w:sz="4" w:space="0" w:color="auto"/>
              <w:left w:val="nil"/>
              <w:bottom w:val="single" w:sz="4" w:space="0" w:color="auto"/>
              <w:right w:val="nil"/>
            </w:tcBorders>
            <w:shd w:val="clear" w:color="000000" w:fill="F2F2F2"/>
            <w:noWrap/>
            <w:vAlign w:val="center"/>
            <w:hideMark/>
          </w:tcPr>
          <w:p w14:paraId="196CB603"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1,267</w:t>
            </w:r>
          </w:p>
        </w:tc>
      </w:tr>
      <w:tr w:rsidR="0035314F" w:rsidRPr="00C64BA4" w14:paraId="7FC94F62" w14:textId="77777777" w:rsidTr="00516F66">
        <w:trPr>
          <w:trHeight w:val="321"/>
        </w:trPr>
        <w:tc>
          <w:tcPr>
            <w:tcW w:w="1732" w:type="dxa"/>
            <w:tcBorders>
              <w:top w:val="nil"/>
              <w:left w:val="nil"/>
              <w:bottom w:val="nil"/>
              <w:right w:val="nil"/>
            </w:tcBorders>
            <w:shd w:val="clear" w:color="auto" w:fill="auto"/>
            <w:noWrap/>
            <w:vAlign w:val="center"/>
            <w:hideMark/>
          </w:tcPr>
          <w:p w14:paraId="66E42DB9"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Hooksett</w:t>
            </w:r>
          </w:p>
        </w:tc>
        <w:tc>
          <w:tcPr>
            <w:tcW w:w="1225" w:type="dxa"/>
            <w:tcBorders>
              <w:top w:val="nil"/>
              <w:left w:val="nil"/>
              <w:bottom w:val="nil"/>
              <w:right w:val="nil"/>
            </w:tcBorders>
            <w:shd w:val="clear" w:color="auto" w:fill="auto"/>
            <w:noWrap/>
            <w:vAlign w:val="center"/>
            <w:hideMark/>
          </w:tcPr>
          <w:p w14:paraId="5ABB0020"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357</w:t>
            </w:r>
          </w:p>
        </w:tc>
        <w:tc>
          <w:tcPr>
            <w:tcW w:w="1225" w:type="dxa"/>
            <w:tcBorders>
              <w:top w:val="nil"/>
              <w:left w:val="nil"/>
              <w:bottom w:val="nil"/>
              <w:right w:val="nil"/>
            </w:tcBorders>
            <w:shd w:val="clear" w:color="auto" w:fill="auto"/>
            <w:noWrap/>
            <w:vAlign w:val="center"/>
            <w:hideMark/>
          </w:tcPr>
          <w:p w14:paraId="5300B75F"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656</w:t>
            </w:r>
          </w:p>
        </w:tc>
        <w:tc>
          <w:tcPr>
            <w:tcW w:w="1225" w:type="dxa"/>
            <w:tcBorders>
              <w:top w:val="nil"/>
              <w:left w:val="nil"/>
              <w:bottom w:val="nil"/>
              <w:right w:val="nil"/>
            </w:tcBorders>
            <w:shd w:val="clear" w:color="auto" w:fill="auto"/>
            <w:noWrap/>
            <w:vAlign w:val="center"/>
            <w:hideMark/>
          </w:tcPr>
          <w:p w14:paraId="5D8798FE"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857</w:t>
            </w:r>
          </w:p>
        </w:tc>
        <w:tc>
          <w:tcPr>
            <w:tcW w:w="1226" w:type="dxa"/>
            <w:tcBorders>
              <w:top w:val="nil"/>
              <w:left w:val="nil"/>
              <w:bottom w:val="nil"/>
              <w:right w:val="nil"/>
            </w:tcBorders>
            <w:shd w:val="clear" w:color="auto" w:fill="auto"/>
            <w:noWrap/>
            <w:vAlign w:val="center"/>
            <w:hideMark/>
          </w:tcPr>
          <w:p w14:paraId="36052E2D"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968</w:t>
            </w:r>
          </w:p>
        </w:tc>
      </w:tr>
      <w:tr w:rsidR="0035314F" w:rsidRPr="00C64BA4" w14:paraId="300D3B6D" w14:textId="77777777" w:rsidTr="00516F66">
        <w:trPr>
          <w:trHeight w:val="321"/>
        </w:trPr>
        <w:tc>
          <w:tcPr>
            <w:tcW w:w="1732" w:type="dxa"/>
            <w:tcBorders>
              <w:top w:val="single" w:sz="4" w:space="0" w:color="auto"/>
              <w:left w:val="nil"/>
              <w:bottom w:val="single" w:sz="4" w:space="0" w:color="auto"/>
              <w:right w:val="nil"/>
            </w:tcBorders>
            <w:shd w:val="clear" w:color="000000" w:fill="F2F2F2"/>
            <w:noWrap/>
            <w:vAlign w:val="center"/>
            <w:hideMark/>
          </w:tcPr>
          <w:p w14:paraId="68F7570A"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Londonderry</w:t>
            </w:r>
          </w:p>
        </w:tc>
        <w:tc>
          <w:tcPr>
            <w:tcW w:w="1225" w:type="dxa"/>
            <w:tcBorders>
              <w:top w:val="single" w:sz="4" w:space="0" w:color="auto"/>
              <w:left w:val="nil"/>
              <w:bottom w:val="single" w:sz="4" w:space="0" w:color="auto"/>
              <w:right w:val="nil"/>
            </w:tcBorders>
            <w:shd w:val="clear" w:color="000000" w:fill="F2F2F2"/>
            <w:noWrap/>
            <w:vAlign w:val="center"/>
            <w:hideMark/>
          </w:tcPr>
          <w:p w14:paraId="73D2FEF5"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609</w:t>
            </w:r>
          </w:p>
        </w:tc>
        <w:tc>
          <w:tcPr>
            <w:tcW w:w="1225" w:type="dxa"/>
            <w:tcBorders>
              <w:top w:val="single" w:sz="4" w:space="0" w:color="auto"/>
              <w:left w:val="nil"/>
              <w:bottom w:val="single" w:sz="4" w:space="0" w:color="auto"/>
              <w:right w:val="nil"/>
            </w:tcBorders>
            <w:shd w:val="clear" w:color="000000" w:fill="F2F2F2"/>
            <w:noWrap/>
            <w:vAlign w:val="center"/>
            <w:hideMark/>
          </w:tcPr>
          <w:p w14:paraId="008C0587"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1,121</w:t>
            </w:r>
          </w:p>
        </w:tc>
        <w:tc>
          <w:tcPr>
            <w:tcW w:w="1225" w:type="dxa"/>
            <w:tcBorders>
              <w:top w:val="single" w:sz="4" w:space="0" w:color="auto"/>
              <w:left w:val="nil"/>
              <w:bottom w:val="single" w:sz="4" w:space="0" w:color="auto"/>
              <w:right w:val="nil"/>
            </w:tcBorders>
            <w:shd w:val="clear" w:color="000000" w:fill="F2F2F2"/>
            <w:noWrap/>
            <w:vAlign w:val="center"/>
            <w:hideMark/>
          </w:tcPr>
          <w:p w14:paraId="16BCBDB9"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1,469</w:t>
            </w:r>
          </w:p>
        </w:tc>
        <w:tc>
          <w:tcPr>
            <w:tcW w:w="1226" w:type="dxa"/>
            <w:tcBorders>
              <w:top w:val="single" w:sz="4" w:space="0" w:color="auto"/>
              <w:left w:val="nil"/>
              <w:bottom w:val="single" w:sz="4" w:space="0" w:color="auto"/>
              <w:right w:val="nil"/>
            </w:tcBorders>
            <w:shd w:val="clear" w:color="000000" w:fill="F2F2F2"/>
            <w:noWrap/>
            <w:vAlign w:val="center"/>
            <w:hideMark/>
          </w:tcPr>
          <w:p w14:paraId="61C72617"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1,660</w:t>
            </w:r>
          </w:p>
        </w:tc>
      </w:tr>
      <w:tr w:rsidR="0035314F" w:rsidRPr="00C64BA4" w14:paraId="55033D15" w14:textId="77777777" w:rsidTr="00516F66">
        <w:trPr>
          <w:trHeight w:val="321"/>
        </w:trPr>
        <w:tc>
          <w:tcPr>
            <w:tcW w:w="1732" w:type="dxa"/>
            <w:tcBorders>
              <w:top w:val="nil"/>
              <w:left w:val="nil"/>
              <w:bottom w:val="nil"/>
              <w:right w:val="nil"/>
            </w:tcBorders>
            <w:shd w:val="clear" w:color="auto" w:fill="auto"/>
            <w:noWrap/>
            <w:vAlign w:val="center"/>
            <w:hideMark/>
          </w:tcPr>
          <w:p w14:paraId="06AD9885"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Manchester</w:t>
            </w:r>
          </w:p>
        </w:tc>
        <w:tc>
          <w:tcPr>
            <w:tcW w:w="1225" w:type="dxa"/>
            <w:tcBorders>
              <w:top w:val="nil"/>
              <w:left w:val="nil"/>
              <w:bottom w:val="nil"/>
              <w:right w:val="nil"/>
            </w:tcBorders>
            <w:shd w:val="clear" w:color="auto" w:fill="auto"/>
            <w:noWrap/>
            <w:vAlign w:val="center"/>
            <w:hideMark/>
          </w:tcPr>
          <w:p w14:paraId="4CC0EA93"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3,171</w:t>
            </w:r>
          </w:p>
        </w:tc>
        <w:tc>
          <w:tcPr>
            <w:tcW w:w="1225" w:type="dxa"/>
            <w:tcBorders>
              <w:top w:val="nil"/>
              <w:left w:val="nil"/>
              <w:bottom w:val="nil"/>
              <w:right w:val="nil"/>
            </w:tcBorders>
            <w:shd w:val="clear" w:color="auto" w:fill="auto"/>
            <w:noWrap/>
            <w:vAlign w:val="center"/>
            <w:hideMark/>
          </w:tcPr>
          <w:p w14:paraId="1FF3F574"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5,787</w:t>
            </w:r>
          </w:p>
        </w:tc>
        <w:tc>
          <w:tcPr>
            <w:tcW w:w="1225" w:type="dxa"/>
            <w:tcBorders>
              <w:top w:val="nil"/>
              <w:left w:val="nil"/>
              <w:bottom w:val="nil"/>
              <w:right w:val="nil"/>
            </w:tcBorders>
            <w:shd w:val="clear" w:color="auto" w:fill="auto"/>
            <w:noWrap/>
            <w:vAlign w:val="center"/>
            <w:hideMark/>
          </w:tcPr>
          <w:p w14:paraId="6D1C13C4"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7,605</w:t>
            </w:r>
          </w:p>
        </w:tc>
        <w:tc>
          <w:tcPr>
            <w:tcW w:w="1226" w:type="dxa"/>
            <w:tcBorders>
              <w:top w:val="nil"/>
              <w:left w:val="nil"/>
              <w:bottom w:val="nil"/>
              <w:right w:val="nil"/>
            </w:tcBorders>
            <w:shd w:val="clear" w:color="auto" w:fill="auto"/>
            <w:noWrap/>
            <w:vAlign w:val="center"/>
            <w:hideMark/>
          </w:tcPr>
          <w:p w14:paraId="692F41FC"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8,738</w:t>
            </w:r>
          </w:p>
        </w:tc>
      </w:tr>
      <w:tr w:rsidR="0035314F" w:rsidRPr="00C64BA4" w14:paraId="1280EB92" w14:textId="77777777" w:rsidTr="00516F66">
        <w:trPr>
          <w:trHeight w:val="321"/>
        </w:trPr>
        <w:tc>
          <w:tcPr>
            <w:tcW w:w="1732" w:type="dxa"/>
            <w:tcBorders>
              <w:top w:val="single" w:sz="4" w:space="0" w:color="auto"/>
              <w:left w:val="nil"/>
              <w:bottom w:val="single" w:sz="4" w:space="0" w:color="auto"/>
              <w:right w:val="nil"/>
            </w:tcBorders>
            <w:shd w:val="clear" w:color="000000" w:fill="F2F2F2"/>
            <w:noWrap/>
            <w:vAlign w:val="center"/>
            <w:hideMark/>
          </w:tcPr>
          <w:p w14:paraId="784B34FA"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New Boston</w:t>
            </w:r>
          </w:p>
        </w:tc>
        <w:tc>
          <w:tcPr>
            <w:tcW w:w="1225" w:type="dxa"/>
            <w:tcBorders>
              <w:top w:val="single" w:sz="4" w:space="0" w:color="auto"/>
              <w:left w:val="nil"/>
              <w:bottom w:val="single" w:sz="4" w:space="0" w:color="auto"/>
              <w:right w:val="nil"/>
            </w:tcBorders>
            <w:shd w:val="clear" w:color="000000" w:fill="F2F2F2"/>
            <w:noWrap/>
            <w:vAlign w:val="center"/>
            <w:hideMark/>
          </w:tcPr>
          <w:p w14:paraId="783C5FAA"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144</w:t>
            </w:r>
          </w:p>
        </w:tc>
        <w:tc>
          <w:tcPr>
            <w:tcW w:w="1225" w:type="dxa"/>
            <w:tcBorders>
              <w:top w:val="single" w:sz="4" w:space="0" w:color="auto"/>
              <w:left w:val="nil"/>
              <w:bottom w:val="single" w:sz="4" w:space="0" w:color="auto"/>
              <w:right w:val="nil"/>
            </w:tcBorders>
            <w:shd w:val="clear" w:color="000000" w:fill="F2F2F2"/>
            <w:noWrap/>
            <w:vAlign w:val="center"/>
            <w:hideMark/>
          </w:tcPr>
          <w:p w14:paraId="3F2EFEE9"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264</w:t>
            </w:r>
          </w:p>
        </w:tc>
        <w:tc>
          <w:tcPr>
            <w:tcW w:w="1225" w:type="dxa"/>
            <w:tcBorders>
              <w:top w:val="single" w:sz="4" w:space="0" w:color="auto"/>
              <w:left w:val="nil"/>
              <w:bottom w:val="single" w:sz="4" w:space="0" w:color="auto"/>
              <w:right w:val="nil"/>
            </w:tcBorders>
            <w:shd w:val="clear" w:color="000000" w:fill="F2F2F2"/>
            <w:noWrap/>
            <w:vAlign w:val="center"/>
            <w:hideMark/>
          </w:tcPr>
          <w:p w14:paraId="08F5F7C1"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347</w:t>
            </w:r>
          </w:p>
        </w:tc>
        <w:tc>
          <w:tcPr>
            <w:tcW w:w="1226" w:type="dxa"/>
            <w:tcBorders>
              <w:top w:val="single" w:sz="4" w:space="0" w:color="auto"/>
              <w:left w:val="nil"/>
              <w:bottom w:val="single" w:sz="4" w:space="0" w:color="auto"/>
              <w:right w:val="nil"/>
            </w:tcBorders>
            <w:shd w:val="clear" w:color="000000" w:fill="F2F2F2"/>
            <w:noWrap/>
            <w:vAlign w:val="center"/>
            <w:hideMark/>
          </w:tcPr>
          <w:p w14:paraId="5F2E690C"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399</w:t>
            </w:r>
          </w:p>
        </w:tc>
      </w:tr>
      <w:tr w:rsidR="0035314F" w:rsidRPr="00C64BA4" w14:paraId="0B4FE328" w14:textId="77777777" w:rsidTr="00516F66">
        <w:trPr>
          <w:trHeight w:val="321"/>
        </w:trPr>
        <w:tc>
          <w:tcPr>
            <w:tcW w:w="1732" w:type="dxa"/>
            <w:tcBorders>
              <w:top w:val="nil"/>
              <w:left w:val="nil"/>
              <w:bottom w:val="nil"/>
              <w:right w:val="nil"/>
            </w:tcBorders>
            <w:shd w:val="clear" w:color="auto" w:fill="auto"/>
            <w:noWrap/>
            <w:vAlign w:val="center"/>
            <w:hideMark/>
          </w:tcPr>
          <w:p w14:paraId="76D9FD54" w14:textId="77777777" w:rsidR="0035314F" w:rsidRPr="00C64BA4" w:rsidRDefault="0035314F" w:rsidP="00516F66">
            <w:pPr>
              <w:spacing w:after="0" w:line="300" w:lineRule="auto"/>
              <w:jc w:val="center"/>
              <w:rPr>
                <w:rFonts w:eastAsia="Times New Roman" w:cs="Calibri"/>
                <w:color w:val="000000"/>
              </w:rPr>
            </w:pPr>
            <w:proofErr w:type="spellStart"/>
            <w:r w:rsidRPr="00C64BA4">
              <w:rPr>
                <w:rFonts w:eastAsia="Times New Roman" w:cs="Calibri"/>
                <w:color w:val="000000"/>
              </w:rPr>
              <w:t>Weare</w:t>
            </w:r>
            <w:proofErr w:type="spellEnd"/>
          </w:p>
        </w:tc>
        <w:tc>
          <w:tcPr>
            <w:tcW w:w="1225" w:type="dxa"/>
            <w:tcBorders>
              <w:top w:val="nil"/>
              <w:left w:val="nil"/>
              <w:bottom w:val="nil"/>
              <w:right w:val="nil"/>
            </w:tcBorders>
            <w:shd w:val="clear" w:color="auto" w:fill="auto"/>
            <w:noWrap/>
            <w:vAlign w:val="center"/>
            <w:hideMark/>
          </w:tcPr>
          <w:p w14:paraId="23D86FAF"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230</w:t>
            </w:r>
          </w:p>
        </w:tc>
        <w:tc>
          <w:tcPr>
            <w:tcW w:w="1225" w:type="dxa"/>
            <w:tcBorders>
              <w:top w:val="nil"/>
              <w:left w:val="nil"/>
              <w:bottom w:val="nil"/>
              <w:right w:val="nil"/>
            </w:tcBorders>
            <w:shd w:val="clear" w:color="auto" w:fill="auto"/>
            <w:noWrap/>
            <w:vAlign w:val="center"/>
            <w:hideMark/>
          </w:tcPr>
          <w:p w14:paraId="41416344"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419</w:t>
            </w:r>
          </w:p>
        </w:tc>
        <w:tc>
          <w:tcPr>
            <w:tcW w:w="1225" w:type="dxa"/>
            <w:tcBorders>
              <w:top w:val="nil"/>
              <w:left w:val="nil"/>
              <w:bottom w:val="nil"/>
              <w:right w:val="nil"/>
            </w:tcBorders>
            <w:shd w:val="clear" w:color="auto" w:fill="auto"/>
            <w:noWrap/>
            <w:vAlign w:val="center"/>
            <w:hideMark/>
          </w:tcPr>
          <w:p w14:paraId="048A079E"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551</w:t>
            </w:r>
          </w:p>
        </w:tc>
        <w:tc>
          <w:tcPr>
            <w:tcW w:w="1226" w:type="dxa"/>
            <w:tcBorders>
              <w:top w:val="nil"/>
              <w:left w:val="nil"/>
              <w:bottom w:val="nil"/>
              <w:right w:val="nil"/>
            </w:tcBorders>
            <w:shd w:val="clear" w:color="auto" w:fill="auto"/>
            <w:noWrap/>
            <w:vAlign w:val="center"/>
            <w:hideMark/>
          </w:tcPr>
          <w:p w14:paraId="3E52D8B1"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634</w:t>
            </w:r>
          </w:p>
        </w:tc>
      </w:tr>
      <w:tr w:rsidR="0035314F" w:rsidRPr="00C64BA4" w14:paraId="3C21245C" w14:textId="77777777" w:rsidTr="00516F66">
        <w:trPr>
          <w:trHeight w:val="337"/>
        </w:trPr>
        <w:tc>
          <w:tcPr>
            <w:tcW w:w="1732" w:type="dxa"/>
            <w:tcBorders>
              <w:top w:val="single" w:sz="4" w:space="0" w:color="auto"/>
              <w:left w:val="nil"/>
              <w:bottom w:val="single" w:sz="12" w:space="0" w:color="404040" w:themeColor="text1" w:themeTint="BF"/>
              <w:right w:val="nil"/>
            </w:tcBorders>
            <w:shd w:val="clear" w:color="000000" w:fill="F2F2F2"/>
            <w:noWrap/>
            <w:vAlign w:val="center"/>
            <w:hideMark/>
          </w:tcPr>
          <w:p w14:paraId="12CA3BBE"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Windham</w:t>
            </w:r>
          </w:p>
        </w:tc>
        <w:tc>
          <w:tcPr>
            <w:tcW w:w="1225" w:type="dxa"/>
            <w:tcBorders>
              <w:top w:val="single" w:sz="4" w:space="0" w:color="auto"/>
              <w:left w:val="nil"/>
              <w:bottom w:val="single" w:sz="12" w:space="0" w:color="404040" w:themeColor="text1" w:themeTint="BF"/>
              <w:right w:val="nil"/>
            </w:tcBorders>
            <w:shd w:val="clear" w:color="000000" w:fill="F2F2F2"/>
            <w:noWrap/>
            <w:vAlign w:val="center"/>
            <w:hideMark/>
          </w:tcPr>
          <w:p w14:paraId="7362A310"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343</w:t>
            </w:r>
          </w:p>
        </w:tc>
        <w:tc>
          <w:tcPr>
            <w:tcW w:w="1225" w:type="dxa"/>
            <w:tcBorders>
              <w:top w:val="single" w:sz="4" w:space="0" w:color="auto"/>
              <w:left w:val="nil"/>
              <w:bottom w:val="single" w:sz="12" w:space="0" w:color="404040" w:themeColor="text1" w:themeTint="BF"/>
              <w:right w:val="nil"/>
            </w:tcBorders>
            <w:shd w:val="clear" w:color="000000" w:fill="F2F2F2"/>
            <w:noWrap/>
            <w:vAlign w:val="center"/>
            <w:hideMark/>
          </w:tcPr>
          <w:p w14:paraId="2A16A21D"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631</w:t>
            </w:r>
          </w:p>
        </w:tc>
        <w:tc>
          <w:tcPr>
            <w:tcW w:w="1225" w:type="dxa"/>
            <w:tcBorders>
              <w:top w:val="single" w:sz="4" w:space="0" w:color="auto"/>
              <w:left w:val="nil"/>
              <w:bottom w:val="single" w:sz="12" w:space="0" w:color="404040" w:themeColor="text1" w:themeTint="BF"/>
              <w:right w:val="nil"/>
            </w:tcBorders>
            <w:shd w:val="clear" w:color="000000" w:fill="F2F2F2"/>
            <w:noWrap/>
            <w:vAlign w:val="center"/>
            <w:hideMark/>
          </w:tcPr>
          <w:p w14:paraId="4155EB68"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826</w:t>
            </w:r>
          </w:p>
        </w:tc>
        <w:tc>
          <w:tcPr>
            <w:tcW w:w="1226" w:type="dxa"/>
            <w:tcBorders>
              <w:top w:val="single" w:sz="4" w:space="0" w:color="auto"/>
              <w:left w:val="nil"/>
              <w:bottom w:val="single" w:sz="12" w:space="0" w:color="404040" w:themeColor="text1" w:themeTint="BF"/>
              <w:right w:val="nil"/>
            </w:tcBorders>
            <w:shd w:val="clear" w:color="000000" w:fill="F2F2F2"/>
            <w:noWrap/>
            <w:vAlign w:val="center"/>
            <w:hideMark/>
          </w:tcPr>
          <w:p w14:paraId="1834C974"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935</w:t>
            </w:r>
          </w:p>
        </w:tc>
      </w:tr>
      <w:tr w:rsidR="0035314F" w:rsidRPr="00C64BA4" w14:paraId="09DB698A" w14:textId="77777777" w:rsidTr="00516F66">
        <w:trPr>
          <w:trHeight w:val="337"/>
        </w:trPr>
        <w:tc>
          <w:tcPr>
            <w:tcW w:w="1732"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5E7CA042"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SNHPC</w:t>
            </w:r>
          </w:p>
        </w:tc>
        <w:tc>
          <w:tcPr>
            <w:tcW w:w="1225"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6E1CDEB6"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7,212</w:t>
            </w:r>
          </w:p>
        </w:tc>
        <w:tc>
          <w:tcPr>
            <w:tcW w:w="1225"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6498EB0B"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13,197</w:t>
            </w:r>
          </w:p>
        </w:tc>
        <w:tc>
          <w:tcPr>
            <w:tcW w:w="1225"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597DF9CF"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17,327</w:t>
            </w:r>
          </w:p>
        </w:tc>
        <w:tc>
          <w:tcPr>
            <w:tcW w:w="1226"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50E55ADB"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19,800</w:t>
            </w:r>
          </w:p>
        </w:tc>
      </w:tr>
      <w:tr w:rsidR="0035314F" w:rsidRPr="00C64BA4" w14:paraId="6BCE7402" w14:textId="77777777" w:rsidTr="00516F66">
        <w:trPr>
          <w:trHeight w:val="321"/>
        </w:trPr>
        <w:tc>
          <w:tcPr>
            <w:tcW w:w="1732" w:type="dxa"/>
            <w:tcBorders>
              <w:top w:val="single" w:sz="12" w:space="0" w:color="404040" w:themeColor="text1" w:themeTint="BF"/>
              <w:left w:val="nil"/>
              <w:bottom w:val="nil"/>
              <w:right w:val="nil"/>
            </w:tcBorders>
            <w:shd w:val="clear" w:color="000000" w:fill="F2F2F2"/>
            <w:noWrap/>
            <w:vAlign w:val="center"/>
            <w:hideMark/>
          </w:tcPr>
          <w:p w14:paraId="416C8EC7"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NH</w:t>
            </w:r>
          </w:p>
        </w:tc>
        <w:tc>
          <w:tcPr>
            <w:tcW w:w="1225" w:type="dxa"/>
            <w:tcBorders>
              <w:top w:val="single" w:sz="12" w:space="0" w:color="404040" w:themeColor="text1" w:themeTint="BF"/>
              <w:left w:val="nil"/>
              <w:bottom w:val="nil"/>
              <w:right w:val="nil"/>
            </w:tcBorders>
            <w:shd w:val="clear" w:color="000000" w:fill="F2F2F2"/>
            <w:noWrap/>
            <w:vAlign w:val="center"/>
            <w:hideMark/>
          </w:tcPr>
          <w:p w14:paraId="7CAE323E"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32,704</w:t>
            </w:r>
          </w:p>
        </w:tc>
        <w:tc>
          <w:tcPr>
            <w:tcW w:w="1225" w:type="dxa"/>
            <w:tcBorders>
              <w:top w:val="single" w:sz="12" w:space="0" w:color="404040" w:themeColor="text1" w:themeTint="BF"/>
              <w:left w:val="nil"/>
              <w:bottom w:val="nil"/>
              <w:right w:val="nil"/>
            </w:tcBorders>
            <w:shd w:val="clear" w:color="000000" w:fill="F2F2F2"/>
            <w:noWrap/>
            <w:vAlign w:val="center"/>
            <w:hideMark/>
          </w:tcPr>
          <w:p w14:paraId="41CA7F71"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59,919</w:t>
            </w:r>
          </w:p>
        </w:tc>
        <w:tc>
          <w:tcPr>
            <w:tcW w:w="1225" w:type="dxa"/>
            <w:tcBorders>
              <w:top w:val="single" w:sz="12" w:space="0" w:color="404040" w:themeColor="text1" w:themeTint="BF"/>
              <w:left w:val="nil"/>
              <w:bottom w:val="nil"/>
              <w:right w:val="nil"/>
            </w:tcBorders>
            <w:shd w:val="clear" w:color="000000" w:fill="F2F2F2"/>
            <w:noWrap/>
            <w:vAlign w:val="center"/>
            <w:hideMark/>
          </w:tcPr>
          <w:p w14:paraId="1087E2E7"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77,969</w:t>
            </w:r>
          </w:p>
        </w:tc>
        <w:tc>
          <w:tcPr>
            <w:tcW w:w="1226" w:type="dxa"/>
            <w:tcBorders>
              <w:top w:val="single" w:sz="12" w:space="0" w:color="404040" w:themeColor="text1" w:themeTint="BF"/>
              <w:left w:val="nil"/>
              <w:bottom w:val="nil"/>
              <w:right w:val="nil"/>
            </w:tcBorders>
            <w:shd w:val="clear" w:color="000000" w:fill="F2F2F2"/>
            <w:noWrap/>
            <w:vAlign w:val="center"/>
            <w:hideMark/>
          </w:tcPr>
          <w:p w14:paraId="48186B05" w14:textId="77777777" w:rsidR="0035314F" w:rsidRPr="00C64BA4" w:rsidRDefault="0035314F" w:rsidP="00516F66">
            <w:pPr>
              <w:spacing w:after="0" w:line="300" w:lineRule="auto"/>
              <w:jc w:val="center"/>
              <w:rPr>
                <w:rFonts w:eastAsia="Times New Roman" w:cs="Calibri"/>
                <w:color w:val="000000"/>
              </w:rPr>
            </w:pPr>
            <w:r w:rsidRPr="00C64BA4">
              <w:rPr>
                <w:rFonts w:eastAsia="Times New Roman" w:cs="Calibri"/>
                <w:color w:val="000000"/>
              </w:rPr>
              <w:t>88,363</w:t>
            </w:r>
          </w:p>
        </w:tc>
      </w:tr>
      <w:tr w:rsidR="0035314F" w:rsidRPr="00C64BA4" w14:paraId="024FAB90" w14:textId="77777777" w:rsidTr="0035314F">
        <w:trPr>
          <w:trHeight w:val="321"/>
        </w:trPr>
        <w:tc>
          <w:tcPr>
            <w:tcW w:w="6633" w:type="dxa"/>
            <w:gridSpan w:val="5"/>
            <w:tcBorders>
              <w:top w:val="nil"/>
              <w:left w:val="nil"/>
              <w:bottom w:val="nil"/>
              <w:right w:val="nil"/>
            </w:tcBorders>
            <w:shd w:val="clear" w:color="auto" w:fill="auto"/>
            <w:noWrap/>
            <w:vAlign w:val="center"/>
            <w:hideMark/>
          </w:tcPr>
          <w:p w14:paraId="6A455EB8" w14:textId="6436537B" w:rsidR="0035314F" w:rsidRPr="00C64BA4" w:rsidRDefault="0035314F" w:rsidP="0035314F">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Root Policy</w:t>
            </w:r>
            <w:r w:rsidR="00582975">
              <w:rPr>
                <w:rFonts w:eastAsia="Times New Roman" w:cs="Calibri"/>
                <w:color w:val="000000"/>
                <w:sz w:val="20"/>
                <w:szCs w:val="20"/>
              </w:rPr>
              <w:t xml:space="preserve"> Research</w:t>
            </w:r>
          </w:p>
        </w:tc>
      </w:tr>
    </w:tbl>
    <w:p w14:paraId="46AAB8A8" w14:textId="4BFFD067" w:rsidR="0035314F" w:rsidRDefault="0035314F" w:rsidP="0035314F">
      <w:pPr>
        <w:pStyle w:val="Caption"/>
        <w:keepNext/>
        <w:spacing w:line="300" w:lineRule="auto"/>
      </w:pPr>
      <w:bookmarkStart w:id="186" w:name="_Ref127970113"/>
      <w:bookmarkStart w:id="187" w:name="_Toc128137922"/>
      <w:r>
        <w:t xml:space="preserve">Table </w:t>
      </w:r>
      <w:r w:rsidR="0062538A">
        <w:fldChar w:fldCharType="begin"/>
      </w:r>
      <w:r w:rsidR="0062538A">
        <w:instrText xml:space="preserve"> SEQ Table \* ARABIC </w:instrText>
      </w:r>
      <w:r w:rsidR="0062538A">
        <w:fldChar w:fldCharType="separate"/>
      </w:r>
      <w:r w:rsidR="008B512A">
        <w:rPr>
          <w:noProof/>
        </w:rPr>
        <w:t>31</w:t>
      </w:r>
      <w:r w:rsidR="0062538A">
        <w:rPr>
          <w:noProof/>
        </w:rPr>
        <w:fldChar w:fldCharType="end"/>
      </w:r>
      <w:bookmarkEnd w:id="186"/>
      <w:r>
        <w:t>: Fair Share Cumulative Net New Housing Units</w:t>
      </w:r>
      <w:bookmarkEnd w:id="187"/>
    </w:p>
    <w:p w14:paraId="7EBBEE32" w14:textId="77777777" w:rsidR="00024F47" w:rsidRDefault="00024F47" w:rsidP="00206C45">
      <w:pPr>
        <w:spacing w:line="300" w:lineRule="auto"/>
        <w:rPr>
          <w:rFonts w:eastAsia="Tw Cen MT" w:cs="Tw Cen MT"/>
        </w:rPr>
      </w:pPr>
    </w:p>
    <w:p w14:paraId="4FEEBB99" w14:textId="77777777" w:rsidR="00024F47" w:rsidRDefault="00024F47" w:rsidP="00206C45">
      <w:pPr>
        <w:spacing w:line="300" w:lineRule="auto"/>
        <w:rPr>
          <w:rFonts w:eastAsia="Tw Cen MT" w:cs="Tw Cen MT"/>
        </w:rPr>
      </w:pPr>
    </w:p>
    <w:p w14:paraId="51CC54E0" w14:textId="77777777" w:rsidR="00024F47" w:rsidRDefault="00024F47" w:rsidP="00206C45">
      <w:pPr>
        <w:spacing w:line="300" w:lineRule="auto"/>
        <w:rPr>
          <w:rFonts w:eastAsia="Tw Cen MT" w:cs="Tw Cen MT"/>
        </w:rPr>
      </w:pPr>
    </w:p>
    <w:p w14:paraId="1EB5FD9C" w14:textId="77777777" w:rsidR="00024F47" w:rsidRDefault="00024F47" w:rsidP="00206C45">
      <w:pPr>
        <w:spacing w:line="300" w:lineRule="auto"/>
        <w:rPr>
          <w:rFonts w:eastAsia="Tw Cen MT" w:cs="Tw Cen MT"/>
        </w:rPr>
      </w:pPr>
    </w:p>
    <w:p w14:paraId="126A1796" w14:textId="77777777" w:rsidR="00024F47" w:rsidRDefault="00024F47" w:rsidP="00206C45">
      <w:pPr>
        <w:spacing w:line="300" w:lineRule="auto"/>
        <w:rPr>
          <w:rFonts w:eastAsia="Tw Cen MT" w:cs="Tw Cen MT"/>
        </w:rPr>
      </w:pPr>
    </w:p>
    <w:p w14:paraId="213C0047" w14:textId="77777777" w:rsidR="00024F47" w:rsidRDefault="00024F47" w:rsidP="00206C45">
      <w:pPr>
        <w:spacing w:line="300" w:lineRule="auto"/>
        <w:rPr>
          <w:rFonts w:eastAsia="Tw Cen MT" w:cs="Tw Cen MT"/>
        </w:rPr>
      </w:pPr>
    </w:p>
    <w:p w14:paraId="4E191DEB" w14:textId="77777777" w:rsidR="00024F47" w:rsidRDefault="00024F47" w:rsidP="00206C45">
      <w:pPr>
        <w:spacing w:line="300" w:lineRule="auto"/>
        <w:rPr>
          <w:rFonts w:eastAsia="Tw Cen MT" w:cs="Tw Cen MT"/>
        </w:rPr>
      </w:pPr>
    </w:p>
    <w:p w14:paraId="1E14F113" w14:textId="77777777" w:rsidR="00024F47" w:rsidRDefault="00024F47" w:rsidP="00206C45">
      <w:pPr>
        <w:spacing w:line="300" w:lineRule="auto"/>
        <w:rPr>
          <w:rFonts w:eastAsia="Tw Cen MT" w:cs="Tw Cen MT"/>
        </w:rPr>
      </w:pPr>
    </w:p>
    <w:p w14:paraId="24CA2EAD" w14:textId="77777777" w:rsidR="00024F47" w:rsidRDefault="00024F47" w:rsidP="00206C45">
      <w:pPr>
        <w:spacing w:line="300" w:lineRule="auto"/>
        <w:rPr>
          <w:rFonts w:eastAsia="Tw Cen MT" w:cs="Tw Cen MT"/>
        </w:rPr>
      </w:pPr>
    </w:p>
    <w:p w14:paraId="2EC6069B" w14:textId="77777777" w:rsidR="00024F47" w:rsidRDefault="00024F47" w:rsidP="00206C45">
      <w:pPr>
        <w:spacing w:line="300" w:lineRule="auto"/>
        <w:rPr>
          <w:rFonts w:eastAsia="Tw Cen MT" w:cs="Tw Cen MT"/>
        </w:rPr>
      </w:pPr>
    </w:p>
    <w:p w14:paraId="384DBAA2" w14:textId="77777777" w:rsidR="00024F47" w:rsidRDefault="00024F47" w:rsidP="00206C45">
      <w:pPr>
        <w:spacing w:line="300" w:lineRule="auto"/>
        <w:rPr>
          <w:rFonts w:eastAsia="Tw Cen MT" w:cs="Tw Cen MT"/>
        </w:rPr>
      </w:pPr>
    </w:p>
    <w:p w14:paraId="55951ACD" w14:textId="77777777" w:rsidR="00024F47" w:rsidRDefault="00024F47" w:rsidP="00206C45">
      <w:pPr>
        <w:spacing w:line="300" w:lineRule="auto"/>
        <w:rPr>
          <w:rFonts w:eastAsia="Tw Cen MT" w:cs="Tw Cen MT"/>
        </w:rPr>
      </w:pPr>
    </w:p>
    <w:p w14:paraId="2162DA21" w14:textId="77777777" w:rsidR="00024F47" w:rsidRDefault="00024F47" w:rsidP="00206C45">
      <w:pPr>
        <w:spacing w:line="300" w:lineRule="auto"/>
        <w:rPr>
          <w:rFonts w:eastAsia="Tw Cen MT" w:cs="Tw Cen MT"/>
        </w:rPr>
      </w:pPr>
    </w:p>
    <w:p w14:paraId="060939E4" w14:textId="1BE99EEC" w:rsidR="00F556DA" w:rsidRPr="0035314F" w:rsidRDefault="008B512A" w:rsidP="00206C45">
      <w:pPr>
        <w:spacing w:line="300" w:lineRule="auto"/>
        <w:rPr>
          <w:rFonts w:ascii="Tw Cen MT" w:eastAsia="Tw Cen MT" w:hAnsi="Tw Cen MT" w:cs="Tw Cen MT"/>
        </w:rPr>
      </w:pPr>
      <w:r>
        <w:rPr>
          <w:rFonts w:eastAsia="Tw Cen MT" w:cs="Tw Cen MT"/>
          <w:highlight w:val="yellow"/>
        </w:rPr>
        <w:fldChar w:fldCharType="begin"/>
      </w:r>
      <w:r>
        <w:rPr>
          <w:rFonts w:eastAsia="Tw Cen MT" w:cs="Tw Cen MT"/>
        </w:rPr>
        <w:instrText xml:space="preserve"> REF _Ref127971116 \h </w:instrText>
      </w:r>
      <w:r>
        <w:rPr>
          <w:rFonts w:eastAsia="Tw Cen MT" w:cs="Tw Cen MT"/>
          <w:highlight w:val="yellow"/>
        </w:rPr>
      </w:r>
      <w:r>
        <w:rPr>
          <w:rFonts w:eastAsia="Tw Cen MT" w:cs="Tw Cen MT"/>
          <w:highlight w:val="yellow"/>
        </w:rPr>
        <w:fldChar w:fldCharType="separate"/>
      </w:r>
      <w:r>
        <w:t xml:space="preserve">Table </w:t>
      </w:r>
      <w:r>
        <w:rPr>
          <w:noProof/>
        </w:rPr>
        <w:t>32</w:t>
      </w:r>
      <w:r>
        <w:rPr>
          <w:rFonts w:eastAsia="Tw Cen MT" w:cs="Tw Cen MT"/>
          <w:highlight w:val="yellow"/>
        </w:rPr>
        <w:fldChar w:fldCharType="end"/>
      </w:r>
      <w:r>
        <w:rPr>
          <w:rFonts w:eastAsia="Tw Cen MT" w:cs="Tw Cen MT"/>
        </w:rPr>
        <w:t xml:space="preserve"> </w:t>
      </w:r>
      <w:r w:rsidR="00024F47">
        <w:rPr>
          <w:rFonts w:eastAsia="Tw Cen MT" w:cs="Tw Cen MT"/>
        </w:rPr>
        <w:t xml:space="preserve">displays the cumulative Fair Share numbers for SNHPC and its municipalities for owner-occupied housing units by income. The 100% AMI for a four-person household in the SNHPC region is </w:t>
      </w:r>
      <w:r w:rsidR="00024F47" w:rsidRPr="00024F47">
        <w:rPr>
          <w:rFonts w:eastAsia="Tw Cen MT" w:cs="Tw Cen MT"/>
        </w:rPr>
        <w:t>$90,677</w:t>
      </w:r>
      <w:r w:rsidR="00024F47">
        <w:rPr>
          <w:rFonts w:eastAsia="Tw Cen MT" w:cs="Tw Cen MT"/>
        </w:rPr>
        <w:t xml:space="preserve">. The 60% AMI for a three-person household in the region, the figure used for rental Fair Share figures, is </w:t>
      </w:r>
      <w:r w:rsidR="00024F47" w:rsidRPr="00024F47">
        <w:rPr>
          <w:rFonts w:eastAsia="Tw Cen MT" w:cs="Tw Cen MT"/>
        </w:rPr>
        <w:t>$49,533</w:t>
      </w:r>
      <w:r w:rsidR="00024F47">
        <w:rPr>
          <w:rFonts w:eastAsia="Tw Cen MT" w:cs="Tw Cen MT"/>
        </w:rPr>
        <w:t>. Therefore, the model forecasts that between 2020 and 2025, SNHPC</w:t>
      </w:r>
      <w:r w:rsidR="00767006">
        <w:rPr>
          <w:rFonts w:eastAsia="Tw Cen MT" w:cs="Tw Cen MT"/>
        </w:rPr>
        <w:t xml:space="preserve"> municipalities</w:t>
      </w:r>
      <w:r w:rsidR="00024F47">
        <w:rPr>
          <w:rFonts w:eastAsia="Tw Cen MT" w:cs="Tw Cen MT"/>
        </w:rPr>
        <w:t xml:space="preserve"> should allow the construction of </w:t>
      </w:r>
      <w:r w:rsidR="00024F47" w:rsidRPr="00582975">
        <w:rPr>
          <w:rFonts w:ascii="Tw Cen MT" w:eastAsia="Times New Roman" w:hAnsi="Tw Cen MT" w:cs="Calibri"/>
          <w:color w:val="000000"/>
        </w:rPr>
        <w:t>4,885</w:t>
      </w:r>
      <w:r w:rsidR="00024F47">
        <w:rPr>
          <w:rFonts w:ascii="Tw Cen MT" w:eastAsia="Times New Roman" w:hAnsi="Tw Cen MT" w:cs="Calibri"/>
          <w:color w:val="000000"/>
        </w:rPr>
        <w:t xml:space="preserve"> owner-occupied housing units. Of these,</w:t>
      </w:r>
      <w:r w:rsidR="00767006">
        <w:rPr>
          <w:rFonts w:ascii="Tw Cen MT" w:eastAsia="Times New Roman" w:hAnsi="Tw Cen MT" w:cs="Calibri"/>
          <w:color w:val="000000"/>
        </w:rPr>
        <w:t xml:space="preserve"> </w:t>
      </w:r>
      <w:r w:rsidR="00767006" w:rsidRPr="00767006">
        <w:rPr>
          <w:rFonts w:ascii="Tw Cen MT" w:eastAsia="Times New Roman" w:hAnsi="Tw Cen MT" w:cs="Calibri"/>
          <w:color w:val="000000"/>
        </w:rPr>
        <w:t>1,575</w:t>
      </w:r>
      <w:r w:rsidR="00767006">
        <w:rPr>
          <w:rFonts w:ascii="Tw Cen MT" w:eastAsia="Times New Roman" w:hAnsi="Tw Cen MT" w:cs="Calibri"/>
          <w:color w:val="000000"/>
        </w:rPr>
        <w:t xml:space="preserve"> would need to be priced so that a four-person household making less than $97,677 would not spend 30% or more of their gross household income on housing costs. </w:t>
      </w:r>
    </w:p>
    <w:p w14:paraId="47401CCF" w14:textId="77777777" w:rsidR="00582975" w:rsidRDefault="00582975" w:rsidP="00582975">
      <w:pPr>
        <w:spacing w:after="0" w:line="240" w:lineRule="auto"/>
        <w:rPr>
          <w:rFonts w:ascii="Tw Cen MT" w:eastAsia="Times New Roman" w:hAnsi="Tw Cen MT" w:cs="Calibri"/>
          <w:sz w:val="20"/>
          <w:szCs w:val="20"/>
        </w:rPr>
        <w:sectPr w:rsidR="00582975" w:rsidSect="008142C8">
          <w:pgSz w:w="12240" w:h="15840" w:code="1"/>
          <w:pgMar w:top="900" w:right="1440" w:bottom="1080" w:left="1440" w:header="432" w:footer="288" w:gutter="0"/>
          <w:cols w:space="720"/>
          <w:docGrid w:linePitch="360"/>
        </w:sectPr>
      </w:pPr>
    </w:p>
    <w:p w14:paraId="42BA3893" w14:textId="0EC83BEB" w:rsidR="008B512A" w:rsidRDefault="008B512A" w:rsidP="008B512A">
      <w:pPr>
        <w:pStyle w:val="Caption"/>
        <w:keepNext/>
      </w:pPr>
      <w:bookmarkStart w:id="188" w:name="_Ref127971116"/>
      <w:bookmarkStart w:id="189" w:name="_Toc128137923"/>
      <w:r>
        <w:lastRenderedPageBreak/>
        <w:t xml:space="preserve">Table </w:t>
      </w:r>
      <w:r w:rsidR="0062538A">
        <w:fldChar w:fldCharType="begin"/>
      </w:r>
      <w:r w:rsidR="0062538A">
        <w:instrText xml:space="preserve"> SEQ Table \* ARABIC </w:instrText>
      </w:r>
      <w:r w:rsidR="0062538A">
        <w:fldChar w:fldCharType="separate"/>
      </w:r>
      <w:r>
        <w:rPr>
          <w:noProof/>
        </w:rPr>
        <w:t>32</w:t>
      </w:r>
      <w:r w:rsidR="0062538A">
        <w:rPr>
          <w:noProof/>
        </w:rPr>
        <w:fldChar w:fldCharType="end"/>
      </w:r>
      <w:bookmarkEnd w:id="188"/>
      <w:r>
        <w:t xml:space="preserve">: </w:t>
      </w:r>
      <w:r w:rsidRPr="00852B12">
        <w:t>Fair Share Cumulative Net New Owner-Occupied Housing Units by Income</w:t>
      </w:r>
      <w:bookmarkEnd w:id="189"/>
    </w:p>
    <w:tbl>
      <w:tblPr>
        <w:tblW w:w="13942" w:type="dxa"/>
        <w:tblLook w:val="04A0" w:firstRow="1" w:lastRow="0" w:firstColumn="1" w:lastColumn="0" w:noHBand="0" w:noVBand="1"/>
      </w:tblPr>
      <w:tblGrid>
        <w:gridCol w:w="1480"/>
        <w:gridCol w:w="893"/>
        <w:gridCol w:w="1133"/>
        <w:gridCol w:w="1175"/>
        <w:gridCol w:w="893"/>
        <w:gridCol w:w="1071"/>
        <w:gridCol w:w="1071"/>
        <w:gridCol w:w="893"/>
        <w:gridCol w:w="1162"/>
        <w:gridCol w:w="1136"/>
        <w:gridCol w:w="893"/>
        <w:gridCol w:w="1071"/>
        <w:gridCol w:w="1071"/>
      </w:tblGrid>
      <w:tr w:rsidR="00582975" w:rsidRPr="00582975" w14:paraId="5F07843A" w14:textId="77777777" w:rsidTr="00582975">
        <w:trPr>
          <w:trHeight w:val="300"/>
        </w:trPr>
        <w:tc>
          <w:tcPr>
            <w:tcW w:w="1480" w:type="dxa"/>
            <w:tcBorders>
              <w:top w:val="nil"/>
              <w:left w:val="nil"/>
              <w:bottom w:val="nil"/>
              <w:right w:val="nil"/>
            </w:tcBorders>
            <w:shd w:val="clear" w:color="auto" w:fill="auto"/>
            <w:noWrap/>
            <w:vAlign w:val="bottom"/>
            <w:hideMark/>
          </w:tcPr>
          <w:p w14:paraId="53B2F9C4" w14:textId="77777777" w:rsidR="00582975" w:rsidRPr="00582975" w:rsidRDefault="00582975" w:rsidP="00582975">
            <w:pPr>
              <w:spacing w:after="0" w:line="240" w:lineRule="auto"/>
              <w:rPr>
                <w:rFonts w:ascii="Tw Cen MT" w:eastAsia="Times New Roman" w:hAnsi="Tw Cen MT" w:cs="Calibri"/>
                <w:sz w:val="20"/>
                <w:szCs w:val="20"/>
              </w:rPr>
            </w:pPr>
            <w:bookmarkStart w:id="190" w:name="_Hlk127175992"/>
          </w:p>
        </w:tc>
        <w:tc>
          <w:tcPr>
            <w:tcW w:w="12462" w:type="dxa"/>
            <w:gridSpan w:val="12"/>
            <w:tcBorders>
              <w:top w:val="nil"/>
              <w:left w:val="nil"/>
              <w:bottom w:val="nil"/>
              <w:right w:val="nil"/>
            </w:tcBorders>
            <w:shd w:val="clear" w:color="auto" w:fill="auto"/>
            <w:noWrap/>
            <w:vAlign w:val="bottom"/>
            <w:hideMark/>
          </w:tcPr>
          <w:p w14:paraId="1424B384"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Fair Share Cumulative Net New Owner-Occupied Housing Units by Income</w:t>
            </w:r>
          </w:p>
        </w:tc>
      </w:tr>
      <w:tr w:rsidR="00582975" w:rsidRPr="00582975" w14:paraId="02A028B3" w14:textId="77777777" w:rsidTr="00582975">
        <w:trPr>
          <w:trHeight w:val="300"/>
        </w:trPr>
        <w:tc>
          <w:tcPr>
            <w:tcW w:w="1480" w:type="dxa"/>
            <w:tcBorders>
              <w:top w:val="nil"/>
              <w:left w:val="nil"/>
              <w:bottom w:val="nil"/>
              <w:right w:val="nil"/>
            </w:tcBorders>
            <w:shd w:val="clear" w:color="auto" w:fill="auto"/>
            <w:noWrap/>
            <w:vAlign w:val="bottom"/>
            <w:hideMark/>
          </w:tcPr>
          <w:p w14:paraId="3E688488" w14:textId="77777777" w:rsidR="00582975" w:rsidRPr="00582975" w:rsidRDefault="00582975" w:rsidP="00582975">
            <w:pPr>
              <w:spacing w:after="0" w:line="240" w:lineRule="auto"/>
              <w:jc w:val="center"/>
              <w:rPr>
                <w:rFonts w:ascii="Tw Cen MT" w:eastAsia="Times New Roman" w:hAnsi="Tw Cen MT" w:cs="Calibri"/>
                <w:b/>
                <w:bCs/>
                <w:color w:val="595959"/>
              </w:rPr>
            </w:pPr>
          </w:p>
        </w:tc>
        <w:tc>
          <w:tcPr>
            <w:tcW w:w="3201" w:type="dxa"/>
            <w:gridSpan w:val="3"/>
            <w:tcBorders>
              <w:top w:val="nil"/>
              <w:left w:val="single" w:sz="4" w:space="0" w:color="auto"/>
              <w:bottom w:val="nil"/>
              <w:right w:val="nil"/>
            </w:tcBorders>
            <w:shd w:val="clear" w:color="auto" w:fill="auto"/>
            <w:noWrap/>
            <w:vAlign w:val="bottom"/>
            <w:hideMark/>
          </w:tcPr>
          <w:p w14:paraId="4AB1189E"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2025</w:t>
            </w:r>
          </w:p>
        </w:tc>
        <w:tc>
          <w:tcPr>
            <w:tcW w:w="3035" w:type="dxa"/>
            <w:gridSpan w:val="3"/>
            <w:tcBorders>
              <w:top w:val="nil"/>
              <w:left w:val="single" w:sz="4" w:space="0" w:color="auto"/>
              <w:bottom w:val="nil"/>
              <w:right w:val="nil"/>
            </w:tcBorders>
            <w:shd w:val="clear" w:color="auto" w:fill="auto"/>
            <w:noWrap/>
            <w:vAlign w:val="bottom"/>
            <w:hideMark/>
          </w:tcPr>
          <w:p w14:paraId="070A3C9E"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2030</w:t>
            </w:r>
          </w:p>
        </w:tc>
        <w:tc>
          <w:tcPr>
            <w:tcW w:w="3191" w:type="dxa"/>
            <w:gridSpan w:val="3"/>
            <w:tcBorders>
              <w:top w:val="nil"/>
              <w:left w:val="single" w:sz="4" w:space="0" w:color="auto"/>
              <w:bottom w:val="nil"/>
              <w:right w:val="single" w:sz="4" w:space="0" w:color="000000"/>
            </w:tcBorders>
            <w:shd w:val="clear" w:color="auto" w:fill="auto"/>
            <w:noWrap/>
            <w:vAlign w:val="bottom"/>
            <w:hideMark/>
          </w:tcPr>
          <w:p w14:paraId="2EC43D5C"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2035</w:t>
            </w:r>
          </w:p>
        </w:tc>
        <w:tc>
          <w:tcPr>
            <w:tcW w:w="3035" w:type="dxa"/>
            <w:gridSpan w:val="3"/>
            <w:tcBorders>
              <w:top w:val="nil"/>
              <w:left w:val="nil"/>
              <w:bottom w:val="nil"/>
              <w:right w:val="nil"/>
            </w:tcBorders>
            <w:shd w:val="clear" w:color="auto" w:fill="auto"/>
            <w:noWrap/>
            <w:vAlign w:val="bottom"/>
            <w:hideMark/>
          </w:tcPr>
          <w:p w14:paraId="3972C299"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2040</w:t>
            </w:r>
          </w:p>
        </w:tc>
      </w:tr>
      <w:tr w:rsidR="00582975" w:rsidRPr="00582975" w14:paraId="1235FCAF" w14:textId="77777777" w:rsidTr="00582975">
        <w:trPr>
          <w:trHeight w:val="615"/>
        </w:trPr>
        <w:tc>
          <w:tcPr>
            <w:tcW w:w="1480" w:type="dxa"/>
            <w:tcBorders>
              <w:top w:val="nil"/>
              <w:left w:val="nil"/>
              <w:bottom w:val="single" w:sz="4" w:space="0" w:color="auto"/>
              <w:right w:val="nil"/>
            </w:tcBorders>
            <w:shd w:val="clear" w:color="auto" w:fill="auto"/>
            <w:noWrap/>
            <w:vAlign w:val="bottom"/>
            <w:hideMark/>
          </w:tcPr>
          <w:p w14:paraId="55460895" w14:textId="77777777" w:rsidR="00582975" w:rsidRPr="00582975" w:rsidRDefault="00582975" w:rsidP="00582975">
            <w:pPr>
              <w:spacing w:after="0" w:line="240" w:lineRule="auto"/>
              <w:rPr>
                <w:rFonts w:ascii="Tw Cen MT" w:eastAsia="Times New Roman" w:hAnsi="Tw Cen MT" w:cs="Calibri"/>
                <w:color w:val="000000"/>
              </w:rPr>
            </w:pPr>
            <w:r w:rsidRPr="00582975">
              <w:rPr>
                <w:rFonts w:ascii="Tw Cen MT" w:eastAsia="Times New Roman" w:hAnsi="Tw Cen MT" w:cs="Calibri"/>
                <w:color w:val="000000"/>
              </w:rPr>
              <w:t> </w:t>
            </w:r>
          </w:p>
        </w:tc>
        <w:tc>
          <w:tcPr>
            <w:tcW w:w="893" w:type="dxa"/>
            <w:tcBorders>
              <w:top w:val="nil"/>
              <w:left w:val="single" w:sz="4" w:space="0" w:color="auto"/>
              <w:bottom w:val="single" w:sz="4" w:space="0" w:color="auto"/>
              <w:right w:val="nil"/>
            </w:tcBorders>
            <w:shd w:val="clear" w:color="auto" w:fill="auto"/>
            <w:noWrap/>
            <w:vAlign w:val="bottom"/>
            <w:hideMark/>
          </w:tcPr>
          <w:p w14:paraId="7AC426C0"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Total</w:t>
            </w:r>
          </w:p>
        </w:tc>
        <w:tc>
          <w:tcPr>
            <w:tcW w:w="1133" w:type="dxa"/>
            <w:tcBorders>
              <w:top w:val="nil"/>
              <w:left w:val="nil"/>
              <w:bottom w:val="single" w:sz="4" w:space="0" w:color="auto"/>
              <w:right w:val="nil"/>
            </w:tcBorders>
            <w:shd w:val="clear" w:color="auto" w:fill="auto"/>
            <w:vAlign w:val="bottom"/>
            <w:hideMark/>
          </w:tcPr>
          <w:p w14:paraId="520F96CC"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Below 100% AMI</w:t>
            </w:r>
          </w:p>
        </w:tc>
        <w:tc>
          <w:tcPr>
            <w:tcW w:w="1175" w:type="dxa"/>
            <w:tcBorders>
              <w:top w:val="nil"/>
              <w:left w:val="nil"/>
              <w:bottom w:val="single" w:sz="4" w:space="0" w:color="auto"/>
              <w:right w:val="nil"/>
            </w:tcBorders>
            <w:shd w:val="clear" w:color="auto" w:fill="auto"/>
            <w:vAlign w:val="bottom"/>
            <w:hideMark/>
          </w:tcPr>
          <w:p w14:paraId="3B190479"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Above 100% AMI</w:t>
            </w:r>
          </w:p>
        </w:tc>
        <w:tc>
          <w:tcPr>
            <w:tcW w:w="893" w:type="dxa"/>
            <w:tcBorders>
              <w:top w:val="nil"/>
              <w:left w:val="single" w:sz="4" w:space="0" w:color="auto"/>
              <w:bottom w:val="single" w:sz="4" w:space="0" w:color="auto"/>
              <w:right w:val="nil"/>
            </w:tcBorders>
            <w:shd w:val="clear" w:color="auto" w:fill="auto"/>
            <w:noWrap/>
            <w:vAlign w:val="bottom"/>
            <w:hideMark/>
          </w:tcPr>
          <w:p w14:paraId="49CD732B"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Total</w:t>
            </w:r>
          </w:p>
        </w:tc>
        <w:tc>
          <w:tcPr>
            <w:tcW w:w="1071" w:type="dxa"/>
            <w:tcBorders>
              <w:top w:val="nil"/>
              <w:left w:val="nil"/>
              <w:bottom w:val="single" w:sz="4" w:space="0" w:color="auto"/>
              <w:right w:val="nil"/>
            </w:tcBorders>
            <w:shd w:val="clear" w:color="auto" w:fill="auto"/>
            <w:vAlign w:val="bottom"/>
            <w:hideMark/>
          </w:tcPr>
          <w:p w14:paraId="69C810F6"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Below 100% AMI</w:t>
            </w:r>
          </w:p>
        </w:tc>
        <w:tc>
          <w:tcPr>
            <w:tcW w:w="1071" w:type="dxa"/>
            <w:tcBorders>
              <w:top w:val="nil"/>
              <w:left w:val="nil"/>
              <w:bottom w:val="single" w:sz="4" w:space="0" w:color="auto"/>
              <w:right w:val="nil"/>
            </w:tcBorders>
            <w:shd w:val="clear" w:color="auto" w:fill="auto"/>
            <w:vAlign w:val="bottom"/>
            <w:hideMark/>
          </w:tcPr>
          <w:p w14:paraId="3B3F8D20"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Above 100% AMI</w:t>
            </w:r>
          </w:p>
        </w:tc>
        <w:tc>
          <w:tcPr>
            <w:tcW w:w="893" w:type="dxa"/>
            <w:tcBorders>
              <w:top w:val="nil"/>
              <w:left w:val="single" w:sz="4" w:space="0" w:color="auto"/>
              <w:bottom w:val="single" w:sz="4" w:space="0" w:color="auto"/>
              <w:right w:val="nil"/>
            </w:tcBorders>
            <w:shd w:val="clear" w:color="auto" w:fill="auto"/>
            <w:noWrap/>
            <w:vAlign w:val="bottom"/>
            <w:hideMark/>
          </w:tcPr>
          <w:p w14:paraId="1015E3B6"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Total</w:t>
            </w:r>
          </w:p>
        </w:tc>
        <w:tc>
          <w:tcPr>
            <w:tcW w:w="1162" w:type="dxa"/>
            <w:tcBorders>
              <w:top w:val="nil"/>
              <w:left w:val="nil"/>
              <w:bottom w:val="single" w:sz="4" w:space="0" w:color="auto"/>
              <w:right w:val="nil"/>
            </w:tcBorders>
            <w:shd w:val="clear" w:color="auto" w:fill="auto"/>
            <w:vAlign w:val="bottom"/>
            <w:hideMark/>
          </w:tcPr>
          <w:p w14:paraId="32CD83DA"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Below 100% AMI</w:t>
            </w:r>
          </w:p>
        </w:tc>
        <w:tc>
          <w:tcPr>
            <w:tcW w:w="1136" w:type="dxa"/>
            <w:tcBorders>
              <w:top w:val="nil"/>
              <w:left w:val="nil"/>
              <w:bottom w:val="single" w:sz="4" w:space="0" w:color="auto"/>
              <w:right w:val="nil"/>
            </w:tcBorders>
            <w:shd w:val="clear" w:color="auto" w:fill="auto"/>
            <w:vAlign w:val="bottom"/>
            <w:hideMark/>
          </w:tcPr>
          <w:p w14:paraId="114807A8"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Above 100% AMI</w:t>
            </w:r>
          </w:p>
        </w:tc>
        <w:tc>
          <w:tcPr>
            <w:tcW w:w="893" w:type="dxa"/>
            <w:tcBorders>
              <w:top w:val="nil"/>
              <w:left w:val="single" w:sz="4" w:space="0" w:color="auto"/>
              <w:bottom w:val="single" w:sz="4" w:space="0" w:color="auto"/>
              <w:right w:val="nil"/>
            </w:tcBorders>
            <w:shd w:val="clear" w:color="auto" w:fill="auto"/>
            <w:noWrap/>
            <w:vAlign w:val="bottom"/>
            <w:hideMark/>
          </w:tcPr>
          <w:p w14:paraId="135A7A1F"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Total</w:t>
            </w:r>
          </w:p>
        </w:tc>
        <w:tc>
          <w:tcPr>
            <w:tcW w:w="1071" w:type="dxa"/>
            <w:tcBorders>
              <w:top w:val="nil"/>
              <w:left w:val="nil"/>
              <w:bottom w:val="single" w:sz="4" w:space="0" w:color="auto"/>
              <w:right w:val="nil"/>
            </w:tcBorders>
            <w:shd w:val="clear" w:color="auto" w:fill="auto"/>
            <w:vAlign w:val="bottom"/>
            <w:hideMark/>
          </w:tcPr>
          <w:p w14:paraId="110BB2AF"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Below 100% AMI</w:t>
            </w:r>
          </w:p>
        </w:tc>
        <w:tc>
          <w:tcPr>
            <w:tcW w:w="1071" w:type="dxa"/>
            <w:tcBorders>
              <w:top w:val="nil"/>
              <w:left w:val="nil"/>
              <w:bottom w:val="single" w:sz="4" w:space="0" w:color="auto"/>
              <w:right w:val="nil"/>
            </w:tcBorders>
            <w:shd w:val="clear" w:color="auto" w:fill="auto"/>
            <w:vAlign w:val="bottom"/>
            <w:hideMark/>
          </w:tcPr>
          <w:p w14:paraId="08D298A1" w14:textId="77777777" w:rsidR="00582975" w:rsidRPr="00582975" w:rsidRDefault="00582975" w:rsidP="00582975">
            <w:pPr>
              <w:spacing w:after="0" w:line="240" w:lineRule="auto"/>
              <w:jc w:val="center"/>
              <w:rPr>
                <w:rFonts w:ascii="Tw Cen MT" w:eastAsia="Times New Roman" w:hAnsi="Tw Cen MT" w:cs="Calibri"/>
                <w:b/>
                <w:bCs/>
                <w:color w:val="595959"/>
              </w:rPr>
            </w:pPr>
            <w:r w:rsidRPr="00582975">
              <w:rPr>
                <w:rFonts w:ascii="Tw Cen MT" w:eastAsia="Times New Roman" w:hAnsi="Tw Cen MT" w:cs="Calibri"/>
                <w:b/>
                <w:bCs/>
                <w:color w:val="595959"/>
              </w:rPr>
              <w:t>Above 100% AMI</w:t>
            </w:r>
          </w:p>
        </w:tc>
      </w:tr>
      <w:tr w:rsidR="00582975" w:rsidRPr="00582975" w14:paraId="09331F31" w14:textId="77777777" w:rsidTr="00582975">
        <w:trPr>
          <w:trHeight w:val="300"/>
        </w:trPr>
        <w:tc>
          <w:tcPr>
            <w:tcW w:w="1480" w:type="dxa"/>
            <w:tcBorders>
              <w:top w:val="nil"/>
              <w:left w:val="nil"/>
              <w:bottom w:val="nil"/>
              <w:right w:val="nil"/>
            </w:tcBorders>
            <w:shd w:val="clear" w:color="auto" w:fill="auto"/>
            <w:noWrap/>
            <w:vAlign w:val="center"/>
            <w:hideMark/>
          </w:tcPr>
          <w:p w14:paraId="3C2B6EC9"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Auburn</w:t>
            </w:r>
          </w:p>
        </w:tc>
        <w:tc>
          <w:tcPr>
            <w:tcW w:w="893" w:type="dxa"/>
            <w:tcBorders>
              <w:top w:val="nil"/>
              <w:left w:val="single" w:sz="4" w:space="0" w:color="auto"/>
              <w:bottom w:val="nil"/>
              <w:right w:val="nil"/>
            </w:tcBorders>
            <w:shd w:val="clear" w:color="auto" w:fill="auto"/>
            <w:noWrap/>
            <w:vAlign w:val="center"/>
            <w:hideMark/>
          </w:tcPr>
          <w:p w14:paraId="6945EB1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97</w:t>
            </w:r>
          </w:p>
        </w:tc>
        <w:tc>
          <w:tcPr>
            <w:tcW w:w="1133" w:type="dxa"/>
            <w:tcBorders>
              <w:top w:val="nil"/>
              <w:left w:val="nil"/>
              <w:bottom w:val="nil"/>
              <w:right w:val="nil"/>
            </w:tcBorders>
            <w:shd w:val="clear" w:color="auto" w:fill="auto"/>
            <w:noWrap/>
            <w:vAlign w:val="center"/>
            <w:hideMark/>
          </w:tcPr>
          <w:p w14:paraId="3A59861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23</w:t>
            </w:r>
          </w:p>
        </w:tc>
        <w:tc>
          <w:tcPr>
            <w:tcW w:w="1175" w:type="dxa"/>
            <w:tcBorders>
              <w:top w:val="nil"/>
              <w:left w:val="nil"/>
              <w:bottom w:val="nil"/>
              <w:right w:val="nil"/>
            </w:tcBorders>
            <w:shd w:val="clear" w:color="auto" w:fill="auto"/>
            <w:noWrap/>
            <w:vAlign w:val="center"/>
            <w:hideMark/>
          </w:tcPr>
          <w:p w14:paraId="1778D51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74</w:t>
            </w:r>
          </w:p>
        </w:tc>
        <w:tc>
          <w:tcPr>
            <w:tcW w:w="893" w:type="dxa"/>
            <w:tcBorders>
              <w:top w:val="nil"/>
              <w:left w:val="single" w:sz="4" w:space="0" w:color="auto"/>
              <w:bottom w:val="nil"/>
              <w:right w:val="nil"/>
            </w:tcBorders>
            <w:shd w:val="clear" w:color="auto" w:fill="auto"/>
            <w:noWrap/>
            <w:vAlign w:val="center"/>
            <w:hideMark/>
          </w:tcPr>
          <w:p w14:paraId="11931BC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178</w:t>
            </w:r>
          </w:p>
        </w:tc>
        <w:tc>
          <w:tcPr>
            <w:tcW w:w="1071" w:type="dxa"/>
            <w:tcBorders>
              <w:top w:val="nil"/>
              <w:left w:val="nil"/>
              <w:bottom w:val="nil"/>
              <w:right w:val="nil"/>
            </w:tcBorders>
            <w:shd w:val="clear" w:color="auto" w:fill="auto"/>
            <w:noWrap/>
            <w:vAlign w:val="center"/>
            <w:hideMark/>
          </w:tcPr>
          <w:p w14:paraId="539CC3D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43</w:t>
            </w:r>
          </w:p>
        </w:tc>
        <w:tc>
          <w:tcPr>
            <w:tcW w:w="1071" w:type="dxa"/>
            <w:tcBorders>
              <w:top w:val="nil"/>
              <w:left w:val="nil"/>
              <w:bottom w:val="nil"/>
              <w:right w:val="nil"/>
            </w:tcBorders>
            <w:shd w:val="clear" w:color="auto" w:fill="auto"/>
            <w:noWrap/>
            <w:vAlign w:val="center"/>
            <w:hideMark/>
          </w:tcPr>
          <w:p w14:paraId="4012955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135</w:t>
            </w:r>
          </w:p>
        </w:tc>
        <w:tc>
          <w:tcPr>
            <w:tcW w:w="893" w:type="dxa"/>
            <w:tcBorders>
              <w:top w:val="nil"/>
              <w:left w:val="single" w:sz="4" w:space="0" w:color="auto"/>
              <w:bottom w:val="nil"/>
              <w:right w:val="nil"/>
            </w:tcBorders>
            <w:shd w:val="clear" w:color="auto" w:fill="auto"/>
            <w:noWrap/>
            <w:vAlign w:val="center"/>
            <w:hideMark/>
          </w:tcPr>
          <w:p w14:paraId="23F89402"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232</w:t>
            </w:r>
          </w:p>
        </w:tc>
        <w:tc>
          <w:tcPr>
            <w:tcW w:w="1162" w:type="dxa"/>
            <w:tcBorders>
              <w:top w:val="nil"/>
              <w:left w:val="nil"/>
              <w:bottom w:val="nil"/>
              <w:right w:val="nil"/>
            </w:tcBorders>
            <w:shd w:val="clear" w:color="auto" w:fill="auto"/>
            <w:noWrap/>
            <w:vAlign w:val="center"/>
            <w:hideMark/>
          </w:tcPr>
          <w:p w14:paraId="1252E34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56</w:t>
            </w:r>
          </w:p>
        </w:tc>
        <w:tc>
          <w:tcPr>
            <w:tcW w:w="1136" w:type="dxa"/>
            <w:tcBorders>
              <w:top w:val="nil"/>
              <w:left w:val="nil"/>
              <w:bottom w:val="nil"/>
              <w:right w:val="nil"/>
            </w:tcBorders>
            <w:shd w:val="clear" w:color="auto" w:fill="auto"/>
            <w:noWrap/>
            <w:vAlign w:val="center"/>
            <w:hideMark/>
          </w:tcPr>
          <w:p w14:paraId="10E6BAE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176</w:t>
            </w:r>
          </w:p>
        </w:tc>
        <w:tc>
          <w:tcPr>
            <w:tcW w:w="893" w:type="dxa"/>
            <w:tcBorders>
              <w:top w:val="nil"/>
              <w:left w:val="single" w:sz="4" w:space="0" w:color="auto"/>
              <w:bottom w:val="nil"/>
              <w:right w:val="nil"/>
            </w:tcBorders>
            <w:shd w:val="clear" w:color="auto" w:fill="auto"/>
            <w:noWrap/>
            <w:vAlign w:val="center"/>
            <w:hideMark/>
          </w:tcPr>
          <w:p w14:paraId="7E9CA65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260</w:t>
            </w:r>
          </w:p>
        </w:tc>
        <w:tc>
          <w:tcPr>
            <w:tcW w:w="1071" w:type="dxa"/>
            <w:tcBorders>
              <w:top w:val="nil"/>
              <w:left w:val="nil"/>
              <w:bottom w:val="nil"/>
              <w:right w:val="nil"/>
            </w:tcBorders>
            <w:shd w:val="clear" w:color="auto" w:fill="auto"/>
            <w:noWrap/>
            <w:vAlign w:val="center"/>
            <w:hideMark/>
          </w:tcPr>
          <w:p w14:paraId="5AA5B4C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63</w:t>
            </w:r>
          </w:p>
        </w:tc>
        <w:tc>
          <w:tcPr>
            <w:tcW w:w="1071" w:type="dxa"/>
            <w:tcBorders>
              <w:top w:val="nil"/>
              <w:left w:val="nil"/>
              <w:bottom w:val="nil"/>
              <w:right w:val="nil"/>
            </w:tcBorders>
            <w:shd w:val="clear" w:color="auto" w:fill="auto"/>
            <w:noWrap/>
            <w:vAlign w:val="center"/>
            <w:hideMark/>
          </w:tcPr>
          <w:p w14:paraId="22148B5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197</w:t>
            </w:r>
          </w:p>
        </w:tc>
      </w:tr>
      <w:tr w:rsidR="00582975" w:rsidRPr="00582975" w14:paraId="3977C09B" w14:textId="77777777" w:rsidTr="00582975">
        <w:trPr>
          <w:trHeight w:val="300"/>
        </w:trPr>
        <w:tc>
          <w:tcPr>
            <w:tcW w:w="1480" w:type="dxa"/>
            <w:tcBorders>
              <w:top w:val="single" w:sz="4" w:space="0" w:color="auto"/>
              <w:left w:val="nil"/>
              <w:bottom w:val="single" w:sz="4" w:space="0" w:color="auto"/>
              <w:right w:val="nil"/>
            </w:tcBorders>
            <w:shd w:val="clear" w:color="000000" w:fill="F2F2F2"/>
            <w:noWrap/>
            <w:vAlign w:val="center"/>
            <w:hideMark/>
          </w:tcPr>
          <w:p w14:paraId="09405B5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Bedford</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04FBF4F7"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386</w:t>
            </w:r>
          </w:p>
        </w:tc>
        <w:tc>
          <w:tcPr>
            <w:tcW w:w="1133" w:type="dxa"/>
            <w:tcBorders>
              <w:top w:val="single" w:sz="4" w:space="0" w:color="auto"/>
              <w:left w:val="nil"/>
              <w:bottom w:val="single" w:sz="4" w:space="0" w:color="auto"/>
              <w:right w:val="nil"/>
            </w:tcBorders>
            <w:shd w:val="clear" w:color="000000" w:fill="F2F2F2"/>
            <w:noWrap/>
            <w:vAlign w:val="center"/>
            <w:hideMark/>
          </w:tcPr>
          <w:p w14:paraId="50F1669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89</w:t>
            </w:r>
          </w:p>
        </w:tc>
        <w:tc>
          <w:tcPr>
            <w:tcW w:w="1175" w:type="dxa"/>
            <w:tcBorders>
              <w:top w:val="single" w:sz="4" w:space="0" w:color="auto"/>
              <w:left w:val="nil"/>
              <w:bottom w:val="single" w:sz="4" w:space="0" w:color="auto"/>
              <w:right w:val="nil"/>
            </w:tcBorders>
            <w:shd w:val="clear" w:color="000000" w:fill="F2F2F2"/>
            <w:noWrap/>
            <w:vAlign w:val="center"/>
            <w:hideMark/>
          </w:tcPr>
          <w:p w14:paraId="57F9BE4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297</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230529D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701</w:t>
            </w:r>
          </w:p>
        </w:tc>
        <w:tc>
          <w:tcPr>
            <w:tcW w:w="1071" w:type="dxa"/>
            <w:tcBorders>
              <w:top w:val="single" w:sz="4" w:space="0" w:color="auto"/>
              <w:left w:val="nil"/>
              <w:bottom w:val="single" w:sz="4" w:space="0" w:color="auto"/>
              <w:right w:val="nil"/>
            </w:tcBorders>
            <w:shd w:val="clear" w:color="000000" w:fill="F2F2F2"/>
            <w:noWrap/>
            <w:vAlign w:val="center"/>
            <w:hideMark/>
          </w:tcPr>
          <w:p w14:paraId="18240A7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161</w:t>
            </w:r>
          </w:p>
        </w:tc>
        <w:tc>
          <w:tcPr>
            <w:tcW w:w="1071" w:type="dxa"/>
            <w:tcBorders>
              <w:top w:val="single" w:sz="4" w:space="0" w:color="auto"/>
              <w:left w:val="nil"/>
              <w:bottom w:val="single" w:sz="4" w:space="0" w:color="auto"/>
              <w:right w:val="nil"/>
            </w:tcBorders>
            <w:shd w:val="clear" w:color="000000" w:fill="F2F2F2"/>
            <w:noWrap/>
            <w:vAlign w:val="center"/>
            <w:hideMark/>
          </w:tcPr>
          <w:p w14:paraId="39B1F80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540</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7B860AD9"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916</w:t>
            </w:r>
          </w:p>
        </w:tc>
        <w:tc>
          <w:tcPr>
            <w:tcW w:w="1162" w:type="dxa"/>
            <w:tcBorders>
              <w:top w:val="single" w:sz="4" w:space="0" w:color="auto"/>
              <w:left w:val="nil"/>
              <w:bottom w:val="single" w:sz="4" w:space="0" w:color="auto"/>
              <w:right w:val="nil"/>
            </w:tcBorders>
            <w:shd w:val="clear" w:color="000000" w:fill="F2F2F2"/>
            <w:noWrap/>
            <w:vAlign w:val="center"/>
            <w:hideMark/>
          </w:tcPr>
          <w:p w14:paraId="605B17E6"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211</w:t>
            </w:r>
          </w:p>
        </w:tc>
        <w:tc>
          <w:tcPr>
            <w:tcW w:w="1136" w:type="dxa"/>
            <w:tcBorders>
              <w:top w:val="single" w:sz="4" w:space="0" w:color="auto"/>
              <w:left w:val="nil"/>
              <w:bottom w:val="single" w:sz="4" w:space="0" w:color="auto"/>
              <w:right w:val="nil"/>
            </w:tcBorders>
            <w:shd w:val="clear" w:color="000000" w:fill="F2F2F2"/>
            <w:noWrap/>
            <w:vAlign w:val="center"/>
            <w:hideMark/>
          </w:tcPr>
          <w:p w14:paraId="21B0B02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705</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126229E6"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1,045</w:t>
            </w:r>
          </w:p>
        </w:tc>
        <w:tc>
          <w:tcPr>
            <w:tcW w:w="1071" w:type="dxa"/>
            <w:tcBorders>
              <w:top w:val="single" w:sz="4" w:space="0" w:color="auto"/>
              <w:left w:val="nil"/>
              <w:bottom w:val="single" w:sz="4" w:space="0" w:color="auto"/>
              <w:right w:val="nil"/>
            </w:tcBorders>
            <w:shd w:val="clear" w:color="000000" w:fill="F2F2F2"/>
            <w:noWrap/>
            <w:vAlign w:val="center"/>
            <w:hideMark/>
          </w:tcPr>
          <w:p w14:paraId="5AEE27B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241</w:t>
            </w:r>
          </w:p>
        </w:tc>
        <w:tc>
          <w:tcPr>
            <w:tcW w:w="1071" w:type="dxa"/>
            <w:tcBorders>
              <w:top w:val="single" w:sz="4" w:space="0" w:color="auto"/>
              <w:left w:val="nil"/>
              <w:bottom w:val="single" w:sz="4" w:space="0" w:color="auto"/>
              <w:right w:val="nil"/>
            </w:tcBorders>
            <w:shd w:val="clear" w:color="000000" w:fill="F2F2F2"/>
            <w:noWrap/>
            <w:vAlign w:val="center"/>
            <w:hideMark/>
          </w:tcPr>
          <w:p w14:paraId="7D762BB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804</w:t>
            </w:r>
          </w:p>
        </w:tc>
      </w:tr>
      <w:tr w:rsidR="00582975" w:rsidRPr="00582975" w14:paraId="215DCD27" w14:textId="77777777" w:rsidTr="00582975">
        <w:trPr>
          <w:trHeight w:val="300"/>
        </w:trPr>
        <w:tc>
          <w:tcPr>
            <w:tcW w:w="1480" w:type="dxa"/>
            <w:tcBorders>
              <w:top w:val="nil"/>
              <w:left w:val="nil"/>
              <w:bottom w:val="nil"/>
              <w:right w:val="nil"/>
            </w:tcBorders>
            <w:shd w:val="clear" w:color="auto" w:fill="auto"/>
            <w:noWrap/>
            <w:vAlign w:val="center"/>
            <w:hideMark/>
          </w:tcPr>
          <w:p w14:paraId="4224CBE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Candia</w:t>
            </w:r>
          </w:p>
        </w:tc>
        <w:tc>
          <w:tcPr>
            <w:tcW w:w="893" w:type="dxa"/>
            <w:tcBorders>
              <w:top w:val="nil"/>
              <w:left w:val="single" w:sz="4" w:space="0" w:color="auto"/>
              <w:bottom w:val="nil"/>
              <w:right w:val="nil"/>
            </w:tcBorders>
            <w:shd w:val="clear" w:color="auto" w:fill="auto"/>
            <w:noWrap/>
            <w:vAlign w:val="center"/>
            <w:hideMark/>
          </w:tcPr>
          <w:p w14:paraId="18AF55B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69</w:t>
            </w:r>
          </w:p>
        </w:tc>
        <w:tc>
          <w:tcPr>
            <w:tcW w:w="1133" w:type="dxa"/>
            <w:tcBorders>
              <w:top w:val="nil"/>
              <w:left w:val="nil"/>
              <w:bottom w:val="nil"/>
              <w:right w:val="nil"/>
            </w:tcBorders>
            <w:shd w:val="clear" w:color="auto" w:fill="auto"/>
            <w:noWrap/>
            <w:vAlign w:val="center"/>
            <w:hideMark/>
          </w:tcPr>
          <w:p w14:paraId="1977ACB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22</w:t>
            </w:r>
          </w:p>
        </w:tc>
        <w:tc>
          <w:tcPr>
            <w:tcW w:w="1175" w:type="dxa"/>
            <w:tcBorders>
              <w:top w:val="nil"/>
              <w:left w:val="nil"/>
              <w:bottom w:val="nil"/>
              <w:right w:val="nil"/>
            </w:tcBorders>
            <w:shd w:val="clear" w:color="auto" w:fill="auto"/>
            <w:noWrap/>
            <w:vAlign w:val="center"/>
            <w:hideMark/>
          </w:tcPr>
          <w:p w14:paraId="1F2A9A0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47</w:t>
            </w:r>
          </w:p>
        </w:tc>
        <w:tc>
          <w:tcPr>
            <w:tcW w:w="893" w:type="dxa"/>
            <w:tcBorders>
              <w:top w:val="nil"/>
              <w:left w:val="single" w:sz="4" w:space="0" w:color="auto"/>
              <w:bottom w:val="nil"/>
              <w:right w:val="nil"/>
            </w:tcBorders>
            <w:shd w:val="clear" w:color="auto" w:fill="auto"/>
            <w:noWrap/>
            <w:vAlign w:val="center"/>
            <w:hideMark/>
          </w:tcPr>
          <w:p w14:paraId="40644122"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127</w:t>
            </w:r>
          </w:p>
        </w:tc>
        <w:tc>
          <w:tcPr>
            <w:tcW w:w="1071" w:type="dxa"/>
            <w:tcBorders>
              <w:top w:val="nil"/>
              <w:left w:val="nil"/>
              <w:bottom w:val="nil"/>
              <w:right w:val="nil"/>
            </w:tcBorders>
            <w:shd w:val="clear" w:color="auto" w:fill="auto"/>
            <w:noWrap/>
            <w:vAlign w:val="center"/>
            <w:hideMark/>
          </w:tcPr>
          <w:p w14:paraId="61238479"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40</w:t>
            </w:r>
          </w:p>
        </w:tc>
        <w:tc>
          <w:tcPr>
            <w:tcW w:w="1071" w:type="dxa"/>
            <w:tcBorders>
              <w:top w:val="nil"/>
              <w:left w:val="nil"/>
              <w:bottom w:val="nil"/>
              <w:right w:val="nil"/>
            </w:tcBorders>
            <w:shd w:val="clear" w:color="auto" w:fill="auto"/>
            <w:noWrap/>
            <w:vAlign w:val="center"/>
            <w:hideMark/>
          </w:tcPr>
          <w:p w14:paraId="2A9E0EF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87</w:t>
            </w:r>
          </w:p>
        </w:tc>
        <w:tc>
          <w:tcPr>
            <w:tcW w:w="893" w:type="dxa"/>
            <w:tcBorders>
              <w:top w:val="nil"/>
              <w:left w:val="single" w:sz="4" w:space="0" w:color="auto"/>
              <w:bottom w:val="nil"/>
              <w:right w:val="nil"/>
            </w:tcBorders>
            <w:shd w:val="clear" w:color="auto" w:fill="auto"/>
            <w:noWrap/>
            <w:vAlign w:val="center"/>
            <w:hideMark/>
          </w:tcPr>
          <w:p w14:paraId="0CB100F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166</w:t>
            </w:r>
          </w:p>
        </w:tc>
        <w:tc>
          <w:tcPr>
            <w:tcW w:w="1162" w:type="dxa"/>
            <w:tcBorders>
              <w:top w:val="nil"/>
              <w:left w:val="nil"/>
              <w:bottom w:val="nil"/>
              <w:right w:val="nil"/>
            </w:tcBorders>
            <w:shd w:val="clear" w:color="auto" w:fill="auto"/>
            <w:noWrap/>
            <w:vAlign w:val="center"/>
            <w:hideMark/>
          </w:tcPr>
          <w:p w14:paraId="7D7F828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53</w:t>
            </w:r>
          </w:p>
        </w:tc>
        <w:tc>
          <w:tcPr>
            <w:tcW w:w="1136" w:type="dxa"/>
            <w:tcBorders>
              <w:top w:val="nil"/>
              <w:left w:val="nil"/>
              <w:bottom w:val="nil"/>
              <w:right w:val="nil"/>
            </w:tcBorders>
            <w:shd w:val="clear" w:color="auto" w:fill="auto"/>
            <w:noWrap/>
            <w:vAlign w:val="center"/>
            <w:hideMark/>
          </w:tcPr>
          <w:p w14:paraId="1FC09EF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113</w:t>
            </w:r>
          </w:p>
        </w:tc>
        <w:tc>
          <w:tcPr>
            <w:tcW w:w="893" w:type="dxa"/>
            <w:tcBorders>
              <w:top w:val="nil"/>
              <w:left w:val="single" w:sz="4" w:space="0" w:color="auto"/>
              <w:bottom w:val="nil"/>
              <w:right w:val="nil"/>
            </w:tcBorders>
            <w:shd w:val="clear" w:color="auto" w:fill="auto"/>
            <w:noWrap/>
            <w:vAlign w:val="center"/>
            <w:hideMark/>
          </w:tcPr>
          <w:p w14:paraId="3B9E21B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186</w:t>
            </w:r>
          </w:p>
        </w:tc>
        <w:tc>
          <w:tcPr>
            <w:tcW w:w="1071" w:type="dxa"/>
            <w:tcBorders>
              <w:top w:val="nil"/>
              <w:left w:val="nil"/>
              <w:bottom w:val="nil"/>
              <w:right w:val="nil"/>
            </w:tcBorders>
            <w:shd w:val="clear" w:color="auto" w:fill="auto"/>
            <w:noWrap/>
            <w:vAlign w:val="center"/>
            <w:hideMark/>
          </w:tcPr>
          <w:p w14:paraId="3C817DF2"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59</w:t>
            </w:r>
          </w:p>
        </w:tc>
        <w:tc>
          <w:tcPr>
            <w:tcW w:w="1071" w:type="dxa"/>
            <w:tcBorders>
              <w:top w:val="nil"/>
              <w:left w:val="nil"/>
              <w:bottom w:val="nil"/>
              <w:right w:val="nil"/>
            </w:tcBorders>
            <w:shd w:val="clear" w:color="auto" w:fill="auto"/>
            <w:noWrap/>
            <w:vAlign w:val="center"/>
            <w:hideMark/>
          </w:tcPr>
          <w:p w14:paraId="4EC9736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127</w:t>
            </w:r>
          </w:p>
        </w:tc>
      </w:tr>
      <w:tr w:rsidR="00582975" w:rsidRPr="00582975" w14:paraId="76012300" w14:textId="77777777" w:rsidTr="00582975">
        <w:trPr>
          <w:trHeight w:val="300"/>
        </w:trPr>
        <w:tc>
          <w:tcPr>
            <w:tcW w:w="1480" w:type="dxa"/>
            <w:tcBorders>
              <w:top w:val="single" w:sz="4" w:space="0" w:color="auto"/>
              <w:left w:val="nil"/>
              <w:bottom w:val="single" w:sz="4" w:space="0" w:color="auto"/>
              <w:right w:val="nil"/>
            </w:tcBorders>
            <w:shd w:val="clear" w:color="000000" w:fill="F2F2F2"/>
            <w:noWrap/>
            <w:vAlign w:val="center"/>
            <w:hideMark/>
          </w:tcPr>
          <w:p w14:paraId="26941F9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Chester</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1B8DD10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79</w:t>
            </w:r>
          </w:p>
        </w:tc>
        <w:tc>
          <w:tcPr>
            <w:tcW w:w="1133" w:type="dxa"/>
            <w:tcBorders>
              <w:top w:val="single" w:sz="4" w:space="0" w:color="auto"/>
              <w:left w:val="nil"/>
              <w:bottom w:val="single" w:sz="4" w:space="0" w:color="auto"/>
              <w:right w:val="nil"/>
            </w:tcBorders>
            <w:shd w:val="clear" w:color="000000" w:fill="F2F2F2"/>
            <w:noWrap/>
            <w:vAlign w:val="center"/>
            <w:hideMark/>
          </w:tcPr>
          <w:p w14:paraId="2A99EC1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22</w:t>
            </w:r>
          </w:p>
        </w:tc>
        <w:tc>
          <w:tcPr>
            <w:tcW w:w="1175" w:type="dxa"/>
            <w:tcBorders>
              <w:top w:val="single" w:sz="4" w:space="0" w:color="auto"/>
              <w:left w:val="nil"/>
              <w:bottom w:val="single" w:sz="4" w:space="0" w:color="auto"/>
              <w:right w:val="nil"/>
            </w:tcBorders>
            <w:shd w:val="clear" w:color="000000" w:fill="F2F2F2"/>
            <w:noWrap/>
            <w:vAlign w:val="center"/>
            <w:hideMark/>
          </w:tcPr>
          <w:p w14:paraId="6E0203D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57</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5E59593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144</w:t>
            </w:r>
          </w:p>
        </w:tc>
        <w:tc>
          <w:tcPr>
            <w:tcW w:w="1071" w:type="dxa"/>
            <w:tcBorders>
              <w:top w:val="single" w:sz="4" w:space="0" w:color="auto"/>
              <w:left w:val="nil"/>
              <w:bottom w:val="single" w:sz="4" w:space="0" w:color="auto"/>
              <w:right w:val="nil"/>
            </w:tcBorders>
            <w:shd w:val="clear" w:color="000000" w:fill="F2F2F2"/>
            <w:noWrap/>
            <w:vAlign w:val="center"/>
            <w:hideMark/>
          </w:tcPr>
          <w:p w14:paraId="24C18427"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40</w:t>
            </w:r>
          </w:p>
        </w:tc>
        <w:tc>
          <w:tcPr>
            <w:tcW w:w="1071" w:type="dxa"/>
            <w:tcBorders>
              <w:top w:val="single" w:sz="4" w:space="0" w:color="auto"/>
              <w:left w:val="nil"/>
              <w:bottom w:val="single" w:sz="4" w:space="0" w:color="auto"/>
              <w:right w:val="nil"/>
            </w:tcBorders>
            <w:shd w:val="clear" w:color="000000" w:fill="F2F2F2"/>
            <w:noWrap/>
            <w:vAlign w:val="center"/>
            <w:hideMark/>
          </w:tcPr>
          <w:p w14:paraId="2EF7A3D6"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104</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6D55102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188</w:t>
            </w:r>
          </w:p>
        </w:tc>
        <w:tc>
          <w:tcPr>
            <w:tcW w:w="1162" w:type="dxa"/>
            <w:tcBorders>
              <w:top w:val="single" w:sz="4" w:space="0" w:color="auto"/>
              <w:left w:val="nil"/>
              <w:bottom w:val="single" w:sz="4" w:space="0" w:color="auto"/>
              <w:right w:val="nil"/>
            </w:tcBorders>
            <w:shd w:val="clear" w:color="000000" w:fill="F2F2F2"/>
            <w:noWrap/>
            <w:vAlign w:val="center"/>
            <w:hideMark/>
          </w:tcPr>
          <w:p w14:paraId="73595F9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53</w:t>
            </w:r>
          </w:p>
        </w:tc>
        <w:tc>
          <w:tcPr>
            <w:tcW w:w="1136" w:type="dxa"/>
            <w:tcBorders>
              <w:top w:val="single" w:sz="4" w:space="0" w:color="auto"/>
              <w:left w:val="nil"/>
              <w:bottom w:val="single" w:sz="4" w:space="0" w:color="auto"/>
              <w:right w:val="nil"/>
            </w:tcBorders>
            <w:shd w:val="clear" w:color="000000" w:fill="F2F2F2"/>
            <w:noWrap/>
            <w:vAlign w:val="center"/>
            <w:hideMark/>
          </w:tcPr>
          <w:p w14:paraId="46B5F3C2"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136</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4D553EB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211</w:t>
            </w:r>
          </w:p>
        </w:tc>
        <w:tc>
          <w:tcPr>
            <w:tcW w:w="1071" w:type="dxa"/>
            <w:tcBorders>
              <w:top w:val="single" w:sz="4" w:space="0" w:color="auto"/>
              <w:left w:val="nil"/>
              <w:bottom w:val="single" w:sz="4" w:space="0" w:color="auto"/>
              <w:right w:val="nil"/>
            </w:tcBorders>
            <w:shd w:val="clear" w:color="000000" w:fill="F2F2F2"/>
            <w:noWrap/>
            <w:vAlign w:val="center"/>
            <w:hideMark/>
          </w:tcPr>
          <w:p w14:paraId="5A53687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59</w:t>
            </w:r>
          </w:p>
        </w:tc>
        <w:tc>
          <w:tcPr>
            <w:tcW w:w="1071" w:type="dxa"/>
            <w:tcBorders>
              <w:top w:val="single" w:sz="4" w:space="0" w:color="auto"/>
              <w:left w:val="nil"/>
              <w:bottom w:val="single" w:sz="4" w:space="0" w:color="auto"/>
              <w:right w:val="nil"/>
            </w:tcBorders>
            <w:shd w:val="clear" w:color="000000" w:fill="F2F2F2"/>
            <w:noWrap/>
            <w:vAlign w:val="center"/>
            <w:hideMark/>
          </w:tcPr>
          <w:p w14:paraId="4CDA83D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152</w:t>
            </w:r>
          </w:p>
        </w:tc>
      </w:tr>
      <w:tr w:rsidR="00582975" w:rsidRPr="00582975" w14:paraId="4F1244A4" w14:textId="77777777" w:rsidTr="00582975">
        <w:trPr>
          <w:trHeight w:val="300"/>
        </w:trPr>
        <w:tc>
          <w:tcPr>
            <w:tcW w:w="1480" w:type="dxa"/>
            <w:tcBorders>
              <w:top w:val="nil"/>
              <w:left w:val="nil"/>
              <w:bottom w:val="nil"/>
              <w:right w:val="nil"/>
            </w:tcBorders>
            <w:shd w:val="clear" w:color="auto" w:fill="auto"/>
            <w:noWrap/>
            <w:vAlign w:val="center"/>
            <w:hideMark/>
          </w:tcPr>
          <w:p w14:paraId="24A8AAE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Deerfield</w:t>
            </w:r>
          </w:p>
        </w:tc>
        <w:tc>
          <w:tcPr>
            <w:tcW w:w="893" w:type="dxa"/>
            <w:tcBorders>
              <w:top w:val="nil"/>
              <w:left w:val="single" w:sz="4" w:space="0" w:color="auto"/>
              <w:bottom w:val="nil"/>
              <w:right w:val="nil"/>
            </w:tcBorders>
            <w:shd w:val="clear" w:color="auto" w:fill="auto"/>
            <w:noWrap/>
            <w:vAlign w:val="center"/>
            <w:hideMark/>
          </w:tcPr>
          <w:p w14:paraId="75B1ACD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58</w:t>
            </w:r>
          </w:p>
        </w:tc>
        <w:tc>
          <w:tcPr>
            <w:tcW w:w="1133" w:type="dxa"/>
            <w:tcBorders>
              <w:top w:val="nil"/>
              <w:left w:val="nil"/>
              <w:bottom w:val="nil"/>
              <w:right w:val="nil"/>
            </w:tcBorders>
            <w:shd w:val="clear" w:color="auto" w:fill="auto"/>
            <w:noWrap/>
            <w:vAlign w:val="center"/>
            <w:hideMark/>
          </w:tcPr>
          <w:p w14:paraId="3C40D28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21</w:t>
            </w:r>
          </w:p>
        </w:tc>
        <w:tc>
          <w:tcPr>
            <w:tcW w:w="1175" w:type="dxa"/>
            <w:tcBorders>
              <w:top w:val="nil"/>
              <w:left w:val="nil"/>
              <w:bottom w:val="nil"/>
              <w:right w:val="nil"/>
            </w:tcBorders>
            <w:shd w:val="clear" w:color="auto" w:fill="auto"/>
            <w:noWrap/>
            <w:vAlign w:val="center"/>
            <w:hideMark/>
          </w:tcPr>
          <w:p w14:paraId="1DD8786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37</w:t>
            </w:r>
          </w:p>
        </w:tc>
        <w:tc>
          <w:tcPr>
            <w:tcW w:w="893" w:type="dxa"/>
            <w:tcBorders>
              <w:top w:val="nil"/>
              <w:left w:val="single" w:sz="4" w:space="0" w:color="auto"/>
              <w:bottom w:val="nil"/>
              <w:right w:val="nil"/>
            </w:tcBorders>
            <w:shd w:val="clear" w:color="auto" w:fill="auto"/>
            <w:noWrap/>
            <w:vAlign w:val="center"/>
            <w:hideMark/>
          </w:tcPr>
          <w:p w14:paraId="148FE39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106</w:t>
            </w:r>
          </w:p>
        </w:tc>
        <w:tc>
          <w:tcPr>
            <w:tcW w:w="1071" w:type="dxa"/>
            <w:tcBorders>
              <w:top w:val="nil"/>
              <w:left w:val="nil"/>
              <w:bottom w:val="nil"/>
              <w:right w:val="nil"/>
            </w:tcBorders>
            <w:shd w:val="clear" w:color="auto" w:fill="auto"/>
            <w:noWrap/>
            <w:vAlign w:val="center"/>
            <w:hideMark/>
          </w:tcPr>
          <w:p w14:paraId="6F1A8EA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38</w:t>
            </w:r>
          </w:p>
        </w:tc>
        <w:tc>
          <w:tcPr>
            <w:tcW w:w="1071" w:type="dxa"/>
            <w:tcBorders>
              <w:top w:val="nil"/>
              <w:left w:val="nil"/>
              <w:bottom w:val="nil"/>
              <w:right w:val="nil"/>
            </w:tcBorders>
            <w:shd w:val="clear" w:color="auto" w:fill="auto"/>
            <w:noWrap/>
            <w:vAlign w:val="center"/>
            <w:hideMark/>
          </w:tcPr>
          <w:p w14:paraId="68DEF64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68</w:t>
            </w:r>
          </w:p>
        </w:tc>
        <w:tc>
          <w:tcPr>
            <w:tcW w:w="893" w:type="dxa"/>
            <w:tcBorders>
              <w:top w:val="nil"/>
              <w:left w:val="single" w:sz="4" w:space="0" w:color="auto"/>
              <w:bottom w:val="nil"/>
              <w:right w:val="nil"/>
            </w:tcBorders>
            <w:shd w:val="clear" w:color="auto" w:fill="auto"/>
            <w:noWrap/>
            <w:vAlign w:val="center"/>
            <w:hideMark/>
          </w:tcPr>
          <w:p w14:paraId="4C9BE82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139</w:t>
            </w:r>
          </w:p>
        </w:tc>
        <w:tc>
          <w:tcPr>
            <w:tcW w:w="1162" w:type="dxa"/>
            <w:tcBorders>
              <w:top w:val="nil"/>
              <w:left w:val="nil"/>
              <w:bottom w:val="nil"/>
              <w:right w:val="nil"/>
            </w:tcBorders>
            <w:shd w:val="clear" w:color="auto" w:fill="auto"/>
            <w:noWrap/>
            <w:vAlign w:val="center"/>
            <w:hideMark/>
          </w:tcPr>
          <w:p w14:paraId="1426D806"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50</w:t>
            </w:r>
          </w:p>
        </w:tc>
        <w:tc>
          <w:tcPr>
            <w:tcW w:w="1136" w:type="dxa"/>
            <w:tcBorders>
              <w:top w:val="nil"/>
              <w:left w:val="nil"/>
              <w:bottom w:val="nil"/>
              <w:right w:val="nil"/>
            </w:tcBorders>
            <w:shd w:val="clear" w:color="auto" w:fill="auto"/>
            <w:noWrap/>
            <w:vAlign w:val="center"/>
            <w:hideMark/>
          </w:tcPr>
          <w:p w14:paraId="313A113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89</w:t>
            </w:r>
          </w:p>
        </w:tc>
        <w:tc>
          <w:tcPr>
            <w:tcW w:w="893" w:type="dxa"/>
            <w:tcBorders>
              <w:top w:val="nil"/>
              <w:left w:val="single" w:sz="4" w:space="0" w:color="auto"/>
              <w:bottom w:val="nil"/>
              <w:right w:val="nil"/>
            </w:tcBorders>
            <w:shd w:val="clear" w:color="auto" w:fill="auto"/>
            <w:noWrap/>
            <w:vAlign w:val="center"/>
            <w:hideMark/>
          </w:tcPr>
          <w:p w14:paraId="1BB2EC7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156</w:t>
            </w:r>
          </w:p>
        </w:tc>
        <w:tc>
          <w:tcPr>
            <w:tcW w:w="1071" w:type="dxa"/>
            <w:tcBorders>
              <w:top w:val="nil"/>
              <w:left w:val="nil"/>
              <w:bottom w:val="nil"/>
              <w:right w:val="nil"/>
            </w:tcBorders>
            <w:shd w:val="clear" w:color="auto" w:fill="auto"/>
            <w:noWrap/>
            <w:vAlign w:val="center"/>
            <w:hideMark/>
          </w:tcPr>
          <w:p w14:paraId="3A26F67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56</w:t>
            </w:r>
          </w:p>
        </w:tc>
        <w:tc>
          <w:tcPr>
            <w:tcW w:w="1071" w:type="dxa"/>
            <w:tcBorders>
              <w:top w:val="nil"/>
              <w:left w:val="nil"/>
              <w:bottom w:val="nil"/>
              <w:right w:val="nil"/>
            </w:tcBorders>
            <w:shd w:val="clear" w:color="auto" w:fill="auto"/>
            <w:noWrap/>
            <w:vAlign w:val="center"/>
            <w:hideMark/>
          </w:tcPr>
          <w:p w14:paraId="03C8F2A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100</w:t>
            </w:r>
          </w:p>
        </w:tc>
      </w:tr>
      <w:tr w:rsidR="00582975" w:rsidRPr="00582975" w14:paraId="04EE9ACF" w14:textId="77777777" w:rsidTr="00582975">
        <w:trPr>
          <w:trHeight w:val="300"/>
        </w:trPr>
        <w:tc>
          <w:tcPr>
            <w:tcW w:w="1480" w:type="dxa"/>
            <w:tcBorders>
              <w:top w:val="single" w:sz="4" w:space="0" w:color="auto"/>
              <w:left w:val="nil"/>
              <w:bottom w:val="single" w:sz="4" w:space="0" w:color="auto"/>
              <w:right w:val="nil"/>
            </w:tcBorders>
            <w:shd w:val="clear" w:color="000000" w:fill="F2F2F2"/>
            <w:noWrap/>
            <w:vAlign w:val="center"/>
            <w:hideMark/>
          </w:tcPr>
          <w:p w14:paraId="0AE01C1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Derry</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52A2C0B9"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579</w:t>
            </w:r>
          </w:p>
        </w:tc>
        <w:tc>
          <w:tcPr>
            <w:tcW w:w="1133" w:type="dxa"/>
            <w:tcBorders>
              <w:top w:val="single" w:sz="4" w:space="0" w:color="auto"/>
              <w:left w:val="nil"/>
              <w:bottom w:val="single" w:sz="4" w:space="0" w:color="auto"/>
              <w:right w:val="nil"/>
            </w:tcBorders>
            <w:shd w:val="clear" w:color="000000" w:fill="F2F2F2"/>
            <w:noWrap/>
            <w:vAlign w:val="center"/>
            <w:hideMark/>
          </w:tcPr>
          <w:p w14:paraId="48C86AA6"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208</w:t>
            </w:r>
          </w:p>
        </w:tc>
        <w:tc>
          <w:tcPr>
            <w:tcW w:w="1175" w:type="dxa"/>
            <w:tcBorders>
              <w:top w:val="single" w:sz="4" w:space="0" w:color="auto"/>
              <w:left w:val="nil"/>
              <w:bottom w:val="single" w:sz="4" w:space="0" w:color="auto"/>
              <w:right w:val="nil"/>
            </w:tcBorders>
            <w:shd w:val="clear" w:color="000000" w:fill="F2F2F2"/>
            <w:noWrap/>
            <w:vAlign w:val="center"/>
            <w:hideMark/>
          </w:tcPr>
          <w:p w14:paraId="4BB03C4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372</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4305E8D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1,062</w:t>
            </w:r>
          </w:p>
        </w:tc>
        <w:tc>
          <w:tcPr>
            <w:tcW w:w="1071" w:type="dxa"/>
            <w:tcBorders>
              <w:top w:val="single" w:sz="4" w:space="0" w:color="auto"/>
              <w:left w:val="nil"/>
              <w:bottom w:val="single" w:sz="4" w:space="0" w:color="auto"/>
              <w:right w:val="nil"/>
            </w:tcBorders>
            <w:shd w:val="clear" w:color="000000" w:fill="F2F2F2"/>
            <w:noWrap/>
            <w:vAlign w:val="center"/>
            <w:hideMark/>
          </w:tcPr>
          <w:p w14:paraId="54C2EAB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381</w:t>
            </w:r>
          </w:p>
        </w:tc>
        <w:tc>
          <w:tcPr>
            <w:tcW w:w="1071" w:type="dxa"/>
            <w:tcBorders>
              <w:top w:val="single" w:sz="4" w:space="0" w:color="auto"/>
              <w:left w:val="nil"/>
              <w:bottom w:val="single" w:sz="4" w:space="0" w:color="auto"/>
              <w:right w:val="nil"/>
            </w:tcBorders>
            <w:shd w:val="clear" w:color="000000" w:fill="F2F2F2"/>
            <w:noWrap/>
            <w:vAlign w:val="center"/>
            <w:hideMark/>
          </w:tcPr>
          <w:p w14:paraId="54B2F0B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681</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6FC9FAA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1,385</w:t>
            </w:r>
          </w:p>
        </w:tc>
        <w:tc>
          <w:tcPr>
            <w:tcW w:w="1162" w:type="dxa"/>
            <w:tcBorders>
              <w:top w:val="single" w:sz="4" w:space="0" w:color="auto"/>
              <w:left w:val="nil"/>
              <w:bottom w:val="single" w:sz="4" w:space="0" w:color="auto"/>
              <w:right w:val="nil"/>
            </w:tcBorders>
            <w:shd w:val="clear" w:color="000000" w:fill="F2F2F2"/>
            <w:noWrap/>
            <w:vAlign w:val="center"/>
            <w:hideMark/>
          </w:tcPr>
          <w:p w14:paraId="32A1551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498</w:t>
            </w:r>
          </w:p>
        </w:tc>
        <w:tc>
          <w:tcPr>
            <w:tcW w:w="1136" w:type="dxa"/>
            <w:tcBorders>
              <w:top w:val="single" w:sz="4" w:space="0" w:color="auto"/>
              <w:left w:val="nil"/>
              <w:bottom w:val="single" w:sz="4" w:space="0" w:color="auto"/>
              <w:right w:val="nil"/>
            </w:tcBorders>
            <w:shd w:val="clear" w:color="000000" w:fill="F2F2F2"/>
            <w:noWrap/>
            <w:vAlign w:val="center"/>
            <w:hideMark/>
          </w:tcPr>
          <w:p w14:paraId="7249782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887</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0793E14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1,553</w:t>
            </w:r>
          </w:p>
        </w:tc>
        <w:tc>
          <w:tcPr>
            <w:tcW w:w="1071" w:type="dxa"/>
            <w:tcBorders>
              <w:top w:val="single" w:sz="4" w:space="0" w:color="auto"/>
              <w:left w:val="nil"/>
              <w:bottom w:val="single" w:sz="4" w:space="0" w:color="auto"/>
              <w:right w:val="nil"/>
            </w:tcBorders>
            <w:shd w:val="clear" w:color="000000" w:fill="F2F2F2"/>
            <w:noWrap/>
            <w:vAlign w:val="center"/>
            <w:hideMark/>
          </w:tcPr>
          <w:p w14:paraId="4F369B7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558</w:t>
            </w:r>
          </w:p>
        </w:tc>
        <w:tc>
          <w:tcPr>
            <w:tcW w:w="1071" w:type="dxa"/>
            <w:tcBorders>
              <w:top w:val="single" w:sz="4" w:space="0" w:color="auto"/>
              <w:left w:val="nil"/>
              <w:bottom w:val="single" w:sz="4" w:space="0" w:color="auto"/>
              <w:right w:val="nil"/>
            </w:tcBorders>
            <w:shd w:val="clear" w:color="000000" w:fill="F2F2F2"/>
            <w:noWrap/>
            <w:vAlign w:val="center"/>
            <w:hideMark/>
          </w:tcPr>
          <w:p w14:paraId="7CF6036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995</w:t>
            </w:r>
          </w:p>
        </w:tc>
      </w:tr>
      <w:tr w:rsidR="00582975" w:rsidRPr="00582975" w14:paraId="3829E8D3" w14:textId="77777777" w:rsidTr="00582975">
        <w:trPr>
          <w:trHeight w:val="300"/>
        </w:trPr>
        <w:tc>
          <w:tcPr>
            <w:tcW w:w="1480" w:type="dxa"/>
            <w:tcBorders>
              <w:top w:val="nil"/>
              <w:left w:val="nil"/>
              <w:bottom w:val="nil"/>
              <w:right w:val="nil"/>
            </w:tcBorders>
            <w:shd w:val="clear" w:color="auto" w:fill="auto"/>
            <w:noWrap/>
            <w:vAlign w:val="center"/>
            <w:hideMark/>
          </w:tcPr>
          <w:p w14:paraId="50B5B6D0" w14:textId="77777777" w:rsidR="00582975" w:rsidRPr="00582975" w:rsidRDefault="00582975" w:rsidP="00582975">
            <w:pPr>
              <w:spacing w:after="0" w:line="240" w:lineRule="auto"/>
              <w:jc w:val="center"/>
              <w:rPr>
                <w:rFonts w:ascii="Tw Cen MT" w:eastAsia="Times New Roman" w:hAnsi="Tw Cen MT" w:cs="Calibri"/>
                <w:color w:val="000000"/>
              </w:rPr>
            </w:pPr>
            <w:proofErr w:type="spellStart"/>
            <w:r w:rsidRPr="00582975">
              <w:rPr>
                <w:rFonts w:ascii="Tw Cen MT" w:eastAsia="Times New Roman" w:hAnsi="Tw Cen MT" w:cs="Calibri"/>
                <w:color w:val="000000"/>
              </w:rPr>
              <w:t>Francestown</w:t>
            </w:r>
            <w:proofErr w:type="spellEnd"/>
          </w:p>
        </w:tc>
        <w:tc>
          <w:tcPr>
            <w:tcW w:w="893" w:type="dxa"/>
            <w:tcBorders>
              <w:top w:val="nil"/>
              <w:left w:val="single" w:sz="4" w:space="0" w:color="auto"/>
              <w:bottom w:val="nil"/>
              <w:right w:val="nil"/>
            </w:tcBorders>
            <w:shd w:val="clear" w:color="auto" w:fill="auto"/>
            <w:noWrap/>
            <w:vAlign w:val="center"/>
            <w:hideMark/>
          </w:tcPr>
          <w:p w14:paraId="66332B9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24</w:t>
            </w:r>
          </w:p>
        </w:tc>
        <w:tc>
          <w:tcPr>
            <w:tcW w:w="1133" w:type="dxa"/>
            <w:tcBorders>
              <w:top w:val="nil"/>
              <w:left w:val="nil"/>
              <w:bottom w:val="nil"/>
              <w:right w:val="nil"/>
            </w:tcBorders>
            <w:shd w:val="clear" w:color="auto" w:fill="auto"/>
            <w:noWrap/>
            <w:vAlign w:val="center"/>
            <w:hideMark/>
          </w:tcPr>
          <w:p w14:paraId="541B49F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9</w:t>
            </w:r>
          </w:p>
        </w:tc>
        <w:tc>
          <w:tcPr>
            <w:tcW w:w="1175" w:type="dxa"/>
            <w:tcBorders>
              <w:top w:val="nil"/>
              <w:left w:val="nil"/>
              <w:bottom w:val="nil"/>
              <w:right w:val="nil"/>
            </w:tcBorders>
            <w:shd w:val="clear" w:color="auto" w:fill="auto"/>
            <w:noWrap/>
            <w:vAlign w:val="center"/>
            <w:hideMark/>
          </w:tcPr>
          <w:p w14:paraId="35F279D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15</w:t>
            </w:r>
          </w:p>
        </w:tc>
        <w:tc>
          <w:tcPr>
            <w:tcW w:w="893" w:type="dxa"/>
            <w:tcBorders>
              <w:top w:val="nil"/>
              <w:left w:val="single" w:sz="4" w:space="0" w:color="auto"/>
              <w:bottom w:val="nil"/>
              <w:right w:val="nil"/>
            </w:tcBorders>
            <w:shd w:val="clear" w:color="auto" w:fill="auto"/>
            <w:noWrap/>
            <w:vAlign w:val="center"/>
            <w:hideMark/>
          </w:tcPr>
          <w:p w14:paraId="32388AB7"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43</w:t>
            </w:r>
          </w:p>
        </w:tc>
        <w:tc>
          <w:tcPr>
            <w:tcW w:w="1071" w:type="dxa"/>
            <w:tcBorders>
              <w:top w:val="nil"/>
              <w:left w:val="nil"/>
              <w:bottom w:val="nil"/>
              <w:right w:val="nil"/>
            </w:tcBorders>
            <w:shd w:val="clear" w:color="auto" w:fill="auto"/>
            <w:noWrap/>
            <w:vAlign w:val="center"/>
            <w:hideMark/>
          </w:tcPr>
          <w:p w14:paraId="3E2E5A02"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15</w:t>
            </w:r>
          </w:p>
        </w:tc>
        <w:tc>
          <w:tcPr>
            <w:tcW w:w="1071" w:type="dxa"/>
            <w:tcBorders>
              <w:top w:val="nil"/>
              <w:left w:val="nil"/>
              <w:bottom w:val="nil"/>
              <w:right w:val="nil"/>
            </w:tcBorders>
            <w:shd w:val="clear" w:color="auto" w:fill="auto"/>
            <w:noWrap/>
            <w:vAlign w:val="center"/>
            <w:hideMark/>
          </w:tcPr>
          <w:p w14:paraId="133FDC2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28</w:t>
            </w:r>
          </w:p>
        </w:tc>
        <w:tc>
          <w:tcPr>
            <w:tcW w:w="893" w:type="dxa"/>
            <w:tcBorders>
              <w:top w:val="nil"/>
              <w:left w:val="single" w:sz="4" w:space="0" w:color="auto"/>
              <w:bottom w:val="nil"/>
              <w:right w:val="nil"/>
            </w:tcBorders>
            <w:shd w:val="clear" w:color="auto" w:fill="auto"/>
            <w:noWrap/>
            <w:vAlign w:val="center"/>
            <w:hideMark/>
          </w:tcPr>
          <w:p w14:paraId="13EDFE2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57</w:t>
            </w:r>
          </w:p>
        </w:tc>
        <w:tc>
          <w:tcPr>
            <w:tcW w:w="1162" w:type="dxa"/>
            <w:tcBorders>
              <w:top w:val="nil"/>
              <w:left w:val="nil"/>
              <w:bottom w:val="nil"/>
              <w:right w:val="nil"/>
            </w:tcBorders>
            <w:shd w:val="clear" w:color="auto" w:fill="auto"/>
            <w:noWrap/>
            <w:vAlign w:val="center"/>
            <w:hideMark/>
          </w:tcPr>
          <w:p w14:paraId="2C3B7E7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20</w:t>
            </w:r>
          </w:p>
        </w:tc>
        <w:tc>
          <w:tcPr>
            <w:tcW w:w="1136" w:type="dxa"/>
            <w:tcBorders>
              <w:top w:val="nil"/>
              <w:left w:val="nil"/>
              <w:bottom w:val="nil"/>
              <w:right w:val="nil"/>
            </w:tcBorders>
            <w:shd w:val="clear" w:color="auto" w:fill="auto"/>
            <w:noWrap/>
            <w:vAlign w:val="center"/>
            <w:hideMark/>
          </w:tcPr>
          <w:p w14:paraId="016FC82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37</w:t>
            </w:r>
          </w:p>
        </w:tc>
        <w:tc>
          <w:tcPr>
            <w:tcW w:w="893" w:type="dxa"/>
            <w:tcBorders>
              <w:top w:val="nil"/>
              <w:left w:val="single" w:sz="4" w:space="0" w:color="auto"/>
              <w:bottom w:val="nil"/>
              <w:right w:val="nil"/>
            </w:tcBorders>
            <w:shd w:val="clear" w:color="auto" w:fill="auto"/>
            <w:noWrap/>
            <w:vAlign w:val="center"/>
            <w:hideMark/>
          </w:tcPr>
          <w:p w14:paraId="385ED5C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65</w:t>
            </w:r>
          </w:p>
        </w:tc>
        <w:tc>
          <w:tcPr>
            <w:tcW w:w="1071" w:type="dxa"/>
            <w:tcBorders>
              <w:top w:val="nil"/>
              <w:left w:val="nil"/>
              <w:bottom w:val="nil"/>
              <w:right w:val="nil"/>
            </w:tcBorders>
            <w:shd w:val="clear" w:color="auto" w:fill="auto"/>
            <w:noWrap/>
            <w:vAlign w:val="center"/>
            <w:hideMark/>
          </w:tcPr>
          <w:p w14:paraId="293C7AC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23</w:t>
            </w:r>
          </w:p>
        </w:tc>
        <w:tc>
          <w:tcPr>
            <w:tcW w:w="1071" w:type="dxa"/>
            <w:tcBorders>
              <w:top w:val="nil"/>
              <w:left w:val="nil"/>
              <w:bottom w:val="nil"/>
              <w:right w:val="nil"/>
            </w:tcBorders>
            <w:shd w:val="clear" w:color="auto" w:fill="auto"/>
            <w:noWrap/>
            <w:vAlign w:val="center"/>
            <w:hideMark/>
          </w:tcPr>
          <w:p w14:paraId="103E1149"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42</w:t>
            </w:r>
          </w:p>
        </w:tc>
      </w:tr>
      <w:tr w:rsidR="00582975" w:rsidRPr="00582975" w14:paraId="0AF7AB7C" w14:textId="77777777" w:rsidTr="00582975">
        <w:trPr>
          <w:trHeight w:val="300"/>
        </w:trPr>
        <w:tc>
          <w:tcPr>
            <w:tcW w:w="1480" w:type="dxa"/>
            <w:tcBorders>
              <w:top w:val="single" w:sz="4" w:space="0" w:color="auto"/>
              <w:left w:val="nil"/>
              <w:bottom w:val="single" w:sz="4" w:space="0" w:color="auto"/>
              <w:right w:val="nil"/>
            </w:tcBorders>
            <w:shd w:val="clear" w:color="000000" w:fill="F2F2F2"/>
            <w:noWrap/>
            <w:vAlign w:val="center"/>
            <w:hideMark/>
          </w:tcPr>
          <w:p w14:paraId="3AD5AF2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Goffstown</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32AE7152"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310</w:t>
            </w:r>
          </w:p>
        </w:tc>
        <w:tc>
          <w:tcPr>
            <w:tcW w:w="1133" w:type="dxa"/>
            <w:tcBorders>
              <w:top w:val="single" w:sz="4" w:space="0" w:color="auto"/>
              <w:left w:val="nil"/>
              <w:bottom w:val="single" w:sz="4" w:space="0" w:color="auto"/>
              <w:right w:val="nil"/>
            </w:tcBorders>
            <w:shd w:val="clear" w:color="000000" w:fill="F2F2F2"/>
            <w:noWrap/>
            <w:vAlign w:val="center"/>
            <w:hideMark/>
          </w:tcPr>
          <w:p w14:paraId="693E290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98</w:t>
            </w:r>
          </w:p>
        </w:tc>
        <w:tc>
          <w:tcPr>
            <w:tcW w:w="1175" w:type="dxa"/>
            <w:tcBorders>
              <w:top w:val="single" w:sz="4" w:space="0" w:color="auto"/>
              <w:left w:val="nil"/>
              <w:bottom w:val="single" w:sz="4" w:space="0" w:color="auto"/>
              <w:right w:val="nil"/>
            </w:tcBorders>
            <w:shd w:val="clear" w:color="000000" w:fill="F2F2F2"/>
            <w:noWrap/>
            <w:vAlign w:val="center"/>
            <w:hideMark/>
          </w:tcPr>
          <w:p w14:paraId="10BA0F3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211</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4CE6D15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562</w:t>
            </w:r>
          </w:p>
        </w:tc>
        <w:tc>
          <w:tcPr>
            <w:tcW w:w="1071" w:type="dxa"/>
            <w:tcBorders>
              <w:top w:val="single" w:sz="4" w:space="0" w:color="auto"/>
              <w:left w:val="nil"/>
              <w:bottom w:val="single" w:sz="4" w:space="0" w:color="auto"/>
              <w:right w:val="nil"/>
            </w:tcBorders>
            <w:shd w:val="clear" w:color="000000" w:fill="F2F2F2"/>
            <w:noWrap/>
            <w:vAlign w:val="center"/>
            <w:hideMark/>
          </w:tcPr>
          <w:p w14:paraId="4DF9524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178</w:t>
            </w:r>
          </w:p>
        </w:tc>
        <w:tc>
          <w:tcPr>
            <w:tcW w:w="1071" w:type="dxa"/>
            <w:tcBorders>
              <w:top w:val="single" w:sz="4" w:space="0" w:color="auto"/>
              <w:left w:val="nil"/>
              <w:bottom w:val="single" w:sz="4" w:space="0" w:color="auto"/>
              <w:right w:val="nil"/>
            </w:tcBorders>
            <w:shd w:val="clear" w:color="000000" w:fill="F2F2F2"/>
            <w:noWrap/>
            <w:vAlign w:val="center"/>
            <w:hideMark/>
          </w:tcPr>
          <w:p w14:paraId="70D5D0D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384</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55BAD08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735</w:t>
            </w:r>
          </w:p>
        </w:tc>
        <w:tc>
          <w:tcPr>
            <w:tcW w:w="1162" w:type="dxa"/>
            <w:tcBorders>
              <w:top w:val="single" w:sz="4" w:space="0" w:color="auto"/>
              <w:left w:val="nil"/>
              <w:bottom w:val="single" w:sz="4" w:space="0" w:color="auto"/>
              <w:right w:val="nil"/>
            </w:tcBorders>
            <w:shd w:val="clear" w:color="000000" w:fill="F2F2F2"/>
            <w:noWrap/>
            <w:vAlign w:val="center"/>
            <w:hideMark/>
          </w:tcPr>
          <w:p w14:paraId="7ADDC87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234</w:t>
            </w:r>
          </w:p>
        </w:tc>
        <w:tc>
          <w:tcPr>
            <w:tcW w:w="1136" w:type="dxa"/>
            <w:tcBorders>
              <w:top w:val="single" w:sz="4" w:space="0" w:color="auto"/>
              <w:left w:val="nil"/>
              <w:bottom w:val="single" w:sz="4" w:space="0" w:color="auto"/>
              <w:right w:val="nil"/>
            </w:tcBorders>
            <w:shd w:val="clear" w:color="000000" w:fill="F2F2F2"/>
            <w:noWrap/>
            <w:vAlign w:val="center"/>
            <w:hideMark/>
          </w:tcPr>
          <w:p w14:paraId="295F804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501</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4FC7F1F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838</w:t>
            </w:r>
          </w:p>
        </w:tc>
        <w:tc>
          <w:tcPr>
            <w:tcW w:w="1071" w:type="dxa"/>
            <w:tcBorders>
              <w:top w:val="single" w:sz="4" w:space="0" w:color="auto"/>
              <w:left w:val="nil"/>
              <w:bottom w:val="single" w:sz="4" w:space="0" w:color="auto"/>
              <w:right w:val="nil"/>
            </w:tcBorders>
            <w:shd w:val="clear" w:color="000000" w:fill="F2F2F2"/>
            <w:noWrap/>
            <w:vAlign w:val="center"/>
            <w:hideMark/>
          </w:tcPr>
          <w:p w14:paraId="449B4F7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268</w:t>
            </w:r>
          </w:p>
        </w:tc>
        <w:tc>
          <w:tcPr>
            <w:tcW w:w="1071" w:type="dxa"/>
            <w:tcBorders>
              <w:top w:val="single" w:sz="4" w:space="0" w:color="auto"/>
              <w:left w:val="nil"/>
              <w:bottom w:val="single" w:sz="4" w:space="0" w:color="auto"/>
              <w:right w:val="nil"/>
            </w:tcBorders>
            <w:shd w:val="clear" w:color="000000" w:fill="F2F2F2"/>
            <w:noWrap/>
            <w:vAlign w:val="center"/>
            <w:hideMark/>
          </w:tcPr>
          <w:p w14:paraId="1544C9A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570</w:t>
            </w:r>
          </w:p>
        </w:tc>
      </w:tr>
      <w:tr w:rsidR="00582975" w:rsidRPr="00582975" w14:paraId="0177B4DB" w14:textId="77777777" w:rsidTr="00582975">
        <w:trPr>
          <w:trHeight w:val="300"/>
        </w:trPr>
        <w:tc>
          <w:tcPr>
            <w:tcW w:w="1480" w:type="dxa"/>
            <w:tcBorders>
              <w:top w:val="nil"/>
              <w:left w:val="nil"/>
              <w:bottom w:val="nil"/>
              <w:right w:val="nil"/>
            </w:tcBorders>
            <w:shd w:val="clear" w:color="auto" w:fill="auto"/>
            <w:noWrap/>
            <w:vAlign w:val="center"/>
            <w:hideMark/>
          </w:tcPr>
          <w:p w14:paraId="5A7A7BE7"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Hooksett</w:t>
            </w:r>
          </w:p>
        </w:tc>
        <w:tc>
          <w:tcPr>
            <w:tcW w:w="893" w:type="dxa"/>
            <w:tcBorders>
              <w:top w:val="nil"/>
              <w:left w:val="single" w:sz="4" w:space="0" w:color="auto"/>
              <w:bottom w:val="nil"/>
              <w:right w:val="nil"/>
            </w:tcBorders>
            <w:shd w:val="clear" w:color="auto" w:fill="auto"/>
            <w:noWrap/>
            <w:vAlign w:val="center"/>
            <w:hideMark/>
          </w:tcPr>
          <w:p w14:paraId="27F02E2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242</w:t>
            </w:r>
          </w:p>
        </w:tc>
        <w:tc>
          <w:tcPr>
            <w:tcW w:w="1133" w:type="dxa"/>
            <w:tcBorders>
              <w:top w:val="nil"/>
              <w:left w:val="nil"/>
              <w:bottom w:val="nil"/>
              <w:right w:val="nil"/>
            </w:tcBorders>
            <w:shd w:val="clear" w:color="auto" w:fill="auto"/>
            <w:noWrap/>
            <w:vAlign w:val="center"/>
            <w:hideMark/>
          </w:tcPr>
          <w:p w14:paraId="4428455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78</w:t>
            </w:r>
          </w:p>
        </w:tc>
        <w:tc>
          <w:tcPr>
            <w:tcW w:w="1175" w:type="dxa"/>
            <w:tcBorders>
              <w:top w:val="nil"/>
              <w:left w:val="nil"/>
              <w:bottom w:val="nil"/>
              <w:right w:val="nil"/>
            </w:tcBorders>
            <w:shd w:val="clear" w:color="auto" w:fill="auto"/>
            <w:noWrap/>
            <w:vAlign w:val="center"/>
            <w:hideMark/>
          </w:tcPr>
          <w:p w14:paraId="57F9285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163</w:t>
            </w:r>
          </w:p>
        </w:tc>
        <w:tc>
          <w:tcPr>
            <w:tcW w:w="893" w:type="dxa"/>
            <w:tcBorders>
              <w:top w:val="nil"/>
              <w:left w:val="single" w:sz="4" w:space="0" w:color="auto"/>
              <w:bottom w:val="nil"/>
              <w:right w:val="nil"/>
            </w:tcBorders>
            <w:shd w:val="clear" w:color="auto" w:fill="auto"/>
            <w:noWrap/>
            <w:vAlign w:val="center"/>
            <w:hideMark/>
          </w:tcPr>
          <w:p w14:paraId="0C8E9177"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442</w:t>
            </w:r>
          </w:p>
        </w:tc>
        <w:tc>
          <w:tcPr>
            <w:tcW w:w="1071" w:type="dxa"/>
            <w:tcBorders>
              <w:top w:val="nil"/>
              <w:left w:val="nil"/>
              <w:bottom w:val="nil"/>
              <w:right w:val="nil"/>
            </w:tcBorders>
            <w:shd w:val="clear" w:color="auto" w:fill="auto"/>
            <w:noWrap/>
            <w:vAlign w:val="center"/>
            <w:hideMark/>
          </w:tcPr>
          <w:p w14:paraId="546F4A9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143</w:t>
            </w:r>
          </w:p>
        </w:tc>
        <w:tc>
          <w:tcPr>
            <w:tcW w:w="1071" w:type="dxa"/>
            <w:tcBorders>
              <w:top w:val="nil"/>
              <w:left w:val="nil"/>
              <w:bottom w:val="nil"/>
              <w:right w:val="nil"/>
            </w:tcBorders>
            <w:shd w:val="clear" w:color="auto" w:fill="auto"/>
            <w:noWrap/>
            <w:vAlign w:val="center"/>
            <w:hideMark/>
          </w:tcPr>
          <w:p w14:paraId="4C8E2E5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299</w:t>
            </w:r>
          </w:p>
        </w:tc>
        <w:tc>
          <w:tcPr>
            <w:tcW w:w="893" w:type="dxa"/>
            <w:tcBorders>
              <w:top w:val="nil"/>
              <w:left w:val="single" w:sz="4" w:space="0" w:color="auto"/>
              <w:bottom w:val="nil"/>
              <w:right w:val="nil"/>
            </w:tcBorders>
            <w:shd w:val="clear" w:color="auto" w:fill="auto"/>
            <w:noWrap/>
            <w:vAlign w:val="center"/>
            <w:hideMark/>
          </w:tcPr>
          <w:p w14:paraId="0594C07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573</w:t>
            </w:r>
          </w:p>
        </w:tc>
        <w:tc>
          <w:tcPr>
            <w:tcW w:w="1162" w:type="dxa"/>
            <w:tcBorders>
              <w:top w:val="nil"/>
              <w:left w:val="nil"/>
              <w:bottom w:val="nil"/>
              <w:right w:val="nil"/>
            </w:tcBorders>
            <w:shd w:val="clear" w:color="auto" w:fill="auto"/>
            <w:noWrap/>
            <w:vAlign w:val="center"/>
            <w:hideMark/>
          </w:tcPr>
          <w:p w14:paraId="36A918B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186</w:t>
            </w:r>
          </w:p>
        </w:tc>
        <w:tc>
          <w:tcPr>
            <w:tcW w:w="1136" w:type="dxa"/>
            <w:tcBorders>
              <w:top w:val="nil"/>
              <w:left w:val="nil"/>
              <w:bottom w:val="nil"/>
              <w:right w:val="nil"/>
            </w:tcBorders>
            <w:shd w:val="clear" w:color="auto" w:fill="auto"/>
            <w:noWrap/>
            <w:vAlign w:val="center"/>
            <w:hideMark/>
          </w:tcPr>
          <w:p w14:paraId="1025B26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387</w:t>
            </w:r>
          </w:p>
        </w:tc>
        <w:tc>
          <w:tcPr>
            <w:tcW w:w="893" w:type="dxa"/>
            <w:tcBorders>
              <w:top w:val="nil"/>
              <w:left w:val="single" w:sz="4" w:space="0" w:color="auto"/>
              <w:bottom w:val="nil"/>
              <w:right w:val="nil"/>
            </w:tcBorders>
            <w:shd w:val="clear" w:color="auto" w:fill="auto"/>
            <w:noWrap/>
            <w:vAlign w:val="center"/>
            <w:hideMark/>
          </w:tcPr>
          <w:p w14:paraId="113A8479"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641</w:t>
            </w:r>
          </w:p>
        </w:tc>
        <w:tc>
          <w:tcPr>
            <w:tcW w:w="1071" w:type="dxa"/>
            <w:tcBorders>
              <w:top w:val="nil"/>
              <w:left w:val="nil"/>
              <w:bottom w:val="nil"/>
              <w:right w:val="nil"/>
            </w:tcBorders>
            <w:shd w:val="clear" w:color="auto" w:fill="auto"/>
            <w:noWrap/>
            <w:vAlign w:val="center"/>
            <w:hideMark/>
          </w:tcPr>
          <w:p w14:paraId="0CF8C20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208</w:t>
            </w:r>
          </w:p>
        </w:tc>
        <w:tc>
          <w:tcPr>
            <w:tcW w:w="1071" w:type="dxa"/>
            <w:tcBorders>
              <w:top w:val="nil"/>
              <w:left w:val="nil"/>
              <w:bottom w:val="nil"/>
              <w:right w:val="nil"/>
            </w:tcBorders>
            <w:shd w:val="clear" w:color="auto" w:fill="auto"/>
            <w:noWrap/>
            <w:vAlign w:val="center"/>
            <w:hideMark/>
          </w:tcPr>
          <w:p w14:paraId="3E37E5C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434</w:t>
            </w:r>
          </w:p>
        </w:tc>
      </w:tr>
      <w:tr w:rsidR="00582975" w:rsidRPr="00582975" w14:paraId="7794EDAC" w14:textId="77777777" w:rsidTr="00582975">
        <w:trPr>
          <w:trHeight w:val="300"/>
        </w:trPr>
        <w:tc>
          <w:tcPr>
            <w:tcW w:w="1480" w:type="dxa"/>
            <w:tcBorders>
              <w:top w:val="single" w:sz="4" w:space="0" w:color="auto"/>
              <w:left w:val="nil"/>
              <w:bottom w:val="single" w:sz="4" w:space="0" w:color="auto"/>
              <w:right w:val="nil"/>
            </w:tcBorders>
            <w:shd w:val="clear" w:color="000000" w:fill="F2F2F2"/>
            <w:noWrap/>
            <w:vAlign w:val="center"/>
            <w:hideMark/>
          </w:tcPr>
          <w:p w14:paraId="6861DEB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Londonderry</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0DA921C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416</w:t>
            </w:r>
          </w:p>
        </w:tc>
        <w:tc>
          <w:tcPr>
            <w:tcW w:w="1133" w:type="dxa"/>
            <w:tcBorders>
              <w:top w:val="single" w:sz="4" w:space="0" w:color="auto"/>
              <w:left w:val="nil"/>
              <w:bottom w:val="single" w:sz="4" w:space="0" w:color="auto"/>
              <w:right w:val="nil"/>
            </w:tcBorders>
            <w:shd w:val="clear" w:color="000000" w:fill="F2F2F2"/>
            <w:noWrap/>
            <w:vAlign w:val="center"/>
            <w:hideMark/>
          </w:tcPr>
          <w:p w14:paraId="2C82207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135</w:t>
            </w:r>
          </w:p>
        </w:tc>
        <w:tc>
          <w:tcPr>
            <w:tcW w:w="1175" w:type="dxa"/>
            <w:tcBorders>
              <w:top w:val="single" w:sz="4" w:space="0" w:color="auto"/>
              <w:left w:val="nil"/>
              <w:bottom w:val="single" w:sz="4" w:space="0" w:color="auto"/>
              <w:right w:val="nil"/>
            </w:tcBorders>
            <w:shd w:val="clear" w:color="000000" w:fill="F2F2F2"/>
            <w:noWrap/>
            <w:vAlign w:val="center"/>
            <w:hideMark/>
          </w:tcPr>
          <w:p w14:paraId="1725610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281</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10075E66"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763</w:t>
            </w:r>
          </w:p>
        </w:tc>
        <w:tc>
          <w:tcPr>
            <w:tcW w:w="1071" w:type="dxa"/>
            <w:tcBorders>
              <w:top w:val="single" w:sz="4" w:space="0" w:color="auto"/>
              <w:left w:val="nil"/>
              <w:bottom w:val="single" w:sz="4" w:space="0" w:color="auto"/>
              <w:right w:val="nil"/>
            </w:tcBorders>
            <w:shd w:val="clear" w:color="000000" w:fill="F2F2F2"/>
            <w:noWrap/>
            <w:vAlign w:val="center"/>
            <w:hideMark/>
          </w:tcPr>
          <w:p w14:paraId="05BD2C46"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247</w:t>
            </w:r>
          </w:p>
        </w:tc>
        <w:tc>
          <w:tcPr>
            <w:tcW w:w="1071" w:type="dxa"/>
            <w:tcBorders>
              <w:top w:val="single" w:sz="4" w:space="0" w:color="auto"/>
              <w:left w:val="nil"/>
              <w:bottom w:val="single" w:sz="4" w:space="0" w:color="auto"/>
              <w:right w:val="nil"/>
            </w:tcBorders>
            <w:shd w:val="clear" w:color="000000" w:fill="F2F2F2"/>
            <w:noWrap/>
            <w:vAlign w:val="center"/>
            <w:hideMark/>
          </w:tcPr>
          <w:p w14:paraId="45583C4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516</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650CD77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995</w:t>
            </w:r>
          </w:p>
        </w:tc>
        <w:tc>
          <w:tcPr>
            <w:tcW w:w="1162" w:type="dxa"/>
            <w:tcBorders>
              <w:top w:val="single" w:sz="4" w:space="0" w:color="auto"/>
              <w:left w:val="nil"/>
              <w:bottom w:val="single" w:sz="4" w:space="0" w:color="auto"/>
              <w:right w:val="nil"/>
            </w:tcBorders>
            <w:shd w:val="clear" w:color="000000" w:fill="F2F2F2"/>
            <w:noWrap/>
            <w:vAlign w:val="center"/>
            <w:hideMark/>
          </w:tcPr>
          <w:p w14:paraId="38B1E29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323</w:t>
            </w:r>
          </w:p>
        </w:tc>
        <w:tc>
          <w:tcPr>
            <w:tcW w:w="1136" w:type="dxa"/>
            <w:tcBorders>
              <w:top w:val="single" w:sz="4" w:space="0" w:color="auto"/>
              <w:left w:val="nil"/>
              <w:bottom w:val="single" w:sz="4" w:space="0" w:color="auto"/>
              <w:right w:val="nil"/>
            </w:tcBorders>
            <w:shd w:val="clear" w:color="000000" w:fill="F2F2F2"/>
            <w:noWrap/>
            <w:vAlign w:val="center"/>
            <w:hideMark/>
          </w:tcPr>
          <w:p w14:paraId="1B4F95B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673</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572EC6B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1,117</w:t>
            </w:r>
          </w:p>
        </w:tc>
        <w:tc>
          <w:tcPr>
            <w:tcW w:w="1071" w:type="dxa"/>
            <w:tcBorders>
              <w:top w:val="single" w:sz="4" w:space="0" w:color="auto"/>
              <w:left w:val="nil"/>
              <w:bottom w:val="single" w:sz="4" w:space="0" w:color="auto"/>
              <w:right w:val="nil"/>
            </w:tcBorders>
            <w:shd w:val="clear" w:color="000000" w:fill="F2F2F2"/>
            <w:noWrap/>
            <w:vAlign w:val="center"/>
            <w:hideMark/>
          </w:tcPr>
          <w:p w14:paraId="388B7B9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362</w:t>
            </w:r>
          </w:p>
        </w:tc>
        <w:tc>
          <w:tcPr>
            <w:tcW w:w="1071" w:type="dxa"/>
            <w:tcBorders>
              <w:top w:val="single" w:sz="4" w:space="0" w:color="auto"/>
              <w:left w:val="nil"/>
              <w:bottom w:val="single" w:sz="4" w:space="0" w:color="auto"/>
              <w:right w:val="nil"/>
            </w:tcBorders>
            <w:shd w:val="clear" w:color="000000" w:fill="F2F2F2"/>
            <w:noWrap/>
            <w:vAlign w:val="center"/>
            <w:hideMark/>
          </w:tcPr>
          <w:p w14:paraId="5A11CA9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755</w:t>
            </w:r>
          </w:p>
        </w:tc>
      </w:tr>
      <w:tr w:rsidR="00582975" w:rsidRPr="00582975" w14:paraId="5AE17287" w14:textId="77777777" w:rsidTr="00582975">
        <w:trPr>
          <w:trHeight w:val="300"/>
        </w:trPr>
        <w:tc>
          <w:tcPr>
            <w:tcW w:w="1480" w:type="dxa"/>
            <w:tcBorders>
              <w:top w:val="nil"/>
              <w:left w:val="nil"/>
              <w:bottom w:val="nil"/>
              <w:right w:val="nil"/>
            </w:tcBorders>
            <w:shd w:val="clear" w:color="auto" w:fill="auto"/>
            <w:noWrap/>
            <w:vAlign w:val="center"/>
            <w:hideMark/>
          </w:tcPr>
          <w:p w14:paraId="276EC6E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Manchester</w:t>
            </w:r>
          </w:p>
        </w:tc>
        <w:tc>
          <w:tcPr>
            <w:tcW w:w="893" w:type="dxa"/>
            <w:tcBorders>
              <w:top w:val="nil"/>
              <w:left w:val="single" w:sz="4" w:space="0" w:color="auto"/>
              <w:bottom w:val="nil"/>
              <w:right w:val="nil"/>
            </w:tcBorders>
            <w:shd w:val="clear" w:color="auto" w:fill="auto"/>
            <w:noWrap/>
            <w:vAlign w:val="center"/>
            <w:hideMark/>
          </w:tcPr>
          <w:p w14:paraId="5FD0BF6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2,140</w:t>
            </w:r>
          </w:p>
        </w:tc>
        <w:tc>
          <w:tcPr>
            <w:tcW w:w="1133" w:type="dxa"/>
            <w:tcBorders>
              <w:top w:val="nil"/>
              <w:left w:val="nil"/>
              <w:bottom w:val="nil"/>
              <w:right w:val="nil"/>
            </w:tcBorders>
            <w:shd w:val="clear" w:color="auto" w:fill="auto"/>
            <w:noWrap/>
            <w:vAlign w:val="center"/>
            <w:hideMark/>
          </w:tcPr>
          <w:p w14:paraId="664C344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737</w:t>
            </w:r>
          </w:p>
        </w:tc>
        <w:tc>
          <w:tcPr>
            <w:tcW w:w="1175" w:type="dxa"/>
            <w:tcBorders>
              <w:top w:val="nil"/>
              <w:left w:val="nil"/>
              <w:bottom w:val="nil"/>
              <w:right w:val="nil"/>
            </w:tcBorders>
            <w:shd w:val="clear" w:color="auto" w:fill="auto"/>
            <w:noWrap/>
            <w:vAlign w:val="center"/>
            <w:hideMark/>
          </w:tcPr>
          <w:p w14:paraId="147D66E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1,403</w:t>
            </w:r>
          </w:p>
        </w:tc>
        <w:tc>
          <w:tcPr>
            <w:tcW w:w="893" w:type="dxa"/>
            <w:tcBorders>
              <w:top w:val="nil"/>
              <w:left w:val="single" w:sz="4" w:space="0" w:color="auto"/>
              <w:bottom w:val="nil"/>
              <w:right w:val="nil"/>
            </w:tcBorders>
            <w:shd w:val="clear" w:color="auto" w:fill="auto"/>
            <w:noWrap/>
            <w:vAlign w:val="center"/>
            <w:hideMark/>
          </w:tcPr>
          <w:p w14:paraId="29E2464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3,888</w:t>
            </w:r>
          </w:p>
        </w:tc>
        <w:tc>
          <w:tcPr>
            <w:tcW w:w="1071" w:type="dxa"/>
            <w:tcBorders>
              <w:top w:val="nil"/>
              <w:left w:val="nil"/>
              <w:bottom w:val="nil"/>
              <w:right w:val="nil"/>
            </w:tcBorders>
            <w:shd w:val="clear" w:color="auto" w:fill="auto"/>
            <w:noWrap/>
            <w:vAlign w:val="center"/>
            <w:hideMark/>
          </w:tcPr>
          <w:p w14:paraId="68ADC8E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1,337</w:t>
            </w:r>
          </w:p>
        </w:tc>
        <w:tc>
          <w:tcPr>
            <w:tcW w:w="1071" w:type="dxa"/>
            <w:tcBorders>
              <w:top w:val="nil"/>
              <w:left w:val="nil"/>
              <w:bottom w:val="nil"/>
              <w:right w:val="nil"/>
            </w:tcBorders>
            <w:shd w:val="clear" w:color="auto" w:fill="auto"/>
            <w:noWrap/>
            <w:vAlign w:val="center"/>
            <w:hideMark/>
          </w:tcPr>
          <w:p w14:paraId="6E016D4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2,551</w:t>
            </w:r>
          </w:p>
        </w:tc>
        <w:tc>
          <w:tcPr>
            <w:tcW w:w="893" w:type="dxa"/>
            <w:tcBorders>
              <w:top w:val="nil"/>
              <w:left w:val="single" w:sz="4" w:space="0" w:color="auto"/>
              <w:bottom w:val="nil"/>
              <w:right w:val="nil"/>
            </w:tcBorders>
            <w:shd w:val="clear" w:color="auto" w:fill="auto"/>
            <w:noWrap/>
            <w:vAlign w:val="center"/>
            <w:hideMark/>
          </w:tcPr>
          <w:p w14:paraId="47CB414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5,073</w:t>
            </w:r>
          </w:p>
        </w:tc>
        <w:tc>
          <w:tcPr>
            <w:tcW w:w="1162" w:type="dxa"/>
            <w:tcBorders>
              <w:top w:val="nil"/>
              <w:left w:val="nil"/>
              <w:bottom w:val="nil"/>
              <w:right w:val="nil"/>
            </w:tcBorders>
            <w:shd w:val="clear" w:color="auto" w:fill="auto"/>
            <w:noWrap/>
            <w:vAlign w:val="center"/>
            <w:hideMark/>
          </w:tcPr>
          <w:p w14:paraId="5B94D31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1,754</w:t>
            </w:r>
          </w:p>
        </w:tc>
        <w:tc>
          <w:tcPr>
            <w:tcW w:w="1136" w:type="dxa"/>
            <w:tcBorders>
              <w:top w:val="nil"/>
              <w:left w:val="nil"/>
              <w:bottom w:val="nil"/>
              <w:right w:val="nil"/>
            </w:tcBorders>
            <w:shd w:val="clear" w:color="auto" w:fill="auto"/>
            <w:noWrap/>
            <w:vAlign w:val="center"/>
            <w:hideMark/>
          </w:tcPr>
          <w:p w14:paraId="77738C1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3,319</w:t>
            </w:r>
          </w:p>
        </w:tc>
        <w:tc>
          <w:tcPr>
            <w:tcW w:w="893" w:type="dxa"/>
            <w:tcBorders>
              <w:top w:val="nil"/>
              <w:left w:val="single" w:sz="4" w:space="0" w:color="auto"/>
              <w:bottom w:val="nil"/>
              <w:right w:val="nil"/>
            </w:tcBorders>
            <w:shd w:val="clear" w:color="auto" w:fill="auto"/>
            <w:noWrap/>
            <w:vAlign w:val="center"/>
            <w:hideMark/>
          </w:tcPr>
          <w:p w14:paraId="26D36EE2"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5,775</w:t>
            </w:r>
          </w:p>
        </w:tc>
        <w:tc>
          <w:tcPr>
            <w:tcW w:w="1071" w:type="dxa"/>
            <w:tcBorders>
              <w:top w:val="nil"/>
              <w:left w:val="nil"/>
              <w:bottom w:val="nil"/>
              <w:right w:val="nil"/>
            </w:tcBorders>
            <w:shd w:val="clear" w:color="auto" w:fill="auto"/>
            <w:noWrap/>
            <w:vAlign w:val="center"/>
            <w:hideMark/>
          </w:tcPr>
          <w:p w14:paraId="1851A40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2,010</w:t>
            </w:r>
          </w:p>
        </w:tc>
        <w:tc>
          <w:tcPr>
            <w:tcW w:w="1071" w:type="dxa"/>
            <w:tcBorders>
              <w:top w:val="nil"/>
              <w:left w:val="nil"/>
              <w:bottom w:val="nil"/>
              <w:right w:val="nil"/>
            </w:tcBorders>
            <w:shd w:val="clear" w:color="auto" w:fill="auto"/>
            <w:noWrap/>
            <w:vAlign w:val="center"/>
            <w:hideMark/>
          </w:tcPr>
          <w:p w14:paraId="0F0F594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3,765</w:t>
            </w:r>
          </w:p>
        </w:tc>
      </w:tr>
      <w:tr w:rsidR="00582975" w:rsidRPr="00582975" w14:paraId="79B94EE7" w14:textId="77777777" w:rsidTr="00582975">
        <w:trPr>
          <w:trHeight w:val="300"/>
        </w:trPr>
        <w:tc>
          <w:tcPr>
            <w:tcW w:w="1480" w:type="dxa"/>
            <w:tcBorders>
              <w:top w:val="single" w:sz="4" w:space="0" w:color="auto"/>
              <w:left w:val="nil"/>
              <w:bottom w:val="single" w:sz="4" w:space="0" w:color="auto"/>
              <w:right w:val="nil"/>
            </w:tcBorders>
            <w:shd w:val="clear" w:color="000000" w:fill="F2F2F2"/>
            <w:noWrap/>
            <w:vAlign w:val="center"/>
            <w:hideMark/>
          </w:tcPr>
          <w:p w14:paraId="15F38E8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New Boston</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3BB03AB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97</w:t>
            </w:r>
          </w:p>
        </w:tc>
        <w:tc>
          <w:tcPr>
            <w:tcW w:w="1133" w:type="dxa"/>
            <w:tcBorders>
              <w:top w:val="single" w:sz="4" w:space="0" w:color="auto"/>
              <w:left w:val="nil"/>
              <w:bottom w:val="single" w:sz="4" w:space="0" w:color="auto"/>
              <w:right w:val="nil"/>
            </w:tcBorders>
            <w:shd w:val="clear" w:color="000000" w:fill="F2F2F2"/>
            <w:noWrap/>
            <w:vAlign w:val="center"/>
            <w:hideMark/>
          </w:tcPr>
          <w:p w14:paraId="72CA7977"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23</w:t>
            </w:r>
          </w:p>
        </w:tc>
        <w:tc>
          <w:tcPr>
            <w:tcW w:w="1175" w:type="dxa"/>
            <w:tcBorders>
              <w:top w:val="single" w:sz="4" w:space="0" w:color="auto"/>
              <w:left w:val="nil"/>
              <w:bottom w:val="single" w:sz="4" w:space="0" w:color="auto"/>
              <w:right w:val="nil"/>
            </w:tcBorders>
            <w:shd w:val="clear" w:color="000000" w:fill="F2F2F2"/>
            <w:noWrap/>
            <w:vAlign w:val="center"/>
            <w:hideMark/>
          </w:tcPr>
          <w:p w14:paraId="5CA2C06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74</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6ABBA766"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177</w:t>
            </w:r>
          </w:p>
        </w:tc>
        <w:tc>
          <w:tcPr>
            <w:tcW w:w="1071" w:type="dxa"/>
            <w:tcBorders>
              <w:top w:val="single" w:sz="4" w:space="0" w:color="auto"/>
              <w:left w:val="nil"/>
              <w:bottom w:val="single" w:sz="4" w:space="0" w:color="auto"/>
              <w:right w:val="nil"/>
            </w:tcBorders>
            <w:shd w:val="clear" w:color="000000" w:fill="F2F2F2"/>
            <w:noWrap/>
            <w:vAlign w:val="center"/>
            <w:hideMark/>
          </w:tcPr>
          <w:p w14:paraId="3C11E38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42</w:t>
            </w:r>
          </w:p>
        </w:tc>
        <w:tc>
          <w:tcPr>
            <w:tcW w:w="1071" w:type="dxa"/>
            <w:tcBorders>
              <w:top w:val="single" w:sz="4" w:space="0" w:color="auto"/>
              <w:left w:val="nil"/>
              <w:bottom w:val="single" w:sz="4" w:space="0" w:color="auto"/>
              <w:right w:val="nil"/>
            </w:tcBorders>
            <w:shd w:val="clear" w:color="000000" w:fill="F2F2F2"/>
            <w:noWrap/>
            <w:vAlign w:val="center"/>
            <w:hideMark/>
          </w:tcPr>
          <w:p w14:paraId="1553567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135</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3929D11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231</w:t>
            </w:r>
          </w:p>
        </w:tc>
        <w:tc>
          <w:tcPr>
            <w:tcW w:w="1162" w:type="dxa"/>
            <w:tcBorders>
              <w:top w:val="single" w:sz="4" w:space="0" w:color="auto"/>
              <w:left w:val="nil"/>
              <w:bottom w:val="single" w:sz="4" w:space="0" w:color="auto"/>
              <w:right w:val="nil"/>
            </w:tcBorders>
            <w:shd w:val="clear" w:color="000000" w:fill="F2F2F2"/>
            <w:noWrap/>
            <w:vAlign w:val="center"/>
            <w:hideMark/>
          </w:tcPr>
          <w:p w14:paraId="1446B3A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55</w:t>
            </w:r>
          </w:p>
        </w:tc>
        <w:tc>
          <w:tcPr>
            <w:tcW w:w="1136" w:type="dxa"/>
            <w:tcBorders>
              <w:top w:val="single" w:sz="4" w:space="0" w:color="auto"/>
              <w:left w:val="nil"/>
              <w:bottom w:val="single" w:sz="4" w:space="0" w:color="auto"/>
              <w:right w:val="nil"/>
            </w:tcBorders>
            <w:shd w:val="clear" w:color="000000" w:fill="F2F2F2"/>
            <w:noWrap/>
            <w:vAlign w:val="center"/>
            <w:hideMark/>
          </w:tcPr>
          <w:p w14:paraId="7767AB4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176</w:t>
            </w:r>
          </w:p>
        </w:tc>
        <w:tc>
          <w:tcPr>
            <w:tcW w:w="893" w:type="dxa"/>
            <w:tcBorders>
              <w:top w:val="single" w:sz="4" w:space="0" w:color="auto"/>
              <w:left w:val="single" w:sz="4" w:space="0" w:color="auto"/>
              <w:bottom w:val="single" w:sz="4" w:space="0" w:color="auto"/>
              <w:right w:val="nil"/>
            </w:tcBorders>
            <w:shd w:val="clear" w:color="000000" w:fill="F2F2F2"/>
            <w:noWrap/>
            <w:vAlign w:val="center"/>
            <w:hideMark/>
          </w:tcPr>
          <w:p w14:paraId="5F2345F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263</w:t>
            </w:r>
          </w:p>
        </w:tc>
        <w:tc>
          <w:tcPr>
            <w:tcW w:w="1071" w:type="dxa"/>
            <w:tcBorders>
              <w:top w:val="single" w:sz="4" w:space="0" w:color="auto"/>
              <w:left w:val="nil"/>
              <w:bottom w:val="single" w:sz="4" w:space="0" w:color="auto"/>
              <w:right w:val="nil"/>
            </w:tcBorders>
            <w:shd w:val="clear" w:color="000000" w:fill="F2F2F2"/>
            <w:noWrap/>
            <w:vAlign w:val="center"/>
            <w:hideMark/>
          </w:tcPr>
          <w:p w14:paraId="67402052"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63</w:t>
            </w:r>
          </w:p>
        </w:tc>
        <w:tc>
          <w:tcPr>
            <w:tcW w:w="1071" w:type="dxa"/>
            <w:tcBorders>
              <w:top w:val="single" w:sz="4" w:space="0" w:color="auto"/>
              <w:left w:val="nil"/>
              <w:bottom w:val="single" w:sz="4" w:space="0" w:color="auto"/>
              <w:right w:val="nil"/>
            </w:tcBorders>
            <w:shd w:val="clear" w:color="000000" w:fill="F2F2F2"/>
            <w:noWrap/>
            <w:vAlign w:val="center"/>
            <w:hideMark/>
          </w:tcPr>
          <w:p w14:paraId="2224D2D7"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200</w:t>
            </w:r>
          </w:p>
        </w:tc>
      </w:tr>
      <w:tr w:rsidR="00582975" w:rsidRPr="00582975" w14:paraId="5917E762" w14:textId="77777777" w:rsidTr="00582975">
        <w:trPr>
          <w:trHeight w:val="300"/>
        </w:trPr>
        <w:tc>
          <w:tcPr>
            <w:tcW w:w="1480" w:type="dxa"/>
            <w:tcBorders>
              <w:top w:val="nil"/>
              <w:left w:val="nil"/>
              <w:bottom w:val="nil"/>
              <w:right w:val="nil"/>
            </w:tcBorders>
            <w:shd w:val="clear" w:color="auto" w:fill="auto"/>
            <w:noWrap/>
            <w:vAlign w:val="center"/>
            <w:hideMark/>
          </w:tcPr>
          <w:p w14:paraId="5514FB16" w14:textId="77777777" w:rsidR="00582975" w:rsidRPr="00582975" w:rsidRDefault="00582975" w:rsidP="00582975">
            <w:pPr>
              <w:spacing w:after="0" w:line="240" w:lineRule="auto"/>
              <w:jc w:val="center"/>
              <w:rPr>
                <w:rFonts w:ascii="Tw Cen MT" w:eastAsia="Times New Roman" w:hAnsi="Tw Cen MT" w:cs="Calibri"/>
                <w:color w:val="000000"/>
              </w:rPr>
            </w:pPr>
            <w:proofErr w:type="spellStart"/>
            <w:r w:rsidRPr="00582975">
              <w:rPr>
                <w:rFonts w:ascii="Tw Cen MT" w:eastAsia="Times New Roman" w:hAnsi="Tw Cen MT" w:cs="Calibri"/>
                <w:color w:val="000000"/>
              </w:rPr>
              <w:t>Weare</w:t>
            </w:r>
            <w:proofErr w:type="spellEnd"/>
          </w:p>
        </w:tc>
        <w:tc>
          <w:tcPr>
            <w:tcW w:w="893" w:type="dxa"/>
            <w:tcBorders>
              <w:top w:val="nil"/>
              <w:left w:val="single" w:sz="4" w:space="0" w:color="auto"/>
              <w:bottom w:val="nil"/>
              <w:right w:val="nil"/>
            </w:tcBorders>
            <w:shd w:val="clear" w:color="auto" w:fill="auto"/>
            <w:noWrap/>
            <w:vAlign w:val="center"/>
            <w:hideMark/>
          </w:tcPr>
          <w:p w14:paraId="20F16EE9"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155</w:t>
            </w:r>
          </w:p>
        </w:tc>
        <w:tc>
          <w:tcPr>
            <w:tcW w:w="1133" w:type="dxa"/>
            <w:tcBorders>
              <w:top w:val="nil"/>
              <w:left w:val="nil"/>
              <w:bottom w:val="nil"/>
              <w:right w:val="nil"/>
            </w:tcBorders>
            <w:shd w:val="clear" w:color="auto" w:fill="auto"/>
            <w:noWrap/>
            <w:vAlign w:val="center"/>
            <w:hideMark/>
          </w:tcPr>
          <w:p w14:paraId="6938940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48</w:t>
            </w:r>
          </w:p>
        </w:tc>
        <w:tc>
          <w:tcPr>
            <w:tcW w:w="1175" w:type="dxa"/>
            <w:tcBorders>
              <w:top w:val="nil"/>
              <w:left w:val="nil"/>
              <w:bottom w:val="nil"/>
              <w:right w:val="nil"/>
            </w:tcBorders>
            <w:shd w:val="clear" w:color="auto" w:fill="auto"/>
            <w:noWrap/>
            <w:vAlign w:val="center"/>
            <w:hideMark/>
          </w:tcPr>
          <w:p w14:paraId="3A945B1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106</w:t>
            </w:r>
          </w:p>
        </w:tc>
        <w:tc>
          <w:tcPr>
            <w:tcW w:w="893" w:type="dxa"/>
            <w:tcBorders>
              <w:top w:val="nil"/>
              <w:left w:val="single" w:sz="4" w:space="0" w:color="auto"/>
              <w:bottom w:val="nil"/>
              <w:right w:val="nil"/>
            </w:tcBorders>
            <w:shd w:val="clear" w:color="auto" w:fill="auto"/>
            <w:noWrap/>
            <w:vAlign w:val="center"/>
            <w:hideMark/>
          </w:tcPr>
          <w:p w14:paraId="68765252"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281</w:t>
            </w:r>
          </w:p>
        </w:tc>
        <w:tc>
          <w:tcPr>
            <w:tcW w:w="1071" w:type="dxa"/>
            <w:tcBorders>
              <w:top w:val="nil"/>
              <w:left w:val="nil"/>
              <w:bottom w:val="nil"/>
              <w:right w:val="nil"/>
            </w:tcBorders>
            <w:shd w:val="clear" w:color="auto" w:fill="auto"/>
            <w:noWrap/>
            <w:vAlign w:val="center"/>
            <w:hideMark/>
          </w:tcPr>
          <w:p w14:paraId="1E41080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87</w:t>
            </w:r>
          </w:p>
        </w:tc>
        <w:tc>
          <w:tcPr>
            <w:tcW w:w="1071" w:type="dxa"/>
            <w:tcBorders>
              <w:top w:val="nil"/>
              <w:left w:val="nil"/>
              <w:bottom w:val="nil"/>
              <w:right w:val="nil"/>
            </w:tcBorders>
            <w:shd w:val="clear" w:color="auto" w:fill="auto"/>
            <w:noWrap/>
            <w:vAlign w:val="center"/>
            <w:hideMark/>
          </w:tcPr>
          <w:p w14:paraId="3FDCDDA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194</w:t>
            </w:r>
          </w:p>
        </w:tc>
        <w:tc>
          <w:tcPr>
            <w:tcW w:w="893" w:type="dxa"/>
            <w:tcBorders>
              <w:top w:val="nil"/>
              <w:left w:val="single" w:sz="4" w:space="0" w:color="auto"/>
              <w:bottom w:val="nil"/>
              <w:right w:val="nil"/>
            </w:tcBorders>
            <w:shd w:val="clear" w:color="auto" w:fill="auto"/>
            <w:noWrap/>
            <w:vAlign w:val="center"/>
            <w:hideMark/>
          </w:tcPr>
          <w:p w14:paraId="172F96C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367</w:t>
            </w:r>
          </w:p>
        </w:tc>
        <w:tc>
          <w:tcPr>
            <w:tcW w:w="1162" w:type="dxa"/>
            <w:tcBorders>
              <w:top w:val="nil"/>
              <w:left w:val="nil"/>
              <w:bottom w:val="nil"/>
              <w:right w:val="nil"/>
            </w:tcBorders>
            <w:shd w:val="clear" w:color="auto" w:fill="auto"/>
            <w:noWrap/>
            <w:vAlign w:val="center"/>
            <w:hideMark/>
          </w:tcPr>
          <w:p w14:paraId="17B8EF1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115</w:t>
            </w:r>
          </w:p>
        </w:tc>
        <w:tc>
          <w:tcPr>
            <w:tcW w:w="1136" w:type="dxa"/>
            <w:tcBorders>
              <w:top w:val="nil"/>
              <w:left w:val="nil"/>
              <w:bottom w:val="nil"/>
              <w:right w:val="nil"/>
            </w:tcBorders>
            <w:shd w:val="clear" w:color="auto" w:fill="auto"/>
            <w:noWrap/>
            <w:vAlign w:val="center"/>
            <w:hideMark/>
          </w:tcPr>
          <w:p w14:paraId="2CBA3807"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252</w:t>
            </w:r>
          </w:p>
        </w:tc>
        <w:tc>
          <w:tcPr>
            <w:tcW w:w="893" w:type="dxa"/>
            <w:tcBorders>
              <w:top w:val="nil"/>
              <w:left w:val="single" w:sz="4" w:space="0" w:color="auto"/>
              <w:bottom w:val="nil"/>
              <w:right w:val="nil"/>
            </w:tcBorders>
            <w:shd w:val="clear" w:color="auto" w:fill="auto"/>
            <w:noWrap/>
            <w:vAlign w:val="center"/>
            <w:hideMark/>
          </w:tcPr>
          <w:p w14:paraId="7F042E1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418</w:t>
            </w:r>
          </w:p>
        </w:tc>
        <w:tc>
          <w:tcPr>
            <w:tcW w:w="1071" w:type="dxa"/>
            <w:tcBorders>
              <w:top w:val="nil"/>
              <w:left w:val="nil"/>
              <w:bottom w:val="nil"/>
              <w:right w:val="nil"/>
            </w:tcBorders>
            <w:shd w:val="clear" w:color="auto" w:fill="auto"/>
            <w:noWrap/>
            <w:vAlign w:val="center"/>
            <w:hideMark/>
          </w:tcPr>
          <w:p w14:paraId="5E6A4356"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131</w:t>
            </w:r>
          </w:p>
        </w:tc>
        <w:tc>
          <w:tcPr>
            <w:tcW w:w="1071" w:type="dxa"/>
            <w:tcBorders>
              <w:top w:val="nil"/>
              <w:left w:val="nil"/>
              <w:bottom w:val="nil"/>
              <w:right w:val="nil"/>
            </w:tcBorders>
            <w:shd w:val="clear" w:color="auto" w:fill="auto"/>
            <w:noWrap/>
            <w:vAlign w:val="center"/>
            <w:hideMark/>
          </w:tcPr>
          <w:p w14:paraId="2DA61F9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286</w:t>
            </w:r>
          </w:p>
        </w:tc>
      </w:tr>
      <w:tr w:rsidR="00582975" w:rsidRPr="00582975" w14:paraId="74A00868" w14:textId="77777777" w:rsidTr="00582975">
        <w:trPr>
          <w:trHeight w:val="315"/>
        </w:trPr>
        <w:tc>
          <w:tcPr>
            <w:tcW w:w="1480" w:type="dxa"/>
            <w:tcBorders>
              <w:top w:val="single" w:sz="4" w:space="0" w:color="auto"/>
              <w:left w:val="nil"/>
              <w:bottom w:val="single" w:sz="8" w:space="0" w:color="auto"/>
              <w:right w:val="nil"/>
            </w:tcBorders>
            <w:shd w:val="clear" w:color="000000" w:fill="F2F2F2"/>
            <w:noWrap/>
            <w:vAlign w:val="center"/>
            <w:hideMark/>
          </w:tcPr>
          <w:p w14:paraId="05148587"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Windham</w:t>
            </w:r>
          </w:p>
        </w:tc>
        <w:tc>
          <w:tcPr>
            <w:tcW w:w="893" w:type="dxa"/>
            <w:tcBorders>
              <w:top w:val="single" w:sz="4" w:space="0" w:color="auto"/>
              <w:left w:val="single" w:sz="4" w:space="0" w:color="auto"/>
              <w:bottom w:val="single" w:sz="8" w:space="0" w:color="auto"/>
              <w:right w:val="nil"/>
            </w:tcBorders>
            <w:shd w:val="clear" w:color="000000" w:fill="F2F2F2"/>
            <w:noWrap/>
            <w:vAlign w:val="center"/>
            <w:hideMark/>
          </w:tcPr>
          <w:p w14:paraId="7F53473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234</w:t>
            </w:r>
          </w:p>
        </w:tc>
        <w:tc>
          <w:tcPr>
            <w:tcW w:w="1133" w:type="dxa"/>
            <w:tcBorders>
              <w:top w:val="single" w:sz="4" w:space="0" w:color="auto"/>
              <w:left w:val="nil"/>
              <w:bottom w:val="single" w:sz="8" w:space="0" w:color="auto"/>
              <w:right w:val="nil"/>
            </w:tcBorders>
            <w:shd w:val="clear" w:color="000000" w:fill="F2F2F2"/>
            <w:noWrap/>
            <w:vAlign w:val="center"/>
            <w:hideMark/>
          </w:tcPr>
          <w:p w14:paraId="38E0B5A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63</w:t>
            </w:r>
          </w:p>
        </w:tc>
        <w:tc>
          <w:tcPr>
            <w:tcW w:w="1175" w:type="dxa"/>
            <w:tcBorders>
              <w:top w:val="single" w:sz="4" w:space="0" w:color="auto"/>
              <w:left w:val="nil"/>
              <w:bottom w:val="single" w:sz="8" w:space="0" w:color="auto"/>
              <w:right w:val="nil"/>
            </w:tcBorders>
            <w:shd w:val="clear" w:color="000000" w:fill="F2F2F2"/>
            <w:noWrap/>
            <w:vAlign w:val="center"/>
            <w:hideMark/>
          </w:tcPr>
          <w:p w14:paraId="1FA6381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171</w:t>
            </w:r>
          </w:p>
        </w:tc>
        <w:tc>
          <w:tcPr>
            <w:tcW w:w="893" w:type="dxa"/>
            <w:tcBorders>
              <w:top w:val="single" w:sz="4" w:space="0" w:color="auto"/>
              <w:left w:val="single" w:sz="4" w:space="0" w:color="auto"/>
              <w:bottom w:val="single" w:sz="8" w:space="0" w:color="auto"/>
              <w:right w:val="nil"/>
            </w:tcBorders>
            <w:shd w:val="clear" w:color="000000" w:fill="F2F2F2"/>
            <w:noWrap/>
            <w:vAlign w:val="center"/>
            <w:hideMark/>
          </w:tcPr>
          <w:p w14:paraId="46C385F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429</w:t>
            </w:r>
          </w:p>
        </w:tc>
        <w:tc>
          <w:tcPr>
            <w:tcW w:w="1071" w:type="dxa"/>
            <w:tcBorders>
              <w:top w:val="single" w:sz="4" w:space="0" w:color="auto"/>
              <w:left w:val="nil"/>
              <w:bottom w:val="single" w:sz="8" w:space="0" w:color="auto"/>
              <w:right w:val="nil"/>
            </w:tcBorders>
            <w:shd w:val="clear" w:color="000000" w:fill="F2F2F2"/>
            <w:noWrap/>
            <w:vAlign w:val="center"/>
            <w:hideMark/>
          </w:tcPr>
          <w:p w14:paraId="55F6BE2D"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115</w:t>
            </w:r>
          </w:p>
        </w:tc>
        <w:tc>
          <w:tcPr>
            <w:tcW w:w="1071" w:type="dxa"/>
            <w:tcBorders>
              <w:top w:val="single" w:sz="4" w:space="0" w:color="auto"/>
              <w:left w:val="nil"/>
              <w:bottom w:val="single" w:sz="8" w:space="0" w:color="auto"/>
              <w:right w:val="nil"/>
            </w:tcBorders>
            <w:shd w:val="clear" w:color="000000" w:fill="F2F2F2"/>
            <w:noWrap/>
            <w:vAlign w:val="center"/>
            <w:hideMark/>
          </w:tcPr>
          <w:p w14:paraId="75EAAAB2"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314</w:t>
            </w:r>
          </w:p>
        </w:tc>
        <w:tc>
          <w:tcPr>
            <w:tcW w:w="893" w:type="dxa"/>
            <w:tcBorders>
              <w:top w:val="single" w:sz="4" w:space="0" w:color="auto"/>
              <w:left w:val="single" w:sz="4" w:space="0" w:color="auto"/>
              <w:bottom w:val="single" w:sz="8" w:space="0" w:color="auto"/>
              <w:right w:val="nil"/>
            </w:tcBorders>
            <w:shd w:val="clear" w:color="000000" w:fill="F2F2F2"/>
            <w:noWrap/>
            <w:vAlign w:val="center"/>
            <w:hideMark/>
          </w:tcPr>
          <w:p w14:paraId="46A3738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559</w:t>
            </w:r>
          </w:p>
        </w:tc>
        <w:tc>
          <w:tcPr>
            <w:tcW w:w="1162" w:type="dxa"/>
            <w:tcBorders>
              <w:top w:val="single" w:sz="4" w:space="0" w:color="auto"/>
              <w:left w:val="nil"/>
              <w:bottom w:val="single" w:sz="8" w:space="0" w:color="auto"/>
              <w:right w:val="nil"/>
            </w:tcBorders>
            <w:shd w:val="clear" w:color="000000" w:fill="F2F2F2"/>
            <w:noWrap/>
            <w:vAlign w:val="center"/>
            <w:hideMark/>
          </w:tcPr>
          <w:p w14:paraId="0793446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150</w:t>
            </w:r>
          </w:p>
        </w:tc>
        <w:tc>
          <w:tcPr>
            <w:tcW w:w="1136" w:type="dxa"/>
            <w:tcBorders>
              <w:top w:val="single" w:sz="4" w:space="0" w:color="auto"/>
              <w:left w:val="nil"/>
              <w:bottom w:val="single" w:sz="8" w:space="0" w:color="auto"/>
              <w:right w:val="nil"/>
            </w:tcBorders>
            <w:shd w:val="clear" w:color="000000" w:fill="F2F2F2"/>
            <w:noWrap/>
            <w:vAlign w:val="center"/>
            <w:hideMark/>
          </w:tcPr>
          <w:p w14:paraId="37B3044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409</w:t>
            </w:r>
          </w:p>
        </w:tc>
        <w:tc>
          <w:tcPr>
            <w:tcW w:w="893" w:type="dxa"/>
            <w:tcBorders>
              <w:top w:val="single" w:sz="4" w:space="0" w:color="auto"/>
              <w:left w:val="single" w:sz="4" w:space="0" w:color="auto"/>
              <w:bottom w:val="single" w:sz="8" w:space="0" w:color="auto"/>
              <w:right w:val="nil"/>
            </w:tcBorders>
            <w:shd w:val="clear" w:color="000000" w:fill="F2F2F2"/>
            <w:noWrap/>
            <w:vAlign w:val="center"/>
            <w:hideMark/>
          </w:tcPr>
          <w:p w14:paraId="69B7AC6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628</w:t>
            </w:r>
          </w:p>
        </w:tc>
        <w:tc>
          <w:tcPr>
            <w:tcW w:w="1071" w:type="dxa"/>
            <w:tcBorders>
              <w:top w:val="single" w:sz="4" w:space="0" w:color="auto"/>
              <w:left w:val="nil"/>
              <w:bottom w:val="single" w:sz="8" w:space="0" w:color="auto"/>
              <w:right w:val="nil"/>
            </w:tcBorders>
            <w:shd w:val="clear" w:color="000000" w:fill="F2F2F2"/>
            <w:noWrap/>
            <w:vAlign w:val="center"/>
            <w:hideMark/>
          </w:tcPr>
          <w:p w14:paraId="465D9D05"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168</w:t>
            </w:r>
          </w:p>
        </w:tc>
        <w:tc>
          <w:tcPr>
            <w:tcW w:w="1071" w:type="dxa"/>
            <w:tcBorders>
              <w:top w:val="single" w:sz="4" w:space="0" w:color="auto"/>
              <w:left w:val="nil"/>
              <w:bottom w:val="single" w:sz="8" w:space="0" w:color="auto"/>
              <w:right w:val="nil"/>
            </w:tcBorders>
            <w:shd w:val="clear" w:color="000000" w:fill="F2F2F2"/>
            <w:noWrap/>
            <w:vAlign w:val="center"/>
            <w:hideMark/>
          </w:tcPr>
          <w:p w14:paraId="105DAC1A"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460</w:t>
            </w:r>
          </w:p>
        </w:tc>
      </w:tr>
      <w:tr w:rsidR="00582975" w:rsidRPr="00582975" w14:paraId="5BAFC8A8" w14:textId="77777777" w:rsidTr="00582975">
        <w:trPr>
          <w:trHeight w:val="315"/>
        </w:trPr>
        <w:tc>
          <w:tcPr>
            <w:tcW w:w="1480" w:type="dxa"/>
            <w:tcBorders>
              <w:top w:val="nil"/>
              <w:left w:val="nil"/>
              <w:bottom w:val="single" w:sz="8" w:space="0" w:color="auto"/>
              <w:right w:val="nil"/>
            </w:tcBorders>
            <w:shd w:val="clear" w:color="auto" w:fill="auto"/>
            <w:noWrap/>
            <w:vAlign w:val="center"/>
            <w:hideMark/>
          </w:tcPr>
          <w:p w14:paraId="3A6F690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SNHPC</w:t>
            </w:r>
          </w:p>
        </w:tc>
        <w:tc>
          <w:tcPr>
            <w:tcW w:w="893" w:type="dxa"/>
            <w:tcBorders>
              <w:top w:val="nil"/>
              <w:left w:val="single" w:sz="4" w:space="0" w:color="auto"/>
              <w:bottom w:val="single" w:sz="8" w:space="0" w:color="auto"/>
              <w:right w:val="nil"/>
            </w:tcBorders>
            <w:shd w:val="clear" w:color="auto" w:fill="auto"/>
            <w:noWrap/>
            <w:vAlign w:val="center"/>
            <w:hideMark/>
          </w:tcPr>
          <w:p w14:paraId="5F1C228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4,885</w:t>
            </w:r>
          </w:p>
        </w:tc>
        <w:tc>
          <w:tcPr>
            <w:tcW w:w="1133" w:type="dxa"/>
            <w:tcBorders>
              <w:top w:val="nil"/>
              <w:left w:val="nil"/>
              <w:bottom w:val="single" w:sz="8" w:space="0" w:color="auto"/>
              <w:right w:val="nil"/>
            </w:tcBorders>
            <w:shd w:val="clear" w:color="auto" w:fill="auto"/>
            <w:noWrap/>
            <w:vAlign w:val="center"/>
            <w:hideMark/>
          </w:tcPr>
          <w:p w14:paraId="5564923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1,575</w:t>
            </w:r>
          </w:p>
        </w:tc>
        <w:tc>
          <w:tcPr>
            <w:tcW w:w="1175" w:type="dxa"/>
            <w:tcBorders>
              <w:top w:val="nil"/>
              <w:left w:val="nil"/>
              <w:bottom w:val="single" w:sz="8" w:space="0" w:color="auto"/>
              <w:right w:val="nil"/>
            </w:tcBorders>
            <w:shd w:val="clear" w:color="auto" w:fill="auto"/>
            <w:noWrap/>
            <w:vAlign w:val="center"/>
            <w:hideMark/>
          </w:tcPr>
          <w:p w14:paraId="0E4A42A4"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3,310</w:t>
            </w:r>
          </w:p>
        </w:tc>
        <w:tc>
          <w:tcPr>
            <w:tcW w:w="893" w:type="dxa"/>
            <w:tcBorders>
              <w:top w:val="nil"/>
              <w:left w:val="single" w:sz="4" w:space="0" w:color="auto"/>
              <w:bottom w:val="single" w:sz="8" w:space="0" w:color="auto"/>
              <w:right w:val="nil"/>
            </w:tcBorders>
            <w:shd w:val="clear" w:color="auto" w:fill="auto"/>
            <w:noWrap/>
            <w:vAlign w:val="center"/>
            <w:hideMark/>
          </w:tcPr>
          <w:p w14:paraId="51EB4E5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8,904</w:t>
            </w:r>
          </w:p>
        </w:tc>
        <w:tc>
          <w:tcPr>
            <w:tcW w:w="1071" w:type="dxa"/>
            <w:tcBorders>
              <w:top w:val="nil"/>
              <w:left w:val="nil"/>
              <w:bottom w:val="single" w:sz="8" w:space="0" w:color="auto"/>
              <w:right w:val="nil"/>
            </w:tcBorders>
            <w:shd w:val="clear" w:color="auto" w:fill="auto"/>
            <w:noWrap/>
            <w:vAlign w:val="center"/>
            <w:hideMark/>
          </w:tcPr>
          <w:p w14:paraId="4B2850DE"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2,869</w:t>
            </w:r>
          </w:p>
        </w:tc>
        <w:tc>
          <w:tcPr>
            <w:tcW w:w="1071" w:type="dxa"/>
            <w:tcBorders>
              <w:top w:val="nil"/>
              <w:left w:val="nil"/>
              <w:bottom w:val="single" w:sz="8" w:space="0" w:color="auto"/>
              <w:right w:val="nil"/>
            </w:tcBorders>
            <w:shd w:val="clear" w:color="auto" w:fill="auto"/>
            <w:noWrap/>
            <w:vAlign w:val="center"/>
            <w:hideMark/>
          </w:tcPr>
          <w:p w14:paraId="64B32D8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6,035</w:t>
            </w:r>
          </w:p>
        </w:tc>
        <w:tc>
          <w:tcPr>
            <w:tcW w:w="893" w:type="dxa"/>
            <w:tcBorders>
              <w:top w:val="nil"/>
              <w:left w:val="single" w:sz="4" w:space="0" w:color="auto"/>
              <w:bottom w:val="single" w:sz="8" w:space="0" w:color="auto"/>
              <w:right w:val="nil"/>
            </w:tcBorders>
            <w:shd w:val="clear" w:color="auto" w:fill="auto"/>
            <w:noWrap/>
            <w:vAlign w:val="center"/>
            <w:hideMark/>
          </w:tcPr>
          <w:p w14:paraId="48E5E4C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11,615</w:t>
            </w:r>
          </w:p>
        </w:tc>
        <w:tc>
          <w:tcPr>
            <w:tcW w:w="1162" w:type="dxa"/>
            <w:tcBorders>
              <w:top w:val="nil"/>
              <w:left w:val="nil"/>
              <w:bottom w:val="single" w:sz="8" w:space="0" w:color="auto"/>
              <w:right w:val="nil"/>
            </w:tcBorders>
            <w:shd w:val="clear" w:color="auto" w:fill="auto"/>
            <w:noWrap/>
            <w:vAlign w:val="center"/>
            <w:hideMark/>
          </w:tcPr>
          <w:p w14:paraId="3685F57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3,756</w:t>
            </w:r>
          </w:p>
        </w:tc>
        <w:tc>
          <w:tcPr>
            <w:tcW w:w="1136" w:type="dxa"/>
            <w:tcBorders>
              <w:top w:val="nil"/>
              <w:left w:val="nil"/>
              <w:bottom w:val="single" w:sz="8" w:space="0" w:color="auto"/>
              <w:right w:val="nil"/>
            </w:tcBorders>
            <w:shd w:val="clear" w:color="auto" w:fill="auto"/>
            <w:noWrap/>
            <w:vAlign w:val="center"/>
            <w:hideMark/>
          </w:tcPr>
          <w:p w14:paraId="4C25B96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7,859</w:t>
            </w:r>
          </w:p>
        </w:tc>
        <w:tc>
          <w:tcPr>
            <w:tcW w:w="893" w:type="dxa"/>
            <w:tcBorders>
              <w:top w:val="nil"/>
              <w:left w:val="single" w:sz="4" w:space="0" w:color="auto"/>
              <w:bottom w:val="single" w:sz="8" w:space="0" w:color="auto"/>
              <w:right w:val="nil"/>
            </w:tcBorders>
            <w:shd w:val="clear" w:color="auto" w:fill="auto"/>
            <w:noWrap/>
            <w:vAlign w:val="center"/>
            <w:hideMark/>
          </w:tcPr>
          <w:p w14:paraId="5E469DF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13,156</w:t>
            </w:r>
          </w:p>
        </w:tc>
        <w:tc>
          <w:tcPr>
            <w:tcW w:w="1071" w:type="dxa"/>
            <w:tcBorders>
              <w:top w:val="nil"/>
              <w:left w:val="nil"/>
              <w:bottom w:val="single" w:sz="8" w:space="0" w:color="auto"/>
              <w:right w:val="nil"/>
            </w:tcBorders>
            <w:shd w:val="clear" w:color="auto" w:fill="auto"/>
            <w:noWrap/>
            <w:vAlign w:val="center"/>
            <w:hideMark/>
          </w:tcPr>
          <w:p w14:paraId="562664F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4,270</w:t>
            </w:r>
          </w:p>
        </w:tc>
        <w:tc>
          <w:tcPr>
            <w:tcW w:w="1071" w:type="dxa"/>
            <w:tcBorders>
              <w:top w:val="nil"/>
              <w:left w:val="nil"/>
              <w:bottom w:val="single" w:sz="8" w:space="0" w:color="auto"/>
              <w:right w:val="nil"/>
            </w:tcBorders>
            <w:shd w:val="clear" w:color="auto" w:fill="auto"/>
            <w:noWrap/>
            <w:vAlign w:val="center"/>
            <w:hideMark/>
          </w:tcPr>
          <w:p w14:paraId="19FB6073"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8,886</w:t>
            </w:r>
          </w:p>
        </w:tc>
      </w:tr>
      <w:tr w:rsidR="00582975" w:rsidRPr="00582975" w14:paraId="045D2462" w14:textId="77777777" w:rsidTr="00582975">
        <w:trPr>
          <w:trHeight w:val="300"/>
        </w:trPr>
        <w:tc>
          <w:tcPr>
            <w:tcW w:w="1480" w:type="dxa"/>
            <w:tcBorders>
              <w:top w:val="nil"/>
              <w:left w:val="nil"/>
              <w:bottom w:val="nil"/>
              <w:right w:val="nil"/>
            </w:tcBorders>
            <w:shd w:val="clear" w:color="000000" w:fill="F2F2F2"/>
            <w:noWrap/>
            <w:vAlign w:val="center"/>
            <w:hideMark/>
          </w:tcPr>
          <w:p w14:paraId="01B1CDA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NH</w:t>
            </w:r>
          </w:p>
        </w:tc>
        <w:tc>
          <w:tcPr>
            <w:tcW w:w="893" w:type="dxa"/>
            <w:tcBorders>
              <w:top w:val="nil"/>
              <w:left w:val="single" w:sz="4" w:space="0" w:color="auto"/>
              <w:bottom w:val="nil"/>
              <w:right w:val="nil"/>
            </w:tcBorders>
            <w:shd w:val="clear" w:color="000000" w:fill="F2F2F2"/>
            <w:noWrap/>
            <w:vAlign w:val="center"/>
            <w:hideMark/>
          </w:tcPr>
          <w:p w14:paraId="1D2BDD8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22,102</w:t>
            </w:r>
          </w:p>
        </w:tc>
        <w:tc>
          <w:tcPr>
            <w:tcW w:w="1133" w:type="dxa"/>
            <w:tcBorders>
              <w:top w:val="nil"/>
              <w:left w:val="nil"/>
              <w:bottom w:val="nil"/>
              <w:right w:val="nil"/>
            </w:tcBorders>
            <w:shd w:val="clear" w:color="000000" w:fill="F2F2F2"/>
            <w:noWrap/>
            <w:vAlign w:val="center"/>
            <w:hideMark/>
          </w:tcPr>
          <w:p w14:paraId="36DE7E08"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8,815</w:t>
            </w:r>
          </w:p>
        </w:tc>
        <w:tc>
          <w:tcPr>
            <w:tcW w:w="1175" w:type="dxa"/>
            <w:tcBorders>
              <w:top w:val="nil"/>
              <w:left w:val="nil"/>
              <w:bottom w:val="nil"/>
              <w:right w:val="nil"/>
            </w:tcBorders>
            <w:shd w:val="clear" w:color="000000" w:fill="F2F2F2"/>
            <w:noWrap/>
            <w:vAlign w:val="center"/>
            <w:hideMark/>
          </w:tcPr>
          <w:p w14:paraId="1095B84C"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13,287</w:t>
            </w:r>
          </w:p>
        </w:tc>
        <w:tc>
          <w:tcPr>
            <w:tcW w:w="893" w:type="dxa"/>
            <w:tcBorders>
              <w:top w:val="nil"/>
              <w:left w:val="single" w:sz="4" w:space="0" w:color="auto"/>
              <w:bottom w:val="nil"/>
              <w:right w:val="nil"/>
            </w:tcBorders>
            <w:shd w:val="clear" w:color="000000" w:fill="F2F2F2"/>
            <w:noWrap/>
            <w:vAlign w:val="center"/>
            <w:hideMark/>
          </w:tcPr>
          <w:p w14:paraId="5ACC08B6"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40,331</w:t>
            </w:r>
          </w:p>
        </w:tc>
        <w:tc>
          <w:tcPr>
            <w:tcW w:w="1071" w:type="dxa"/>
            <w:tcBorders>
              <w:top w:val="nil"/>
              <w:left w:val="nil"/>
              <w:bottom w:val="nil"/>
              <w:right w:val="nil"/>
            </w:tcBorders>
            <w:shd w:val="clear" w:color="000000" w:fill="F2F2F2"/>
            <w:noWrap/>
            <w:vAlign w:val="center"/>
            <w:hideMark/>
          </w:tcPr>
          <w:p w14:paraId="6077046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16,073</w:t>
            </w:r>
          </w:p>
        </w:tc>
        <w:tc>
          <w:tcPr>
            <w:tcW w:w="1071" w:type="dxa"/>
            <w:tcBorders>
              <w:top w:val="nil"/>
              <w:left w:val="nil"/>
              <w:bottom w:val="nil"/>
              <w:right w:val="nil"/>
            </w:tcBorders>
            <w:shd w:val="clear" w:color="000000" w:fill="F2F2F2"/>
            <w:noWrap/>
            <w:vAlign w:val="center"/>
            <w:hideMark/>
          </w:tcPr>
          <w:p w14:paraId="50F1F9C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24,258</w:t>
            </w:r>
          </w:p>
        </w:tc>
        <w:tc>
          <w:tcPr>
            <w:tcW w:w="893" w:type="dxa"/>
            <w:tcBorders>
              <w:top w:val="nil"/>
              <w:left w:val="single" w:sz="4" w:space="0" w:color="auto"/>
              <w:bottom w:val="nil"/>
              <w:right w:val="nil"/>
            </w:tcBorders>
            <w:shd w:val="clear" w:color="000000" w:fill="F2F2F2"/>
            <w:noWrap/>
            <w:vAlign w:val="center"/>
            <w:hideMark/>
          </w:tcPr>
          <w:p w14:paraId="6E073C60"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52,095</w:t>
            </w:r>
          </w:p>
        </w:tc>
        <w:tc>
          <w:tcPr>
            <w:tcW w:w="1162" w:type="dxa"/>
            <w:tcBorders>
              <w:top w:val="nil"/>
              <w:left w:val="nil"/>
              <w:bottom w:val="nil"/>
              <w:right w:val="nil"/>
            </w:tcBorders>
            <w:shd w:val="clear" w:color="000000" w:fill="F2F2F2"/>
            <w:noWrap/>
            <w:vAlign w:val="center"/>
            <w:hideMark/>
          </w:tcPr>
          <w:p w14:paraId="26A411DB"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20,727</w:t>
            </w:r>
          </w:p>
        </w:tc>
        <w:tc>
          <w:tcPr>
            <w:tcW w:w="1136" w:type="dxa"/>
            <w:tcBorders>
              <w:top w:val="nil"/>
              <w:left w:val="nil"/>
              <w:bottom w:val="nil"/>
              <w:right w:val="nil"/>
            </w:tcBorders>
            <w:shd w:val="clear" w:color="000000" w:fill="F2F2F2"/>
            <w:noWrap/>
            <w:vAlign w:val="center"/>
            <w:hideMark/>
          </w:tcPr>
          <w:p w14:paraId="7F4DD672"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31,367</w:t>
            </w:r>
          </w:p>
        </w:tc>
        <w:tc>
          <w:tcPr>
            <w:tcW w:w="893" w:type="dxa"/>
            <w:tcBorders>
              <w:top w:val="nil"/>
              <w:left w:val="single" w:sz="4" w:space="0" w:color="auto"/>
              <w:bottom w:val="nil"/>
              <w:right w:val="nil"/>
            </w:tcBorders>
            <w:shd w:val="clear" w:color="000000" w:fill="F2F2F2"/>
            <w:noWrap/>
            <w:vAlign w:val="center"/>
            <w:hideMark/>
          </w:tcPr>
          <w:p w14:paraId="6828D616"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58,456</w:t>
            </w:r>
          </w:p>
        </w:tc>
        <w:tc>
          <w:tcPr>
            <w:tcW w:w="1071" w:type="dxa"/>
            <w:tcBorders>
              <w:top w:val="nil"/>
              <w:left w:val="nil"/>
              <w:bottom w:val="nil"/>
              <w:right w:val="nil"/>
            </w:tcBorders>
            <w:shd w:val="clear" w:color="000000" w:fill="F2F2F2"/>
            <w:noWrap/>
            <w:vAlign w:val="center"/>
            <w:hideMark/>
          </w:tcPr>
          <w:p w14:paraId="01AA01CF"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23,221</w:t>
            </w:r>
          </w:p>
        </w:tc>
        <w:tc>
          <w:tcPr>
            <w:tcW w:w="1071" w:type="dxa"/>
            <w:tcBorders>
              <w:top w:val="nil"/>
              <w:left w:val="nil"/>
              <w:bottom w:val="nil"/>
              <w:right w:val="nil"/>
            </w:tcBorders>
            <w:shd w:val="clear" w:color="000000" w:fill="F2F2F2"/>
            <w:noWrap/>
            <w:vAlign w:val="center"/>
            <w:hideMark/>
          </w:tcPr>
          <w:p w14:paraId="72140051" w14:textId="77777777" w:rsidR="00582975" w:rsidRPr="00582975" w:rsidRDefault="00582975" w:rsidP="00582975">
            <w:pPr>
              <w:spacing w:after="0" w:line="240" w:lineRule="auto"/>
              <w:jc w:val="center"/>
              <w:rPr>
                <w:rFonts w:ascii="Tw Cen MT" w:eastAsia="Times New Roman" w:hAnsi="Tw Cen MT" w:cs="Calibri"/>
                <w:color w:val="000000"/>
              </w:rPr>
            </w:pPr>
            <w:r w:rsidRPr="00582975">
              <w:rPr>
                <w:rFonts w:ascii="Tw Cen MT" w:eastAsia="Times New Roman" w:hAnsi="Tw Cen MT" w:cs="Calibri"/>
                <w:color w:val="000000"/>
              </w:rPr>
              <w:t>35,234</w:t>
            </w:r>
          </w:p>
        </w:tc>
      </w:tr>
      <w:tr w:rsidR="00582975" w:rsidRPr="00582975" w14:paraId="10E01226" w14:textId="77777777" w:rsidTr="00582975">
        <w:trPr>
          <w:trHeight w:val="300"/>
        </w:trPr>
        <w:tc>
          <w:tcPr>
            <w:tcW w:w="13942" w:type="dxa"/>
            <w:gridSpan w:val="13"/>
            <w:tcBorders>
              <w:top w:val="nil"/>
              <w:left w:val="nil"/>
              <w:bottom w:val="nil"/>
              <w:right w:val="nil"/>
            </w:tcBorders>
            <w:shd w:val="clear" w:color="auto" w:fill="auto"/>
            <w:noWrap/>
            <w:vAlign w:val="center"/>
            <w:hideMark/>
          </w:tcPr>
          <w:p w14:paraId="0449737C" w14:textId="77777777" w:rsidR="00582975" w:rsidRPr="00582975" w:rsidRDefault="00582975" w:rsidP="00582975">
            <w:pPr>
              <w:spacing w:after="0" w:line="240" w:lineRule="auto"/>
              <w:jc w:val="right"/>
              <w:rPr>
                <w:rFonts w:ascii="Tw Cen MT" w:eastAsia="Times New Roman" w:hAnsi="Tw Cen MT" w:cs="Calibri"/>
                <w:color w:val="000000"/>
                <w:sz w:val="20"/>
                <w:szCs w:val="20"/>
              </w:rPr>
            </w:pPr>
            <w:r w:rsidRPr="00582975">
              <w:rPr>
                <w:rFonts w:ascii="Tw Cen MT" w:eastAsia="Times New Roman" w:hAnsi="Tw Cen MT" w:cs="Calibri"/>
                <w:color w:val="000000"/>
                <w:sz w:val="20"/>
                <w:szCs w:val="20"/>
              </w:rPr>
              <w:t>Source: Root Policy Research</w:t>
            </w:r>
          </w:p>
        </w:tc>
      </w:tr>
      <w:bookmarkEnd w:id="190"/>
    </w:tbl>
    <w:p w14:paraId="377DE278" w14:textId="77777777" w:rsidR="00582975" w:rsidRDefault="00582975" w:rsidP="00206C45">
      <w:pPr>
        <w:spacing w:line="300" w:lineRule="auto"/>
        <w:rPr>
          <w:rFonts w:ascii="Tw Cen MT" w:eastAsia="Tw Cen MT" w:hAnsi="Tw Cen MT" w:cs="Tw Cen MT"/>
          <w:highlight w:val="yellow"/>
        </w:rPr>
      </w:pPr>
    </w:p>
    <w:p w14:paraId="390398EC" w14:textId="77777777" w:rsidR="00AE57B7" w:rsidRDefault="00AE57B7" w:rsidP="00206C45">
      <w:pPr>
        <w:spacing w:line="300" w:lineRule="auto"/>
        <w:rPr>
          <w:rFonts w:ascii="Tw Cen MT" w:eastAsia="Tw Cen MT" w:hAnsi="Tw Cen MT" w:cs="Tw Cen MT"/>
          <w:highlight w:val="yellow"/>
        </w:rPr>
      </w:pPr>
    </w:p>
    <w:p w14:paraId="74E9E272" w14:textId="77777777" w:rsidR="00AE57B7" w:rsidRDefault="00AE57B7" w:rsidP="00206C45">
      <w:pPr>
        <w:spacing w:line="300" w:lineRule="auto"/>
        <w:rPr>
          <w:rFonts w:ascii="Tw Cen MT" w:eastAsia="Tw Cen MT" w:hAnsi="Tw Cen MT" w:cs="Tw Cen MT"/>
          <w:highlight w:val="yellow"/>
        </w:rPr>
      </w:pPr>
    </w:p>
    <w:p w14:paraId="019E07D2" w14:textId="5A0E629C" w:rsidR="00AE57B7" w:rsidRDefault="00AE57B7" w:rsidP="00206C45">
      <w:pPr>
        <w:spacing w:line="300" w:lineRule="auto"/>
        <w:rPr>
          <w:rFonts w:ascii="Tw Cen MT" w:eastAsia="Tw Cen MT" w:hAnsi="Tw Cen MT" w:cs="Tw Cen MT"/>
          <w:highlight w:val="yellow"/>
        </w:rPr>
        <w:sectPr w:rsidR="00AE57B7" w:rsidSect="00582975">
          <w:pgSz w:w="15840" w:h="12240" w:orient="landscape" w:code="1"/>
          <w:pgMar w:top="1440" w:right="907" w:bottom="1440" w:left="1080" w:header="432" w:footer="288" w:gutter="0"/>
          <w:cols w:space="720"/>
          <w:docGrid w:linePitch="360"/>
        </w:sectPr>
      </w:pPr>
    </w:p>
    <w:p w14:paraId="48E361A5" w14:textId="32961536" w:rsidR="00366ACF" w:rsidRDefault="008B512A" w:rsidP="00206C45">
      <w:pPr>
        <w:spacing w:line="300" w:lineRule="auto"/>
        <w:rPr>
          <w:rFonts w:eastAsia="Tw Cen MT" w:cs="Tw Cen MT"/>
        </w:rPr>
      </w:pPr>
      <w:r>
        <w:rPr>
          <w:rFonts w:ascii="Tw Cen MT" w:eastAsia="Tw Cen MT" w:hAnsi="Tw Cen MT" w:cs="Tw Cen MT"/>
          <w:highlight w:val="yellow"/>
        </w:rPr>
        <w:lastRenderedPageBreak/>
        <w:fldChar w:fldCharType="begin"/>
      </w:r>
      <w:r>
        <w:rPr>
          <w:rFonts w:ascii="Tw Cen MT" w:eastAsia="Tw Cen MT" w:hAnsi="Tw Cen MT" w:cs="Tw Cen MT"/>
          <w:highlight w:val="yellow"/>
        </w:rPr>
        <w:instrText xml:space="preserve"> REF _Ref127971257 \h </w:instrText>
      </w:r>
      <w:r>
        <w:rPr>
          <w:rFonts w:ascii="Tw Cen MT" w:eastAsia="Tw Cen MT" w:hAnsi="Tw Cen MT" w:cs="Tw Cen MT"/>
          <w:highlight w:val="yellow"/>
        </w:rPr>
      </w:r>
      <w:r>
        <w:rPr>
          <w:rFonts w:ascii="Tw Cen MT" w:eastAsia="Tw Cen MT" w:hAnsi="Tw Cen MT" w:cs="Tw Cen MT"/>
          <w:highlight w:val="yellow"/>
        </w:rPr>
        <w:fldChar w:fldCharType="separate"/>
      </w:r>
      <w:r>
        <w:t xml:space="preserve">Table </w:t>
      </w:r>
      <w:r>
        <w:rPr>
          <w:noProof/>
        </w:rPr>
        <w:t>33</w:t>
      </w:r>
      <w:r>
        <w:rPr>
          <w:rFonts w:ascii="Tw Cen MT" w:eastAsia="Tw Cen MT" w:hAnsi="Tw Cen MT" w:cs="Tw Cen MT"/>
          <w:highlight w:val="yellow"/>
        </w:rPr>
        <w:fldChar w:fldCharType="end"/>
      </w:r>
      <w:r w:rsidRPr="00764C60">
        <w:rPr>
          <w:rFonts w:ascii="Tw Cen MT" w:eastAsia="Tw Cen MT" w:hAnsi="Tw Cen MT" w:cs="Tw Cen MT"/>
        </w:rPr>
        <w:t xml:space="preserve"> and </w:t>
      </w:r>
      <w:r w:rsidR="00764C60">
        <w:rPr>
          <w:rFonts w:ascii="Tw Cen MT" w:eastAsia="Tw Cen MT" w:hAnsi="Tw Cen MT" w:cs="Tw Cen MT"/>
          <w:highlight w:val="yellow"/>
        </w:rPr>
        <w:fldChar w:fldCharType="begin"/>
      </w:r>
      <w:r w:rsidR="00764C60">
        <w:rPr>
          <w:rFonts w:ascii="Tw Cen MT" w:eastAsia="Tw Cen MT" w:hAnsi="Tw Cen MT" w:cs="Tw Cen MT"/>
          <w:highlight w:val="yellow"/>
        </w:rPr>
        <w:instrText xml:space="preserve"> REF _Ref127971284 \h </w:instrText>
      </w:r>
      <w:r w:rsidR="00764C60">
        <w:rPr>
          <w:rFonts w:ascii="Tw Cen MT" w:eastAsia="Tw Cen MT" w:hAnsi="Tw Cen MT" w:cs="Tw Cen MT"/>
          <w:highlight w:val="yellow"/>
        </w:rPr>
      </w:r>
      <w:r w:rsidR="00764C60">
        <w:rPr>
          <w:rFonts w:ascii="Tw Cen MT" w:eastAsia="Tw Cen MT" w:hAnsi="Tw Cen MT" w:cs="Tw Cen MT"/>
          <w:highlight w:val="yellow"/>
        </w:rPr>
        <w:fldChar w:fldCharType="separate"/>
      </w:r>
      <w:r w:rsidR="00764C60">
        <w:t xml:space="preserve">Table </w:t>
      </w:r>
      <w:r w:rsidR="00764C60">
        <w:rPr>
          <w:noProof/>
        </w:rPr>
        <w:t>34</w:t>
      </w:r>
      <w:r w:rsidR="00764C60">
        <w:rPr>
          <w:rFonts w:ascii="Tw Cen MT" w:eastAsia="Tw Cen MT" w:hAnsi="Tw Cen MT" w:cs="Tw Cen MT"/>
          <w:highlight w:val="yellow"/>
        </w:rPr>
        <w:fldChar w:fldCharType="end"/>
      </w:r>
      <w:r w:rsidR="00764C60">
        <w:rPr>
          <w:rFonts w:ascii="Tw Cen MT" w:eastAsia="Tw Cen MT" w:hAnsi="Tw Cen MT" w:cs="Tw Cen MT"/>
        </w:rPr>
        <w:t xml:space="preserve"> </w:t>
      </w:r>
      <w:r w:rsidR="00FA0617">
        <w:rPr>
          <w:rFonts w:ascii="Tw Cen MT" w:eastAsia="Tw Cen MT" w:hAnsi="Tw Cen MT" w:cs="Tw Cen MT"/>
        </w:rPr>
        <w:t>demonstrate the average annual new housing growth by decade proposed under the model, in both absolute and relative terms. They also compare them to historical trends for context. For example, between 2000 and 2010, the SNHPC region on average built about 1,110 net housing units every year for a growth rate of 1.1%. By the following decade that number had fallen to 710 units built every year. Applying that same methodology to the Fair Share numbers, between 2020 and 2030, the SNHPC region is expected to add, on average, around 1,320 new housing units each year for an annual growth rate of 1.1%. Increases slow significantly between 2030 and 2040 for the same reasons that they do for the cumulative figures.</w:t>
      </w:r>
    </w:p>
    <w:p w14:paraId="00A46D3A" w14:textId="60CBE580" w:rsidR="00366ACF" w:rsidRDefault="00366ACF" w:rsidP="00A17D67">
      <w:pPr>
        <w:pStyle w:val="Caption"/>
        <w:keepNext/>
        <w:keepLines/>
        <w:spacing w:line="300" w:lineRule="auto"/>
      </w:pPr>
      <w:bookmarkStart w:id="191" w:name="_Ref127971257"/>
      <w:bookmarkStart w:id="192" w:name="_Toc128137924"/>
      <w:r>
        <w:t xml:space="preserve">Table </w:t>
      </w:r>
      <w:r w:rsidR="0062538A">
        <w:fldChar w:fldCharType="begin"/>
      </w:r>
      <w:r w:rsidR="0062538A">
        <w:instrText xml:space="preserve"> SEQ Table \* ARABIC </w:instrText>
      </w:r>
      <w:r w:rsidR="0062538A">
        <w:fldChar w:fldCharType="separate"/>
      </w:r>
      <w:r w:rsidR="008B512A">
        <w:rPr>
          <w:noProof/>
        </w:rPr>
        <w:t>33</w:t>
      </w:r>
      <w:r w:rsidR="0062538A">
        <w:rPr>
          <w:noProof/>
        </w:rPr>
        <w:fldChar w:fldCharType="end"/>
      </w:r>
      <w:bookmarkEnd w:id="191"/>
      <w:r>
        <w:t>: Average Annual Net New Housing Units</w:t>
      </w:r>
      <w:bookmarkEnd w:id="192"/>
    </w:p>
    <w:tbl>
      <w:tblPr>
        <w:tblW w:w="5961" w:type="dxa"/>
        <w:tblLook w:val="04A0" w:firstRow="1" w:lastRow="0" w:firstColumn="1" w:lastColumn="0" w:noHBand="0" w:noVBand="1"/>
      </w:tblPr>
      <w:tblGrid>
        <w:gridCol w:w="1323"/>
        <w:gridCol w:w="872"/>
        <w:gridCol w:w="752"/>
        <w:gridCol w:w="750"/>
        <w:gridCol w:w="750"/>
        <w:gridCol w:w="750"/>
        <w:gridCol w:w="764"/>
      </w:tblGrid>
      <w:tr w:rsidR="00516F66" w:rsidRPr="00C64BA4" w14:paraId="2E1DDCAD" w14:textId="77777777" w:rsidTr="004341CD">
        <w:trPr>
          <w:trHeight w:val="300"/>
        </w:trPr>
        <w:tc>
          <w:tcPr>
            <w:tcW w:w="1323" w:type="dxa"/>
            <w:tcBorders>
              <w:top w:val="nil"/>
              <w:left w:val="nil"/>
              <w:bottom w:val="nil"/>
              <w:right w:val="nil"/>
            </w:tcBorders>
            <w:shd w:val="clear" w:color="auto" w:fill="auto"/>
            <w:noWrap/>
            <w:vAlign w:val="bottom"/>
          </w:tcPr>
          <w:p w14:paraId="386DCA39" w14:textId="77777777" w:rsidR="00516F66" w:rsidRPr="00C64BA4" w:rsidRDefault="00516F66" w:rsidP="00A17D67">
            <w:pPr>
              <w:keepNext/>
              <w:keepLines/>
              <w:spacing w:after="0" w:line="300" w:lineRule="auto"/>
              <w:rPr>
                <w:rFonts w:eastAsia="Times New Roman" w:cs="Calibri"/>
                <w:color w:val="000000"/>
                <w:sz w:val="20"/>
                <w:szCs w:val="20"/>
              </w:rPr>
            </w:pPr>
          </w:p>
        </w:tc>
        <w:tc>
          <w:tcPr>
            <w:tcW w:w="4638" w:type="dxa"/>
            <w:gridSpan w:val="6"/>
            <w:tcBorders>
              <w:top w:val="nil"/>
              <w:left w:val="nil"/>
              <w:bottom w:val="nil"/>
              <w:right w:val="nil"/>
            </w:tcBorders>
            <w:shd w:val="clear" w:color="auto" w:fill="auto"/>
            <w:noWrap/>
            <w:vAlign w:val="bottom"/>
          </w:tcPr>
          <w:p w14:paraId="66F3B2C3" w14:textId="1BB37849" w:rsidR="00516F66" w:rsidRPr="00516F66" w:rsidRDefault="00516F66" w:rsidP="00A17D67">
            <w:pPr>
              <w:keepNext/>
              <w:keepLines/>
              <w:spacing w:after="0" w:line="300" w:lineRule="auto"/>
              <w:jc w:val="center"/>
              <w:rPr>
                <w:rFonts w:eastAsia="Times New Roman" w:cs="Calibri"/>
                <w:caps/>
                <w:color w:val="595959"/>
              </w:rPr>
            </w:pPr>
            <w:r w:rsidRPr="00516F66">
              <w:rPr>
                <w:rFonts w:eastAsia="Times New Roman" w:cs="Calibri"/>
                <w:caps/>
                <w:color w:val="595959"/>
              </w:rPr>
              <w:t>Past Housing Growth and Projected Fair Share Growth</w:t>
            </w:r>
          </w:p>
        </w:tc>
      </w:tr>
      <w:tr w:rsidR="00366ACF" w:rsidRPr="00C64BA4" w14:paraId="4B0309C8" w14:textId="77777777" w:rsidTr="004341CD">
        <w:trPr>
          <w:trHeight w:val="300"/>
        </w:trPr>
        <w:tc>
          <w:tcPr>
            <w:tcW w:w="1323" w:type="dxa"/>
            <w:tcBorders>
              <w:top w:val="nil"/>
              <w:left w:val="nil"/>
              <w:bottom w:val="nil"/>
              <w:right w:val="nil"/>
            </w:tcBorders>
            <w:shd w:val="clear" w:color="auto" w:fill="auto"/>
            <w:noWrap/>
            <w:vAlign w:val="bottom"/>
            <w:hideMark/>
          </w:tcPr>
          <w:p w14:paraId="53CAA36D" w14:textId="77777777" w:rsidR="00366ACF" w:rsidRPr="00C64BA4" w:rsidRDefault="00366ACF" w:rsidP="00A17D67">
            <w:pPr>
              <w:keepNext/>
              <w:keepLines/>
              <w:spacing w:after="0" w:line="300" w:lineRule="auto"/>
              <w:rPr>
                <w:rFonts w:eastAsia="Times New Roman" w:cs="Calibri"/>
                <w:color w:val="000000"/>
                <w:sz w:val="20"/>
                <w:szCs w:val="20"/>
              </w:rPr>
            </w:pPr>
            <w:bookmarkStart w:id="193" w:name="_Hlk122702339"/>
          </w:p>
        </w:tc>
        <w:tc>
          <w:tcPr>
            <w:tcW w:w="4638" w:type="dxa"/>
            <w:gridSpan w:val="6"/>
            <w:tcBorders>
              <w:top w:val="nil"/>
              <w:left w:val="nil"/>
              <w:bottom w:val="nil"/>
              <w:right w:val="nil"/>
            </w:tcBorders>
            <w:shd w:val="clear" w:color="auto" w:fill="auto"/>
            <w:noWrap/>
            <w:vAlign w:val="bottom"/>
            <w:hideMark/>
          </w:tcPr>
          <w:p w14:paraId="1FEC659D" w14:textId="77777777" w:rsidR="00366ACF" w:rsidRPr="00C64BA4" w:rsidRDefault="00366ACF"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Average Annual Net New Housing Units</w:t>
            </w:r>
          </w:p>
        </w:tc>
      </w:tr>
      <w:tr w:rsidR="00366ACF" w:rsidRPr="00C64BA4" w14:paraId="7A2C2AB8" w14:textId="77777777" w:rsidTr="004341CD">
        <w:trPr>
          <w:trHeight w:val="300"/>
        </w:trPr>
        <w:tc>
          <w:tcPr>
            <w:tcW w:w="1323" w:type="dxa"/>
            <w:tcBorders>
              <w:top w:val="nil"/>
              <w:left w:val="nil"/>
              <w:bottom w:val="nil"/>
              <w:right w:val="nil"/>
            </w:tcBorders>
            <w:shd w:val="clear" w:color="auto" w:fill="auto"/>
            <w:noWrap/>
            <w:vAlign w:val="bottom"/>
            <w:hideMark/>
          </w:tcPr>
          <w:p w14:paraId="4E9B1E03" w14:textId="77777777" w:rsidR="00366ACF" w:rsidRPr="00C64BA4" w:rsidRDefault="00366ACF" w:rsidP="00A17D67">
            <w:pPr>
              <w:keepNext/>
              <w:keepLines/>
              <w:spacing w:after="0" w:line="300" w:lineRule="auto"/>
              <w:jc w:val="center"/>
              <w:rPr>
                <w:rFonts w:eastAsia="Times New Roman" w:cs="Calibri"/>
                <w:b/>
                <w:bCs/>
                <w:color w:val="595959"/>
              </w:rPr>
            </w:pPr>
          </w:p>
        </w:tc>
        <w:tc>
          <w:tcPr>
            <w:tcW w:w="3124" w:type="dxa"/>
            <w:gridSpan w:val="4"/>
            <w:tcBorders>
              <w:top w:val="nil"/>
              <w:left w:val="single" w:sz="4" w:space="0" w:color="auto"/>
              <w:bottom w:val="nil"/>
              <w:right w:val="single" w:sz="4" w:space="0" w:color="000000"/>
            </w:tcBorders>
            <w:shd w:val="clear" w:color="auto" w:fill="auto"/>
            <w:noWrap/>
            <w:vAlign w:val="bottom"/>
            <w:hideMark/>
          </w:tcPr>
          <w:p w14:paraId="2FDB498F" w14:textId="77777777" w:rsidR="00366ACF" w:rsidRPr="00C64BA4" w:rsidRDefault="00366ACF"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Historical</w:t>
            </w:r>
          </w:p>
        </w:tc>
        <w:tc>
          <w:tcPr>
            <w:tcW w:w="1514" w:type="dxa"/>
            <w:gridSpan w:val="2"/>
            <w:tcBorders>
              <w:top w:val="nil"/>
              <w:left w:val="nil"/>
              <w:bottom w:val="nil"/>
              <w:right w:val="nil"/>
            </w:tcBorders>
            <w:shd w:val="clear" w:color="auto" w:fill="auto"/>
            <w:noWrap/>
            <w:vAlign w:val="bottom"/>
            <w:hideMark/>
          </w:tcPr>
          <w:p w14:paraId="0AA1BF14" w14:textId="77777777" w:rsidR="00366ACF" w:rsidRPr="00C64BA4" w:rsidRDefault="00366ACF"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Projected</w:t>
            </w:r>
          </w:p>
        </w:tc>
      </w:tr>
      <w:tr w:rsidR="00366ACF" w:rsidRPr="00C64BA4" w14:paraId="22EF989F" w14:textId="77777777" w:rsidTr="004341CD">
        <w:trPr>
          <w:trHeight w:val="870"/>
        </w:trPr>
        <w:tc>
          <w:tcPr>
            <w:tcW w:w="1323" w:type="dxa"/>
            <w:tcBorders>
              <w:top w:val="nil"/>
              <w:left w:val="nil"/>
              <w:bottom w:val="single" w:sz="4" w:space="0" w:color="auto"/>
              <w:right w:val="nil"/>
            </w:tcBorders>
            <w:shd w:val="clear" w:color="auto" w:fill="auto"/>
            <w:noWrap/>
            <w:vAlign w:val="center"/>
            <w:hideMark/>
          </w:tcPr>
          <w:p w14:paraId="0B6FC77D" w14:textId="77777777" w:rsidR="00366ACF" w:rsidRPr="00C64BA4" w:rsidRDefault="00366ACF" w:rsidP="00A17D67">
            <w:pPr>
              <w:keepNext/>
              <w:keepLines/>
              <w:spacing w:after="0" w:line="300" w:lineRule="auto"/>
              <w:rPr>
                <w:rFonts w:eastAsia="Times New Roman" w:cs="Calibri"/>
                <w:color w:val="000000"/>
              </w:rPr>
            </w:pPr>
            <w:r w:rsidRPr="00C64BA4">
              <w:rPr>
                <w:rFonts w:eastAsia="Times New Roman" w:cs="Calibri"/>
                <w:color w:val="000000"/>
              </w:rPr>
              <w:t> </w:t>
            </w:r>
          </w:p>
        </w:tc>
        <w:tc>
          <w:tcPr>
            <w:tcW w:w="872" w:type="dxa"/>
            <w:tcBorders>
              <w:top w:val="nil"/>
              <w:left w:val="single" w:sz="4" w:space="0" w:color="auto"/>
              <w:bottom w:val="single" w:sz="4" w:space="0" w:color="auto"/>
              <w:right w:val="nil"/>
            </w:tcBorders>
            <w:shd w:val="clear" w:color="auto" w:fill="auto"/>
            <w:vAlign w:val="center"/>
            <w:hideMark/>
          </w:tcPr>
          <w:p w14:paraId="5A44B696" w14:textId="77777777" w:rsidR="00366ACF" w:rsidRPr="00C64BA4" w:rsidRDefault="00366ACF"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1980 to 1990</w:t>
            </w:r>
          </w:p>
        </w:tc>
        <w:tc>
          <w:tcPr>
            <w:tcW w:w="752" w:type="dxa"/>
            <w:tcBorders>
              <w:top w:val="nil"/>
              <w:left w:val="nil"/>
              <w:bottom w:val="single" w:sz="4" w:space="0" w:color="auto"/>
              <w:right w:val="nil"/>
            </w:tcBorders>
            <w:shd w:val="clear" w:color="auto" w:fill="auto"/>
            <w:vAlign w:val="center"/>
            <w:hideMark/>
          </w:tcPr>
          <w:p w14:paraId="191D90D4" w14:textId="77777777" w:rsidR="00366ACF" w:rsidRPr="00C64BA4" w:rsidRDefault="00366ACF"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1990 to 2000</w:t>
            </w:r>
          </w:p>
        </w:tc>
        <w:tc>
          <w:tcPr>
            <w:tcW w:w="750" w:type="dxa"/>
            <w:tcBorders>
              <w:top w:val="nil"/>
              <w:left w:val="nil"/>
              <w:bottom w:val="single" w:sz="4" w:space="0" w:color="auto"/>
              <w:right w:val="nil"/>
            </w:tcBorders>
            <w:shd w:val="clear" w:color="auto" w:fill="auto"/>
            <w:vAlign w:val="center"/>
            <w:hideMark/>
          </w:tcPr>
          <w:p w14:paraId="1E49E3EB" w14:textId="77777777" w:rsidR="00366ACF" w:rsidRPr="00C64BA4" w:rsidRDefault="00366ACF"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2000 to 2010</w:t>
            </w:r>
          </w:p>
        </w:tc>
        <w:tc>
          <w:tcPr>
            <w:tcW w:w="750" w:type="dxa"/>
            <w:tcBorders>
              <w:top w:val="nil"/>
              <w:left w:val="nil"/>
              <w:bottom w:val="single" w:sz="4" w:space="0" w:color="auto"/>
              <w:right w:val="single" w:sz="4" w:space="0" w:color="auto"/>
            </w:tcBorders>
            <w:shd w:val="clear" w:color="auto" w:fill="auto"/>
            <w:vAlign w:val="center"/>
            <w:hideMark/>
          </w:tcPr>
          <w:p w14:paraId="13B96C1D" w14:textId="77777777" w:rsidR="00366ACF" w:rsidRPr="00C64BA4" w:rsidRDefault="00366ACF"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2010 to 2020</w:t>
            </w:r>
          </w:p>
        </w:tc>
        <w:tc>
          <w:tcPr>
            <w:tcW w:w="750" w:type="dxa"/>
            <w:tcBorders>
              <w:top w:val="nil"/>
              <w:left w:val="nil"/>
              <w:bottom w:val="single" w:sz="4" w:space="0" w:color="auto"/>
              <w:right w:val="nil"/>
            </w:tcBorders>
            <w:shd w:val="clear" w:color="auto" w:fill="auto"/>
            <w:vAlign w:val="center"/>
            <w:hideMark/>
          </w:tcPr>
          <w:p w14:paraId="4B7561C9" w14:textId="77777777" w:rsidR="00366ACF" w:rsidRPr="00C64BA4" w:rsidRDefault="00366ACF"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2020 to 2030</w:t>
            </w:r>
          </w:p>
        </w:tc>
        <w:tc>
          <w:tcPr>
            <w:tcW w:w="764" w:type="dxa"/>
            <w:tcBorders>
              <w:top w:val="nil"/>
              <w:left w:val="nil"/>
              <w:bottom w:val="single" w:sz="4" w:space="0" w:color="auto"/>
              <w:right w:val="nil"/>
            </w:tcBorders>
            <w:shd w:val="clear" w:color="auto" w:fill="auto"/>
            <w:vAlign w:val="center"/>
            <w:hideMark/>
          </w:tcPr>
          <w:p w14:paraId="71354045" w14:textId="77777777" w:rsidR="00366ACF" w:rsidRPr="00C64BA4" w:rsidRDefault="00366ACF"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2030 to 2040</w:t>
            </w:r>
          </w:p>
        </w:tc>
      </w:tr>
      <w:tr w:rsidR="00366ACF" w:rsidRPr="00C64BA4" w14:paraId="01EFF41B" w14:textId="77777777" w:rsidTr="004341CD">
        <w:trPr>
          <w:trHeight w:val="300"/>
        </w:trPr>
        <w:tc>
          <w:tcPr>
            <w:tcW w:w="1323" w:type="dxa"/>
            <w:tcBorders>
              <w:top w:val="nil"/>
              <w:left w:val="nil"/>
              <w:bottom w:val="nil"/>
              <w:right w:val="nil"/>
            </w:tcBorders>
            <w:shd w:val="clear" w:color="auto" w:fill="auto"/>
            <w:noWrap/>
            <w:vAlign w:val="center"/>
            <w:hideMark/>
          </w:tcPr>
          <w:p w14:paraId="5CBEC17C"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Auburn</w:t>
            </w:r>
          </w:p>
        </w:tc>
        <w:tc>
          <w:tcPr>
            <w:tcW w:w="872" w:type="dxa"/>
            <w:tcBorders>
              <w:top w:val="nil"/>
              <w:left w:val="single" w:sz="4" w:space="0" w:color="auto"/>
              <w:bottom w:val="nil"/>
              <w:right w:val="nil"/>
            </w:tcBorders>
            <w:shd w:val="clear" w:color="auto" w:fill="auto"/>
            <w:noWrap/>
            <w:vAlign w:val="center"/>
            <w:hideMark/>
          </w:tcPr>
          <w:p w14:paraId="1D1194F4"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40</w:t>
            </w:r>
          </w:p>
        </w:tc>
        <w:tc>
          <w:tcPr>
            <w:tcW w:w="752" w:type="dxa"/>
            <w:tcBorders>
              <w:top w:val="nil"/>
              <w:left w:val="nil"/>
              <w:bottom w:val="nil"/>
              <w:right w:val="nil"/>
            </w:tcBorders>
            <w:shd w:val="clear" w:color="auto" w:fill="auto"/>
            <w:noWrap/>
            <w:vAlign w:val="center"/>
            <w:hideMark/>
          </w:tcPr>
          <w:p w14:paraId="468C257D"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50" w:type="dxa"/>
            <w:tcBorders>
              <w:top w:val="nil"/>
              <w:left w:val="nil"/>
              <w:bottom w:val="nil"/>
              <w:right w:val="nil"/>
            </w:tcBorders>
            <w:shd w:val="clear" w:color="auto" w:fill="auto"/>
            <w:noWrap/>
            <w:vAlign w:val="center"/>
            <w:hideMark/>
          </w:tcPr>
          <w:p w14:paraId="098705E1"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50" w:type="dxa"/>
            <w:tcBorders>
              <w:top w:val="nil"/>
              <w:left w:val="nil"/>
              <w:bottom w:val="nil"/>
              <w:right w:val="single" w:sz="4" w:space="0" w:color="auto"/>
            </w:tcBorders>
            <w:shd w:val="clear" w:color="auto" w:fill="auto"/>
            <w:noWrap/>
            <w:vAlign w:val="center"/>
            <w:hideMark/>
          </w:tcPr>
          <w:p w14:paraId="1BF93792"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50" w:type="dxa"/>
            <w:tcBorders>
              <w:top w:val="nil"/>
              <w:left w:val="nil"/>
              <w:bottom w:val="nil"/>
              <w:right w:val="nil"/>
            </w:tcBorders>
            <w:shd w:val="clear" w:color="auto" w:fill="auto"/>
            <w:noWrap/>
            <w:vAlign w:val="center"/>
            <w:hideMark/>
          </w:tcPr>
          <w:p w14:paraId="42D5A3AC"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64" w:type="dxa"/>
            <w:tcBorders>
              <w:top w:val="nil"/>
              <w:left w:val="nil"/>
              <w:bottom w:val="nil"/>
              <w:right w:val="nil"/>
            </w:tcBorders>
            <w:shd w:val="clear" w:color="auto" w:fill="auto"/>
            <w:noWrap/>
            <w:vAlign w:val="center"/>
            <w:hideMark/>
          </w:tcPr>
          <w:p w14:paraId="18F4C9D7"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w:t>
            </w:r>
          </w:p>
        </w:tc>
      </w:tr>
      <w:tr w:rsidR="00366ACF" w:rsidRPr="00C64BA4" w14:paraId="5BD279D0" w14:textId="77777777" w:rsidTr="004341CD">
        <w:trPr>
          <w:trHeight w:val="300"/>
        </w:trPr>
        <w:tc>
          <w:tcPr>
            <w:tcW w:w="1323" w:type="dxa"/>
            <w:tcBorders>
              <w:top w:val="single" w:sz="4" w:space="0" w:color="auto"/>
              <w:left w:val="nil"/>
              <w:bottom w:val="single" w:sz="4" w:space="0" w:color="auto"/>
              <w:right w:val="nil"/>
            </w:tcBorders>
            <w:shd w:val="clear" w:color="000000" w:fill="F2F2F2"/>
            <w:noWrap/>
            <w:vAlign w:val="center"/>
            <w:hideMark/>
          </w:tcPr>
          <w:p w14:paraId="6D746FB8"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Bedford</w:t>
            </w:r>
          </w:p>
        </w:tc>
        <w:tc>
          <w:tcPr>
            <w:tcW w:w="872" w:type="dxa"/>
            <w:tcBorders>
              <w:top w:val="single" w:sz="4" w:space="0" w:color="auto"/>
              <w:left w:val="single" w:sz="4" w:space="0" w:color="auto"/>
              <w:bottom w:val="single" w:sz="4" w:space="0" w:color="auto"/>
              <w:right w:val="nil"/>
            </w:tcBorders>
            <w:shd w:val="clear" w:color="000000" w:fill="F2F2F2"/>
            <w:noWrap/>
            <w:vAlign w:val="center"/>
            <w:hideMark/>
          </w:tcPr>
          <w:p w14:paraId="26EEE3BA"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130</w:t>
            </w:r>
          </w:p>
        </w:tc>
        <w:tc>
          <w:tcPr>
            <w:tcW w:w="752" w:type="dxa"/>
            <w:tcBorders>
              <w:top w:val="single" w:sz="4" w:space="0" w:color="auto"/>
              <w:left w:val="nil"/>
              <w:bottom w:val="single" w:sz="4" w:space="0" w:color="auto"/>
              <w:right w:val="nil"/>
            </w:tcBorders>
            <w:shd w:val="clear" w:color="000000" w:fill="F2F2F2"/>
            <w:noWrap/>
            <w:vAlign w:val="center"/>
            <w:hideMark/>
          </w:tcPr>
          <w:p w14:paraId="35A3271F"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220</w:t>
            </w:r>
          </w:p>
        </w:tc>
        <w:tc>
          <w:tcPr>
            <w:tcW w:w="750" w:type="dxa"/>
            <w:tcBorders>
              <w:top w:val="single" w:sz="4" w:space="0" w:color="auto"/>
              <w:left w:val="nil"/>
              <w:bottom w:val="single" w:sz="4" w:space="0" w:color="auto"/>
              <w:right w:val="nil"/>
            </w:tcBorders>
            <w:shd w:val="clear" w:color="000000" w:fill="F2F2F2"/>
            <w:noWrap/>
            <w:vAlign w:val="center"/>
            <w:hideMark/>
          </w:tcPr>
          <w:p w14:paraId="4F208DDA"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120</w:t>
            </w:r>
          </w:p>
        </w:tc>
        <w:tc>
          <w:tcPr>
            <w:tcW w:w="750" w:type="dxa"/>
            <w:tcBorders>
              <w:top w:val="single" w:sz="4" w:space="0" w:color="auto"/>
              <w:left w:val="nil"/>
              <w:bottom w:val="single" w:sz="4" w:space="0" w:color="auto"/>
              <w:right w:val="single" w:sz="4" w:space="0" w:color="auto"/>
            </w:tcBorders>
            <w:shd w:val="clear" w:color="000000" w:fill="F2F2F2"/>
            <w:noWrap/>
            <w:vAlign w:val="center"/>
            <w:hideMark/>
          </w:tcPr>
          <w:p w14:paraId="2EEEC9E0"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60</w:t>
            </w:r>
          </w:p>
        </w:tc>
        <w:tc>
          <w:tcPr>
            <w:tcW w:w="750" w:type="dxa"/>
            <w:tcBorders>
              <w:top w:val="single" w:sz="4" w:space="0" w:color="auto"/>
              <w:left w:val="nil"/>
              <w:bottom w:val="single" w:sz="4" w:space="0" w:color="auto"/>
              <w:right w:val="nil"/>
            </w:tcBorders>
            <w:shd w:val="clear" w:color="000000" w:fill="F2F2F2"/>
            <w:noWrap/>
            <w:vAlign w:val="center"/>
            <w:hideMark/>
          </w:tcPr>
          <w:p w14:paraId="19C35C83"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100</w:t>
            </w:r>
          </w:p>
        </w:tc>
        <w:tc>
          <w:tcPr>
            <w:tcW w:w="764" w:type="dxa"/>
            <w:tcBorders>
              <w:top w:val="single" w:sz="4" w:space="0" w:color="auto"/>
              <w:left w:val="nil"/>
              <w:bottom w:val="single" w:sz="4" w:space="0" w:color="auto"/>
              <w:right w:val="nil"/>
            </w:tcBorders>
            <w:shd w:val="clear" w:color="000000" w:fill="F2F2F2"/>
            <w:noWrap/>
            <w:vAlign w:val="center"/>
            <w:hideMark/>
          </w:tcPr>
          <w:p w14:paraId="76C0C1A9"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50</w:t>
            </w:r>
          </w:p>
        </w:tc>
      </w:tr>
      <w:tr w:rsidR="00366ACF" w:rsidRPr="00C64BA4" w14:paraId="33576FA1" w14:textId="77777777" w:rsidTr="004341CD">
        <w:trPr>
          <w:trHeight w:val="300"/>
        </w:trPr>
        <w:tc>
          <w:tcPr>
            <w:tcW w:w="1323" w:type="dxa"/>
            <w:tcBorders>
              <w:top w:val="nil"/>
              <w:left w:val="nil"/>
              <w:bottom w:val="nil"/>
              <w:right w:val="nil"/>
            </w:tcBorders>
            <w:shd w:val="clear" w:color="auto" w:fill="auto"/>
            <w:noWrap/>
            <w:vAlign w:val="center"/>
            <w:hideMark/>
          </w:tcPr>
          <w:p w14:paraId="3497FF7F"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Candia</w:t>
            </w:r>
          </w:p>
        </w:tc>
        <w:tc>
          <w:tcPr>
            <w:tcW w:w="872" w:type="dxa"/>
            <w:tcBorders>
              <w:top w:val="nil"/>
              <w:left w:val="single" w:sz="4" w:space="0" w:color="auto"/>
              <w:bottom w:val="nil"/>
              <w:right w:val="nil"/>
            </w:tcBorders>
            <w:shd w:val="clear" w:color="auto" w:fill="auto"/>
            <w:noWrap/>
            <w:vAlign w:val="center"/>
            <w:hideMark/>
          </w:tcPr>
          <w:p w14:paraId="46318A4C"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52" w:type="dxa"/>
            <w:tcBorders>
              <w:top w:val="nil"/>
              <w:left w:val="nil"/>
              <w:bottom w:val="nil"/>
              <w:right w:val="nil"/>
            </w:tcBorders>
            <w:shd w:val="clear" w:color="auto" w:fill="auto"/>
            <w:noWrap/>
            <w:vAlign w:val="center"/>
            <w:hideMark/>
          </w:tcPr>
          <w:p w14:paraId="7593534F"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50" w:type="dxa"/>
            <w:tcBorders>
              <w:top w:val="nil"/>
              <w:left w:val="nil"/>
              <w:bottom w:val="nil"/>
              <w:right w:val="nil"/>
            </w:tcBorders>
            <w:shd w:val="clear" w:color="auto" w:fill="auto"/>
            <w:noWrap/>
            <w:vAlign w:val="center"/>
            <w:hideMark/>
          </w:tcPr>
          <w:p w14:paraId="2FEFE567"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w:t>
            </w:r>
          </w:p>
        </w:tc>
        <w:tc>
          <w:tcPr>
            <w:tcW w:w="750" w:type="dxa"/>
            <w:tcBorders>
              <w:top w:val="nil"/>
              <w:left w:val="nil"/>
              <w:bottom w:val="nil"/>
              <w:right w:val="single" w:sz="4" w:space="0" w:color="auto"/>
            </w:tcBorders>
            <w:shd w:val="clear" w:color="auto" w:fill="auto"/>
            <w:noWrap/>
            <w:vAlign w:val="center"/>
            <w:hideMark/>
          </w:tcPr>
          <w:p w14:paraId="214062E2"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w:t>
            </w:r>
          </w:p>
        </w:tc>
        <w:tc>
          <w:tcPr>
            <w:tcW w:w="750" w:type="dxa"/>
            <w:tcBorders>
              <w:top w:val="nil"/>
              <w:left w:val="nil"/>
              <w:bottom w:val="nil"/>
              <w:right w:val="nil"/>
            </w:tcBorders>
            <w:shd w:val="clear" w:color="auto" w:fill="auto"/>
            <w:noWrap/>
            <w:vAlign w:val="center"/>
            <w:hideMark/>
          </w:tcPr>
          <w:p w14:paraId="3E1E3000"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64" w:type="dxa"/>
            <w:tcBorders>
              <w:top w:val="nil"/>
              <w:left w:val="nil"/>
              <w:bottom w:val="nil"/>
              <w:right w:val="nil"/>
            </w:tcBorders>
            <w:shd w:val="clear" w:color="auto" w:fill="auto"/>
            <w:noWrap/>
            <w:vAlign w:val="center"/>
            <w:hideMark/>
          </w:tcPr>
          <w:p w14:paraId="272436CF"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w:t>
            </w:r>
          </w:p>
        </w:tc>
      </w:tr>
      <w:tr w:rsidR="00366ACF" w:rsidRPr="00C64BA4" w14:paraId="2F1629E7" w14:textId="77777777" w:rsidTr="004341CD">
        <w:trPr>
          <w:trHeight w:val="300"/>
        </w:trPr>
        <w:tc>
          <w:tcPr>
            <w:tcW w:w="1323" w:type="dxa"/>
            <w:tcBorders>
              <w:top w:val="single" w:sz="4" w:space="0" w:color="auto"/>
              <w:left w:val="nil"/>
              <w:bottom w:val="single" w:sz="4" w:space="0" w:color="auto"/>
              <w:right w:val="nil"/>
            </w:tcBorders>
            <w:shd w:val="clear" w:color="000000" w:fill="F2F2F2"/>
            <w:noWrap/>
            <w:vAlign w:val="center"/>
            <w:hideMark/>
          </w:tcPr>
          <w:p w14:paraId="3C623174"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Chester</w:t>
            </w:r>
          </w:p>
        </w:tc>
        <w:tc>
          <w:tcPr>
            <w:tcW w:w="872" w:type="dxa"/>
            <w:tcBorders>
              <w:top w:val="single" w:sz="4" w:space="0" w:color="auto"/>
              <w:left w:val="single" w:sz="4" w:space="0" w:color="auto"/>
              <w:bottom w:val="single" w:sz="4" w:space="0" w:color="auto"/>
              <w:right w:val="nil"/>
            </w:tcBorders>
            <w:shd w:val="clear" w:color="000000" w:fill="F2F2F2"/>
            <w:noWrap/>
            <w:vAlign w:val="center"/>
            <w:hideMark/>
          </w:tcPr>
          <w:p w14:paraId="1E10114D"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52" w:type="dxa"/>
            <w:tcBorders>
              <w:top w:val="single" w:sz="4" w:space="0" w:color="auto"/>
              <w:left w:val="nil"/>
              <w:bottom w:val="single" w:sz="4" w:space="0" w:color="auto"/>
              <w:right w:val="nil"/>
            </w:tcBorders>
            <w:shd w:val="clear" w:color="000000" w:fill="F2F2F2"/>
            <w:noWrap/>
            <w:vAlign w:val="center"/>
            <w:hideMark/>
          </w:tcPr>
          <w:p w14:paraId="69746880"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50" w:type="dxa"/>
            <w:tcBorders>
              <w:top w:val="single" w:sz="4" w:space="0" w:color="auto"/>
              <w:left w:val="nil"/>
              <w:bottom w:val="single" w:sz="4" w:space="0" w:color="auto"/>
              <w:right w:val="nil"/>
            </w:tcBorders>
            <w:shd w:val="clear" w:color="000000" w:fill="F2F2F2"/>
            <w:noWrap/>
            <w:vAlign w:val="center"/>
            <w:hideMark/>
          </w:tcPr>
          <w:p w14:paraId="31D9D2D0"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50" w:type="dxa"/>
            <w:tcBorders>
              <w:top w:val="single" w:sz="4" w:space="0" w:color="auto"/>
              <w:left w:val="nil"/>
              <w:bottom w:val="single" w:sz="4" w:space="0" w:color="auto"/>
              <w:right w:val="single" w:sz="4" w:space="0" w:color="auto"/>
            </w:tcBorders>
            <w:shd w:val="clear" w:color="000000" w:fill="F2F2F2"/>
            <w:noWrap/>
            <w:vAlign w:val="center"/>
            <w:hideMark/>
          </w:tcPr>
          <w:p w14:paraId="0C794703"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50" w:type="dxa"/>
            <w:tcBorders>
              <w:top w:val="single" w:sz="4" w:space="0" w:color="auto"/>
              <w:left w:val="nil"/>
              <w:bottom w:val="single" w:sz="4" w:space="0" w:color="auto"/>
              <w:right w:val="nil"/>
            </w:tcBorders>
            <w:shd w:val="clear" w:color="000000" w:fill="F2F2F2"/>
            <w:noWrap/>
            <w:vAlign w:val="center"/>
            <w:hideMark/>
          </w:tcPr>
          <w:p w14:paraId="23A60294"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64" w:type="dxa"/>
            <w:tcBorders>
              <w:top w:val="single" w:sz="4" w:space="0" w:color="auto"/>
              <w:left w:val="nil"/>
              <w:bottom w:val="single" w:sz="4" w:space="0" w:color="auto"/>
              <w:right w:val="nil"/>
            </w:tcBorders>
            <w:shd w:val="clear" w:color="000000" w:fill="F2F2F2"/>
            <w:noWrap/>
            <w:vAlign w:val="center"/>
            <w:hideMark/>
          </w:tcPr>
          <w:p w14:paraId="32BD9BFE"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w:t>
            </w:r>
          </w:p>
        </w:tc>
      </w:tr>
      <w:tr w:rsidR="00366ACF" w:rsidRPr="00C64BA4" w14:paraId="5A2E9D1F" w14:textId="77777777" w:rsidTr="004341CD">
        <w:trPr>
          <w:trHeight w:val="300"/>
        </w:trPr>
        <w:tc>
          <w:tcPr>
            <w:tcW w:w="1323" w:type="dxa"/>
            <w:tcBorders>
              <w:top w:val="nil"/>
              <w:left w:val="nil"/>
              <w:bottom w:val="nil"/>
              <w:right w:val="nil"/>
            </w:tcBorders>
            <w:shd w:val="clear" w:color="auto" w:fill="auto"/>
            <w:noWrap/>
            <w:vAlign w:val="center"/>
            <w:hideMark/>
          </w:tcPr>
          <w:p w14:paraId="00525977"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Deerfield</w:t>
            </w:r>
          </w:p>
        </w:tc>
        <w:tc>
          <w:tcPr>
            <w:tcW w:w="872" w:type="dxa"/>
            <w:tcBorders>
              <w:top w:val="nil"/>
              <w:left w:val="single" w:sz="4" w:space="0" w:color="auto"/>
              <w:bottom w:val="nil"/>
              <w:right w:val="nil"/>
            </w:tcBorders>
            <w:shd w:val="clear" w:color="auto" w:fill="auto"/>
            <w:noWrap/>
            <w:vAlign w:val="center"/>
            <w:hideMark/>
          </w:tcPr>
          <w:p w14:paraId="723ED5D6"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40</w:t>
            </w:r>
          </w:p>
        </w:tc>
        <w:tc>
          <w:tcPr>
            <w:tcW w:w="752" w:type="dxa"/>
            <w:tcBorders>
              <w:top w:val="nil"/>
              <w:left w:val="nil"/>
              <w:bottom w:val="nil"/>
              <w:right w:val="nil"/>
            </w:tcBorders>
            <w:shd w:val="clear" w:color="auto" w:fill="auto"/>
            <w:noWrap/>
            <w:vAlign w:val="center"/>
            <w:hideMark/>
          </w:tcPr>
          <w:p w14:paraId="6F9E6801"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50" w:type="dxa"/>
            <w:tcBorders>
              <w:top w:val="nil"/>
              <w:left w:val="nil"/>
              <w:bottom w:val="nil"/>
              <w:right w:val="nil"/>
            </w:tcBorders>
            <w:shd w:val="clear" w:color="auto" w:fill="auto"/>
            <w:noWrap/>
            <w:vAlign w:val="center"/>
            <w:hideMark/>
          </w:tcPr>
          <w:p w14:paraId="2B08E0EE"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50" w:type="dxa"/>
            <w:tcBorders>
              <w:top w:val="nil"/>
              <w:left w:val="nil"/>
              <w:bottom w:val="nil"/>
              <w:right w:val="single" w:sz="4" w:space="0" w:color="auto"/>
            </w:tcBorders>
            <w:shd w:val="clear" w:color="auto" w:fill="auto"/>
            <w:noWrap/>
            <w:vAlign w:val="center"/>
            <w:hideMark/>
          </w:tcPr>
          <w:p w14:paraId="0EA9D9F7"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50" w:type="dxa"/>
            <w:tcBorders>
              <w:top w:val="nil"/>
              <w:left w:val="nil"/>
              <w:bottom w:val="nil"/>
              <w:right w:val="nil"/>
            </w:tcBorders>
            <w:shd w:val="clear" w:color="auto" w:fill="auto"/>
            <w:noWrap/>
            <w:vAlign w:val="center"/>
            <w:hideMark/>
          </w:tcPr>
          <w:p w14:paraId="251B817E"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64" w:type="dxa"/>
            <w:tcBorders>
              <w:top w:val="nil"/>
              <w:left w:val="nil"/>
              <w:bottom w:val="nil"/>
              <w:right w:val="nil"/>
            </w:tcBorders>
            <w:shd w:val="clear" w:color="auto" w:fill="auto"/>
            <w:noWrap/>
            <w:vAlign w:val="center"/>
            <w:hideMark/>
          </w:tcPr>
          <w:p w14:paraId="2B43916C"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w:t>
            </w:r>
          </w:p>
        </w:tc>
      </w:tr>
      <w:tr w:rsidR="00366ACF" w:rsidRPr="00C64BA4" w14:paraId="79F692E5" w14:textId="77777777" w:rsidTr="004341CD">
        <w:trPr>
          <w:trHeight w:val="300"/>
        </w:trPr>
        <w:tc>
          <w:tcPr>
            <w:tcW w:w="1323" w:type="dxa"/>
            <w:tcBorders>
              <w:top w:val="single" w:sz="4" w:space="0" w:color="auto"/>
              <w:left w:val="nil"/>
              <w:bottom w:val="single" w:sz="4" w:space="0" w:color="auto"/>
              <w:right w:val="nil"/>
            </w:tcBorders>
            <w:shd w:val="clear" w:color="000000" w:fill="F2F2F2"/>
            <w:noWrap/>
            <w:vAlign w:val="center"/>
            <w:hideMark/>
          </w:tcPr>
          <w:p w14:paraId="494E93A4"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Derry</w:t>
            </w:r>
          </w:p>
        </w:tc>
        <w:tc>
          <w:tcPr>
            <w:tcW w:w="872" w:type="dxa"/>
            <w:tcBorders>
              <w:top w:val="single" w:sz="4" w:space="0" w:color="auto"/>
              <w:left w:val="single" w:sz="4" w:space="0" w:color="auto"/>
              <w:bottom w:val="single" w:sz="4" w:space="0" w:color="auto"/>
              <w:right w:val="nil"/>
            </w:tcBorders>
            <w:shd w:val="clear" w:color="000000" w:fill="F2F2F2"/>
            <w:noWrap/>
            <w:vAlign w:val="center"/>
            <w:hideMark/>
          </w:tcPr>
          <w:p w14:paraId="6682CB33"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460</w:t>
            </w:r>
          </w:p>
        </w:tc>
        <w:tc>
          <w:tcPr>
            <w:tcW w:w="752" w:type="dxa"/>
            <w:tcBorders>
              <w:top w:val="single" w:sz="4" w:space="0" w:color="auto"/>
              <w:left w:val="nil"/>
              <w:bottom w:val="single" w:sz="4" w:space="0" w:color="auto"/>
              <w:right w:val="nil"/>
            </w:tcBorders>
            <w:shd w:val="clear" w:color="000000" w:fill="F2F2F2"/>
            <w:noWrap/>
            <w:vAlign w:val="center"/>
            <w:hideMark/>
          </w:tcPr>
          <w:p w14:paraId="42BA4E73"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90</w:t>
            </w:r>
          </w:p>
        </w:tc>
        <w:tc>
          <w:tcPr>
            <w:tcW w:w="750" w:type="dxa"/>
            <w:tcBorders>
              <w:top w:val="single" w:sz="4" w:space="0" w:color="auto"/>
              <w:left w:val="nil"/>
              <w:bottom w:val="single" w:sz="4" w:space="0" w:color="auto"/>
              <w:right w:val="nil"/>
            </w:tcBorders>
            <w:shd w:val="clear" w:color="000000" w:fill="F2F2F2"/>
            <w:noWrap/>
            <w:vAlign w:val="center"/>
            <w:hideMark/>
          </w:tcPr>
          <w:p w14:paraId="00607357"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50</w:t>
            </w:r>
          </w:p>
        </w:tc>
        <w:tc>
          <w:tcPr>
            <w:tcW w:w="750" w:type="dxa"/>
            <w:tcBorders>
              <w:top w:val="single" w:sz="4" w:space="0" w:color="auto"/>
              <w:left w:val="nil"/>
              <w:bottom w:val="single" w:sz="4" w:space="0" w:color="auto"/>
              <w:right w:val="single" w:sz="4" w:space="0" w:color="auto"/>
            </w:tcBorders>
            <w:shd w:val="clear" w:color="000000" w:fill="F2F2F2"/>
            <w:noWrap/>
            <w:vAlign w:val="center"/>
            <w:hideMark/>
          </w:tcPr>
          <w:p w14:paraId="0F3570C1"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70</w:t>
            </w:r>
          </w:p>
        </w:tc>
        <w:tc>
          <w:tcPr>
            <w:tcW w:w="750" w:type="dxa"/>
            <w:tcBorders>
              <w:top w:val="single" w:sz="4" w:space="0" w:color="auto"/>
              <w:left w:val="nil"/>
              <w:bottom w:val="single" w:sz="4" w:space="0" w:color="auto"/>
              <w:right w:val="nil"/>
            </w:tcBorders>
            <w:shd w:val="clear" w:color="000000" w:fill="F2F2F2"/>
            <w:noWrap/>
            <w:vAlign w:val="center"/>
            <w:hideMark/>
          </w:tcPr>
          <w:p w14:paraId="10334CAC"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160</w:t>
            </w:r>
          </w:p>
        </w:tc>
        <w:tc>
          <w:tcPr>
            <w:tcW w:w="764" w:type="dxa"/>
            <w:tcBorders>
              <w:top w:val="single" w:sz="4" w:space="0" w:color="auto"/>
              <w:left w:val="nil"/>
              <w:bottom w:val="single" w:sz="4" w:space="0" w:color="auto"/>
              <w:right w:val="nil"/>
            </w:tcBorders>
            <w:shd w:val="clear" w:color="000000" w:fill="F2F2F2"/>
            <w:noWrap/>
            <w:vAlign w:val="center"/>
            <w:hideMark/>
          </w:tcPr>
          <w:p w14:paraId="1B1118F1"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80</w:t>
            </w:r>
          </w:p>
        </w:tc>
      </w:tr>
      <w:tr w:rsidR="00366ACF" w:rsidRPr="00C64BA4" w14:paraId="59CBC913" w14:textId="77777777" w:rsidTr="004341CD">
        <w:trPr>
          <w:trHeight w:val="300"/>
        </w:trPr>
        <w:tc>
          <w:tcPr>
            <w:tcW w:w="1323" w:type="dxa"/>
            <w:tcBorders>
              <w:top w:val="nil"/>
              <w:left w:val="nil"/>
              <w:bottom w:val="nil"/>
              <w:right w:val="nil"/>
            </w:tcBorders>
            <w:shd w:val="clear" w:color="auto" w:fill="auto"/>
            <w:noWrap/>
            <w:vAlign w:val="center"/>
            <w:hideMark/>
          </w:tcPr>
          <w:p w14:paraId="036E5A33" w14:textId="77777777" w:rsidR="00366ACF" w:rsidRPr="00C64BA4" w:rsidRDefault="00366ACF" w:rsidP="00A17D67">
            <w:pPr>
              <w:keepNext/>
              <w:keepLines/>
              <w:spacing w:after="0" w:line="300" w:lineRule="auto"/>
              <w:jc w:val="center"/>
              <w:rPr>
                <w:rFonts w:eastAsia="Times New Roman" w:cs="Calibri"/>
                <w:color w:val="000000"/>
              </w:rPr>
            </w:pPr>
            <w:proofErr w:type="spellStart"/>
            <w:r w:rsidRPr="00C64BA4">
              <w:rPr>
                <w:rFonts w:eastAsia="Times New Roman" w:cs="Calibri"/>
                <w:color w:val="000000"/>
              </w:rPr>
              <w:t>Francestown</w:t>
            </w:r>
            <w:proofErr w:type="spellEnd"/>
          </w:p>
        </w:tc>
        <w:tc>
          <w:tcPr>
            <w:tcW w:w="872" w:type="dxa"/>
            <w:tcBorders>
              <w:top w:val="nil"/>
              <w:left w:val="single" w:sz="4" w:space="0" w:color="auto"/>
              <w:bottom w:val="nil"/>
              <w:right w:val="nil"/>
            </w:tcBorders>
            <w:shd w:val="clear" w:color="auto" w:fill="auto"/>
            <w:noWrap/>
            <w:vAlign w:val="center"/>
            <w:hideMark/>
          </w:tcPr>
          <w:p w14:paraId="3B870582"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52" w:type="dxa"/>
            <w:tcBorders>
              <w:top w:val="nil"/>
              <w:left w:val="nil"/>
              <w:bottom w:val="nil"/>
              <w:right w:val="nil"/>
            </w:tcBorders>
            <w:shd w:val="clear" w:color="auto" w:fill="auto"/>
            <w:noWrap/>
            <w:vAlign w:val="center"/>
            <w:hideMark/>
          </w:tcPr>
          <w:p w14:paraId="45EB21CB"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w:t>
            </w:r>
          </w:p>
        </w:tc>
        <w:tc>
          <w:tcPr>
            <w:tcW w:w="750" w:type="dxa"/>
            <w:tcBorders>
              <w:top w:val="nil"/>
              <w:left w:val="nil"/>
              <w:bottom w:val="nil"/>
              <w:right w:val="nil"/>
            </w:tcBorders>
            <w:shd w:val="clear" w:color="auto" w:fill="auto"/>
            <w:noWrap/>
            <w:vAlign w:val="center"/>
            <w:hideMark/>
          </w:tcPr>
          <w:p w14:paraId="687C5338"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w:t>
            </w:r>
          </w:p>
        </w:tc>
        <w:tc>
          <w:tcPr>
            <w:tcW w:w="750" w:type="dxa"/>
            <w:tcBorders>
              <w:top w:val="nil"/>
              <w:left w:val="nil"/>
              <w:bottom w:val="nil"/>
              <w:right w:val="single" w:sz="4" w:space="0" w:color="auto"/>
            </w:tcBorders>
            <w:shd w:val="clear" w:color="auto" w:fill="auto"/>
            <w:noWrap/>
            <w:vAlign w:val="center"/>
            <w:hideMark/>
          </w:tcPr>
          <w:p w14:paraId="04916975"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0</w:t>
            </w:r>
          </w:p>
        </w:tc>
        <w:tc>
          <w:tcPr>
            <w:tcW w:w="750" w:type="dxa"/>
            <w:tcBorders>
              <w:top w:val="nil"/>
              <w:left w:val="nil"/>
              <w:bottom w:val="nil"/>
              <w:right w:val="nil"/>
            </w:tcBorders>
            <w:shd w:val="clear" w:color="auto" w:fill="auto"/>
            <w:noWrap/>
            <w:vAlign w:val="center"/>
            <w:hideMark/>
          </w:tcPr>
          <w:p w14:paraId="59876660"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5</w:t>
            </w:r>
          </w:p>
        </w:tc>
        <w:tc>
          <w:tcPr>
            <w:tcW w:w="764" w:type="dxa"/>
            <w:tcBorders>
              <w:top w:val="nil"/>
              <w:left w:val="nil"/>
              <w:bottom w:val="nil"/>
              <w:right w:val="nil"/>
            </w:tcBorders>
            <w:shd w:val="clear" w:color="auto" w:fill="auto"/>
            <w:noWrap/>
            <w:vAlign w:val="center"/>
            <w:hideMark/>
          </w:tcPr>
          <w:p w14:paraId="3A6F458B"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5</w:t>
            </w:r>
          </w:p>
        </w:tc>
      </w:tr>
      <w:tr w:rsidR="00366ACF" w:rsidRPr="00C64BA4" w14:paraId="555E0806" w14:textId="77777777" w:rsidTr="004341CD">
        <w:trPr>
          <w:trHeight w:val="300"/>
        </w:trPr>
        <w:tc>
          <w:tcPr>
            <w:tcW w:w="1323" w:type="dxa"/>
            <w:tcBorders>
              <w:top w:val="single" w:sz="4" w:space="0" w:color="auto"/>
              <w:left w:val="nil"/>
              <w:bottom w:val="single" w:sz="4" w:space="0" w:color="auto"/>
              <w:right w:val="nil"/>
            </w:tcBorders>
            <w:shd w:val="clear" w:color="000000" w:fill="F2F2F2"/>
            <w:noWrap/>
            <w:vAlign w:val="center"/>
            <w:hideMark/>
          </w:tcPr>
          <w:p w14:paraId="79EDC719"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Goffstown</w:t>
            </w:r>
          </w:p>
        </w:tc>
        <w:tc>
          <w:tcPr>
            <w:tcW w:w="872" w:type="dxa"/>
            <w:tcBorders>
              <w:top w:val="single" w:sz="4" w:space="0" w:color="auto"/>
              <w:left w:val="single" w:sz="4" w:space="0" w:color="auto"/>
              <w:bottom w:val="single" w:sz="4" w:space="0" w:color="auto"/>
              <w:right w:val="nil"/>
            </w:tcBorders>
            <w:shd w:val="clear" w:color="000000" w:fill="F2F2F2"/>
            <w:noWrap/>
            <w:vAlign w:val="center"/>
            <w:hideMark/>
          </w:tcPr>
          <w:p w14:paraId="31FC0B2F"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160</w:t>
            </w:r>
          </w:p>
        </w:tc>
        <w:tc>
          <w:tcPr>
            <w:tcW w:w="752" w:type="dxa"/>
            <w:tcBorders>
              <w:top w:val="single" w:sz="4" w:space="0" w:color="auto"/>
              <w:left w:val="nil"/>
              <w:bottom w:val="single" w:sz="4" w:space="0" w:color="auto"/>
              <w:right w:val="nil"/>
            </w:tcBorders>
            <w:shd w:val="clear" w:color="000000" w:fill="F2F2F2"/>
            <w:noWrap/>
            <w:vAlign w:val="center"/>
            <w:hideMark/>
          </w:tcPr>
          <w:p w14:paraId="2D45E2B7"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80</w:t>
            </w:r>
          </w:p>
        </w:tc>
        <w:tc>
          <w:tcPr>
            <w:tcW w:w="750" w:type="dxa"/>
            <w:tcBorders>
              <w:top w:val="single" w:sz="4" w:space="0" w:color="auto"/>
              <w:left w:val="nil"/>
              <w:bottom w:val="single" w:sz="4" w:space="0" w:color="auto"/>
              <w:right w:val="nil"/>
            </w:tcBorders>
            <w:shd w:val="clear" w:color="000000" w:fill="F2F2F2"/>
            <w:noWrap/>
            <w:vAlign w:val="center"/>
            <w:hideMark/>
          </w:tcPr>
          <w:p w14:paraId="6D175BBF"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50</w:t>
            </w:r>
          </w:p>
        </w:tc>
        <w:tc>
          <w:tcPr>
            <w:tcW w:w="750" w:type="dxa"/>
            <w:tcBorders>
              <w:top w:val="single" w:sz="4" w:space="0" w:color="auto"/>
              <w:left w:val="nil"/>
              <w:bottom w:val="single" w:sz="4" w:space="0" w:color="auto"/>
              <w:right w:val="single" w:sz="4" w:space="0" w:color="auto"/>
            </w:tcBorders>
            <w:shd w:val="clear" w:color="000000" w:fill="F2F2F2"/>
            <w:noWrap/>
            <w:vAlign w:val="center"/>
            <w:hideMark/>
          </w:tcPr>
          <w:p w14:paraId="3427A35A"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50" w:type="dxa"/>
            <w:tcBorders>
              <w:top w:val="single" w:sz="4" w:space="0" w:color="auto"/>
              <w:left w:val="nil"/>
              <w:bottom w:val="single" w:sz="4" w:space="0" w:color="auto"/>
              <w:right w:val="nil"/>
            </w:tcBorders>
            <w:shd w:val="clear" w:color="000000" w:fill="F2F2F2"/>
            <w:noWrap/>
            <w:vAlign w:val="center"/>
            <w:hideMark/>
          </w:tcPr>
          <w:p w14:paraId="6FB27C00"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80</w:t>
            </w:r>
          </w:p>
        </w:tc>
        <w:tc>
          <w:tcPr>
            <w:tcW w:w="764" w:type="dxa"/>
            <w:tcBorders>
              <w:top w:val="single" w:sz="4" w:space="0" w:color="auto"/>
              <w:left w:val="nil"/>
              <w:bottom w:val="single" w:sz="4" w:space="0" w:color="auto"/>
              <w:right w:val="nil"/>
            </w:tcBorders>
            <w:shd w:val="clear" w:color="000000" w:fill="F2F2F2"/>
            <w:noWrap/>
            <w:vAlign w:val="center"/>
            <w:hideMark/>
          </w:tcPr>
          <w:p w14:paraId="2D4BF0B5"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40</w:t>
            </w:r>
          </w:p>
        </w:tc>
      </w:tr>
      <w:tr w:rsidR="00366ACF" w:rsidRPr="00C64BA4" w14:paraId="4CA10797" w14:textId="77777777" w:rsidTr="004341CD">
        <w:trPr>
          <w:trHeight w:val="300"/>
        </w:trPr>
        <w:tc>
          <w:tcPr>
            <w:tcW w:w="1323" w:type="dxa"/>
            <w:tcBorders>
              <w:top w:val="nil"/>
              <w:left w:val="nil"/>
              <w:bottom w:val="nil"/>
              <w:right w:val="nil"/>
            </w:tcBorders>
            <w:shd w:val="clear" w:color="auto" w:fill="auto"/>
            <w:noWrap/>
            <w:vAlign w:val="center"/>
            <w:hideMark/>
          </w:tcPr>
          <w:p w14:paraId="1366B7D5"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Hooksett</w:t>
            </w:r>
          </w:p>
        </w:tc>
        <w:tc>
          <w:tcPr>
            <w:tcW w:w="872" w:type="dxa"/>
            <w:tcBorders>
              <w:top w:val="nil"/>
              <w:left w:val="single" w:sz="4" w:space="0" w:color="auto"/>
              <w:bottom w:val="nil"/>
              <w:right w:val="nil"/>
            </w:tcBorders>
            <w:shd w:val="clear" w:color="auto" w:fill="auto"/>
            <w:noWrap/>
            <w:vAlign w:val="center"/>
            <w:hideMark/>
          </w:tcPr>
          <w:p w14:paraId="66A71E33"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100</w:t>
            </w:r>
          </w:p>
        </w:tc>
        <w:tc>
          <w:tcPr>
            <w:tcW w:w="752" w:type="dxa"/>
            <w:tcBorders>
              <w:top w:val="nil"/>
              <w:left w:val="nil"/>
              <w:bottom w:val="nil"/>
              <w:right w:val="nil"/>
            </w:tcBorders>
            <w:shd w:val="clear" w:color="auto" w:fill="auto"/>
            <w:noWrap/>
            <w:vAlign w:val="center"/>
            <w:hideMark/>
          </w:tcPr>
          <w:p w14:paraId="343E70BB"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80</w:t>
            </w:r>
          </w:p>
        </w:tc>
        <w:tc>
          <w:tcPr>
            <w:tcW w:w="750" w:type="dxa"/>
            <w:tcBorders>
              <w:top w:val="nil"/>
              <w:left w:val="nil"/>
              <w:bottom w:val="nil"/>
              <w:right w:val="nil"/>
            </w:tcBorders>
            <w:shd w:val="clear" w:color="auto" w:fill="auto"/>
            <w:noWrap/>
            <w:vAlign w:val="center"/>
            <w:hideMark/>
          </w:tcPr>
          <w:p w14:paraId="5A77867B"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90</w:t>
            </w:r>
          </w:p>
        </w:tc>
        <w:tc>
          <w:tcPr>
            <w:tcW w:w="750" w:type="dxa"/>
            <w:tcBorders>
              <w:top w:val="nil"/>
              <w:left w:val="nil"/>
              <w:bottom w:val="nil"/>
              <w:right w:val="single" w:sz="4" w:space="0" w:color="auto"/>
            </w:tcBorders>
            <w:shd w:val="clear" w:color="auto" w:fill="auto"/>
            <w:noWrap/>
            <w:vAlign w:val="center"/>
            <w:hideMark/>
          </w:tcPr>
          <w:p w14:paraId="366F00A4"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60</w:t>
            </w:r>
          </w:p>
        </w:tc>
        <w:tc>
          <w:tcPr>
            <w:tcW w:w="750" w:type="dxa"/>
            <w:tcBorders>
              <w:top w:val="nil"/>
              <w:left w:val="nil"/>
              <w:bottom w:val="nil"/>
              <w:right w:val="nil"/>
            </w:tcBorders>
            <w:shd w:val="clear" w:color="auto" w:fill="auto"/>
            <w:noWrap/>
            <w:vAlign w:val="center"/>
            <w:hideMark/>
          </w:tcPr>
          <w:p w14:paraId="5B7852E4"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70</w:t>
            </w:r>
          </w:p>
        </w:tc>
        <w:tc>
          <w:tcPr>
            <w:tcW w:w="764" w:type="dxa"/>
            <w:tcBorders>
              <w:top w:val="nil"/>
              <w:left w:val="nil"/>
              <w:bottom w:val="nil"/>
              <w:right w:val="nil"/>
            </w:tcBorders>
            <w:shd w:val="clear" w:color="auto" w:fill="auto"/>
            <w:noWrap/>
            <w:vAlign w:val="center"/>
            <w:hideMark/>
          </w:tcPr>
          <w:p w14:paraId="3210E153"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r>
      <w:tr w:rsidR="00366ACF" w:rsidRPr="00C64BA4" w14:paraId="64EFD6CC" w14:textId="77777777" w:rsidTr="004341CD">
        <w:trPr>
          <w:trHeight w:val="300"/>
        </w:trPr>
        <w:tc>
          <w:tcPr>
            <w:tcW w:w="1323" w:type="dxa"/>
            <w:tcBorders>
              <w:top w:val="single" w:sz="4" w:space="0" w:color="auto"/>
              <w:left w:val="nil"/>
              <w:bottom w:val="single" w:sz="4" w:space="0" w:color="auto"/>
              <w:right w:val="nil"/>
            </w:tcBorders>
            <w:shd w:val="clear" w:color="000000" w:fill="F2F2F2"/>
            <w:noWrap/>
            <w:vAlign w:val="center"/>
            <w:hideMark/>
          </w:tcPr>
          <w:p w14:paraId="58AD0EE9"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Londonderry</w:t>
            </w:r>
          </w:p>
        </w:tc>
        <w:tc>
          <w:tcPr>
            <w:tcW w:w="872" w:type="dxa"/>
            <w:tcBorders>
              <w:top w:val="single" w:sz="4" w:space="0" w:color="auto"/>
              <w:left w:val="single" w:sz="4" w:space="0" w:color="auto"/>
              <w:bottom w:val="single" w:sz="4" w:space="0" w:color="auto"/>
              <w:right w:val="nil"/>
            </w:tcBorders>
            <w:shd w:val="clear" w:color="000000" w:fill="F2F2F2"/>
            <w:noWrap/>
            <w:vAlign w:val="center"/>
            <w:hideMark/>
          </w:tcPr>
          <w:p w14:paraId="0221DF6F"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220</w:t>
            </w:r>
          </w:p>
        </w:tc>
        <w:tc>
          <w:tcPr>
            <w:tcW w:w="752" w:type="dxa"/>
            <w:tcBorders>
              <w:top w:val="single" w:sz="4" w:space="0" w:color="auto"/>
              <w:left w:val="nil"/>
              <w:bottom w:val="single" w:sz="4" w:space="0" w:color="auto"/>
              <w:right w:val="nil"/>
            </w:tcBorders>
            <w:shd w:val="clear" w:color="000000" w:fill="F2F2F2"/>
            <w:noWrap/>
            <w:vAlign w:val="center"/>
            <w:hideMark/>
          </w:tcPr>
          <w:p w14:paraId="6885502E"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100</w:t>
            </w:r>
          </w:p>
        </w:tc>
        <w:tc>
          <w:tcPr>
            <w:tcW w:w="750" w:type="dxa"/>
            <w:tcBorders>
              <w:top w:val="single" w:sz="4" w:space="0" w:color="auto"/>
              <w:left w:val="nil"/>
              <w:bottom w:val="single" w:sz="4" w:space="0" w:color="auto"/>
              <w:right w:val="nil"/>
            </w:tcBorders>
            <w:shd w:val="clear" w:color="000000" w:fill="F2F2F2"/>
            <w:noWrap/>
            <w:vAlign w:val="center"/>
            <w:hideMark/>
          </w:tcPr>
          <w:p w14:paraId="5D61F105"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110</w:t>
            </w:r>
          </w:p>
        </w:tc>
        <w:tc>
          <w:tcPr>
            <w:tcW w:w="750" w:type="dxa"/>
            <w:tcBorders>
              <w:top w:val="single" w:sz="4" w:space="0" w:color="auto"/>
              <w:left w:val="nil"/>
              <w:bottom w:val="single" w:sz="4" w:space="0" w:color="auto"/>
              <w:right w:val="single" w:sz="4" w:space="0" w:color="auto"/>
            </w:tcBorders>
            <w:shd w:val="clear" w:color="000000" w:fill="F2F2F2"/>
            <w:noWrap/>
            <w:vAlign w:val="center"/>
            <w:hideMark/>
          </w:tcPr>
          <w:p w14:paraId="11682469"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110</w:t>
            </w:r>
          </w:p>
        </w:tc>
        <w:tc>
          <w:tcPr>
            <w:tcW w:w="750" w:type="dxa"/>
            <w:tcBorders>
              <w:top w:val="single" w:sz="4" w:space="0" w:color="auto"/>
              <w:left w:val="nil"/>
              <w:bottom w:val="single" w:sz="4" w:space="0" w:color="auto"/>
              <w:right w:val="nil"/>
            </w:tcBorders>
            <w:shd w:val="clear" w:color="000000" w:fill="F2F2F2"/>
            <w:noWrap/>
            <w:vAlign w:val="center"/>
            <w:hideMark/>
          </w:tcPr>
          <w:p w14:paraId="63499095"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110</w:t>
            </w:r>
          </w:p>
        </w:tc>
        <w:tc>
          <w:tcPr>
            <w:tcW w:w="764" w:type="dxa"/>
            <w:tcBorders>
              <w:top w:val="single" w:sz="4" w:space="0" w:color="auto"/>
              <w:left w:val="nil"/>
              <w:bottom w:val="single" w:sz="4" w:space="0" w:color="auto"/>
              <w:right w:val="nil"/>
            </w:tcBorders>
            <w:shd w:val="clear" w:color="000000" w:fill="F2F2F2"/>
            <w:noWrap/>
            <w:vAlign w:val="center"/>
            <w:hideMark/>
          </w:tcPr>
          <w:p w14:paraId="183C8610"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50</w:t>
            </w:r>
          </w:p>
        </w:tc>
      </w:tr>
      <w:tr w:rsidR="00366ACF" w:rsidRPr="00C64BA4" w14:paraId="2AD55A1E" w14:textId="77777777" w:rsidTr="004341CD">
        <w:trPr>
          <w:trHeight w:val="300"/>
        </w:trPr>
        <w:tc>
          <w:tcPr>
            <w:tcW w:w="1323" w:type="dxa"/>
            <w:tcBorders>
              <w:top w:val="nil"/>
              <w:left w:val="nil"/>
              <w:bottom w:val="nil"/>
              <w:right w:val="nil"/>
            </w:tcBorders>
            <w:shd w:val="clear" w:color="auto" w:fill="auto"/>
            <w:noWrap/>
            <w:vAlign w:val="center"/>
            <w:hideMark/>
          </w:tcPr>
          <w:p w14:paraId="601038C8"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Manchester</w:t>
            </w:r>
          </w:p>
        </w:tc>
        <w:tc>
          <w:tcPr>
            <w:tcW w:w="872" w:type="dxa"/>
            <w:tcBorders>
              <w:top w:val="nil"/>
              <w:left w:val="single" w:sz="4" w:space="0" w:color="auto"/>
              <w:bottom w:val="nil"/>
              <w:right w:val="nil"/>
            </w:tcBorders>
            <w:shd w:val="clear" w:color="auto" w:fill="auto"/>
            <w:noWrap/>
            <w:vAlign w:val="center"/>
            <w:hideMark/>
          </w:tcPr>
          <w:p w14:paraId="695F4757"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850</w:t>
            </w:r>
          </w:p>
        </w:tc>
        <w:tc>
          <w:tcPr>
            <w:tcW w:w="752" w:type="dxa"/>
            <w:tcBorders>
              <w:top w:val="nil"/>
              <w:left w:val="nil"/>
              <w:bottom w:val="nil"/>
              <w:right w:val="nil"/>
            </w:tcBorders>
            <w:shd w:val="clear" w:color="auto" w:fill="auto"/>
            <w:noWrap/>
            <w:vAlign w:val="center"/>
            <w:hideMark/>
          </w:tcPr>
          <w:p w14:paraId="0740CA06"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150</w:t>
            </w:r>
          </w:p>
        </w:tc>
        <w:tc>
          <w:tcPr>
            <w:tcW w:w="750" w:type="dxa"/>
            <w:tcBorders>
              <w:top w:val="nil"/>
              <w:left w:val="nil"/>
              <w:bottom w:val="nil"/>
              <w:right w:val="nil"/>
            </w:tcBorders>
            <w:shd w:val="clear" w:color="auto" w:fill="auto"/>
            <w:noWrap/>
            <w:vAlign w:val="center"/>
            <w:hideMark/>
          </w:tcPr>
          <w:p w14:paraId="5B92ED7E"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340</w:t>
            </w:r>
          </w:p>
        </w:tc>
        <w:tc>
          <w:tcPr>
            <w:tcW w:w="750" w:type="dxa"/>
            <w:tcBorders>
              <w:top w:val="nil"/>
              <w:left w:val="nil"/>
              <w:bottom w:val="nil"/>
              <w:right w:val="single" w:sz="4" w:space="0" w:color="auto"/>
            </w:tcBorders>
            <w:shd w:val="clear" w:color="auto" w:fill="auto"/>
            <w:noWrap/>
            <w:vAlign w:val="center"/>
            <w:hideMark/>
          </w:tcPr>
          <w:p w14:paraId="2EADE626"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220</w:t>
            </w:r>
          </w:p>
        </w:tc>
        <w:tc>
          <w:tcPr>
            <w:tcW w:w="750" w:type="dxa"/>
            <w:tcBorders>
              <w:top w:val="nil"/>
              <w:left w:val="nil"/>
              <w:bottom w:val="nil"/>
              <w:right w:val="nil"/>
            </w:tcBorders>
            <w:shd w:val="clear" w:color="auto" w:fill="auto"/>
            <w:noWrap/>
            <w:vAlign w:val="center"/>
            <w:hideMark/>
          </w:tcPr>
          <w:p w14:paraId="6062FE71"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580</w:t>
            </w:r>
          </w:p>
        </w:tc>
        <w:tc>
          <w:tcPr>
            <w:tcW w:w="764" w:type="dxa"/>
            <w:tcBorders>
              <w:top w:val="nil"/>
              <w:left w:val="nil"/>
              <w:bottom w:val="nil"/>
              <w:right w:val="nil"/>
            </w:tcBorders>
            <w:shd w:val="clear" w:color="auto" w:fill="auto"/>
            <w:noWrap/>
            <w:vAlign w:val="center"/>
            <w:hideMark/>
          </w:tcPr>
          <w:p w14:paraId="50C82F8F"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300</w:t>
            </w:r>
          </w:p>
        </w:tc>
      </w:tr>
      <w:tr w:rsidR="00366ACF" w:rsidRPr="00C64BA4" w14:paraId="0DC93949" w14:textId="77777777" w:rsidTr="004341CD">
        <w:trPr>
          <w:trHeight w:val="300"/>
        </w:trPr>
        <w:tc>
          <w:tcPr>
            <w:tcW w:w="1323" w:type="dxa"/>
            <w:tcBorders>
              <w:top w:val="single" w:sz="4" w:space="0" w:color="auto"/>
              <w:left w:val="nil"/>
              <w:bottom w:val="single" w:sz="4" w:space="0" w:color="auto"/>
              <w:right w:val="nil"/>
            </w:tcBorders>
            <w:shd w:val="clear" w:color="000000" w:fill="F2F2F2"/>
            <w:noWrap/>
            <w:vAlign w:val="center"/>
            <w:hideMark/>
          </w:tcPr>
          <w:p w14:paraId="55EEEA38"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New Boston</w:t>
            </w:r>
          </w:p>
        </w:tc>
        <w:tc>
          <w:tcPr>
            <w:tcW w:w="872" w:type="dxa"/>
            <w:tcBorders>
              <w:top w:val="single" w:sz="4" w:space="0" w:color="auto"/>
              <w:left w:val="single" w:sz="4" w:space="0" w:color="auto"/>
              <w:bottom w:val="single" w:sz="4" w:space="0" w:color="auto"/>
              <w:right w:val="nil"/>
            </w:tcBorders>
            <w:shd w:val="clear" w:color="000000" w:fill="F2F2F2"/>
            <w:noWrap/>
            <w:vAlign w:val="center"/>
            <w:hideMark/>
          </w:tcPr>
          <w:p w14:paraId="499C3E76"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50</w:t>
            </w:r>
          </w:p>
        </w:tc>
        <w:tc>
          <w:tcPr>
            <w:tcW w:w="752" w:type="dxa"/>
            <w:tcBorders>
              <w:top w:val="single" w:sz="4" w:space="0" w:color="auto"/>
              <w:left w:val="nil"/>
              <w:bottom w:val="single" w:sz="4" w:space="0" w:color="auto"/>
              <w:right w:val="nil"/>
            </w:tcBorders>
            <w:shd w:val="clear" w:color="000000" w:fill="F2F2F2"/>
            <w:noWrap/>
            <w:vAlign w:val="center"/>
            <w:hideMark/>
          </w:tcPr>
          <w:p w14:paraId="0A14FFB9"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50" w:type="dxa"/>
            <w:tcBorders>
              <w:top w:val="single" w:sz="4" w:space="0" w:color="auto"/>
              <w:left w:val="nil"/>
              <w:bottom w:val="single" w:sz="4" w:space="0" w:color="auto"/>
              <w:right w:val="nil"/>
            </w:tcBorders>
            <w:shd w:val="clear" w:color="000000" w:fill="F2F2F2"/>
            <w:noWrap/>
            <w:vAlign w:val="center"/>
            <w:hideMark/>
          </w:tcPr>
          <w:p w14:paraId="62A3214A"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50</w:t>
            </w:r>
          </w:p>
        </w:tc>
        <w:tc>
          <w:tcPr>
            <w:tcW w:w="750" w:type="dxa"/>
            <w:tcBorders>
              <w:top w:val="single" w:sz="4" w:space="0" w:color="auto"/>
              <w:left w:val="nil"/>
              <w:bottom w:val="single" w:sz="4" w:space="0" w:color="auto"/>
              <w:right w:val="single" w:sz="4" w:space="0" w:color="auto"/>
            </w:tcBorders>
            <w:shd w:val="clear" w:color="000000" w:fill="F2F2F2"/>
            <w:noWrap/>
            <w:vAlign w:val="center"/>
            <w:hideMark/>
          </w:tcPr>
          <w:p w14:paraId="2740FFDB"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50" w:type="dxa"/>
            <w:tcBorders>
              <w:top w:val="single" w:sz="4" w:space="0" w:color="auto"/>
              <w:left w:val="nil"/>
              <w:bottom w:val="single" w:sz="4" w:space="0" w:color="auto"/>
              <w:right w:val="nil"/>
            </w:tcBorders>
            <w:shd w:val="clear" w:color="000000" w:fill="F2F2F2"/>
            <w:noWrap/>
            <w:vAlign w:val="center"/>
            <w:hideMark/>
          </w:tcPr>
          <w:p w14:paraId="03A44496"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64" w:type="dxa"/>
            <w:tcBorders>
              <w:top w:val="single" w:sz="4" w:space="0" w:color="auto"/>
              <w:left w:val="nil"/>
              <w:bottom w:val="single" w:sz="4" w:space="0" w:color="auto"/>
              <w:right w:val="nil"/>
            </w:tcBorders>
            <w:shd w:val="clear" w:color="000000" w:fill="F2F2F2"/>
            <w:noWrap/>
            <w:vAlign w:val="center"/>
            <w:hideMark/>
          </w:tcPr>
          <w:p w14:paraId="4FE7E1AB"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w:t>
            </w:r>
          </w:p>
        </w:tc>
      </w:tr>
      <w:tr w:rsidR="00366ACF" w:rsidRPr="00C64BA4" w14:paraId="38BBB8F2" w14:textId="77777777" w:rsidTr="004341CD">
        <w:trPr>
          <w:trHeight w:val="300"/>
        </w:trPr>
        <w:tc>
          <w:tcPr>
            <w:tcW w:w="1323" w:type="dxa"/>
            <w:tcBorders>
              <w:top w:val="nil"/>
              <w:left w:val="nil"/>
              <w:bottom w:val="nil"/>
              <w:right w:val="nil"/>
            </w:tcBorders>
            <w:shd w:val="clear" w:color="auto" w:fill="auto"/>
            <w:noWrap/>
            <w:vAlign w:val="center"/>
            <w:hideMark/>
          </w:tcPr>
          <w:p w14:paraId="7BA76907" w14:textId="77777777" w:rsidR="00366ACF" w:rsidRPr="00C64BA4" w:rsidRDefault="00366ACF" w:rsidP="00A17D67">
            <w:pPr>
              <w:keepNext/>
              <w:keepLines/>
              <w:spacing w:after="0" w:line="300" w:lineRule="auto"/>
              <w:jc w:val="center"/>
              <w:rPr>
                <w:rFonts w:eastAsia="Times New Roman" w:cs="Calibri"/>
                <w:color w:val="000000"/>
              </w:rPr>
            </w:pPr>
            <w:proofErr w:type="spellStart"/>
            <w:r w:rsidRPr="00C64BA4">
              <w:rPr>
                <w:rFonts w:eastAsia="Times New Roman" w:cs="Calibri"/>
                <w:color w:val="000000"/>
              </w:rPr>
              <w:t>Weare</w:t>
            </w:r>
            <w:proofErr w:type="spellEnd"/>
          </w:p>
        </w:tc>
        <w:tc>
          <w:tcPr>
            <w:tcW w:w="872" w:type="dxa"/>
            <w:tcBorders>
              <w:top w:val="nil"/>
              <w:left w:val="single" w:sz="4" w:space="0" w:color="auto"/>
              <w:bottom w:val="nil"/>
              <w:right w:val="nil"/>
            </w:tcBorders>
            <w:shd w:val="clear" w:color="auto" w:fill="auto"/>
            <w:noWrap/>
            <w:vAlign w:val="center"/>
            <w:hideMark/>
          </w:tcPr>
          <w:p w14:paraId="607524A2"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100</w:t>
            </w:r>
          </w:p>
        </w:tc>
        <w:tc>
          <w:tcPr>
            <w:tcW w:w="752" w:type="dxa"/>
            <w:tcBorders>
              <w:top w:val="nil"/>
              <w:left w:val="nil"/>
              <w:bottom w:val="nil"/>
              <w:right w:val="nil"/>
            </w:tcBorders>
            <w:shd w:val="clear" w:color="auto" w:fill="auto"/>
            <w:noWrap/>
            <w:vAlign w:val="center"/>
            <w:hideMark/>
          </w:tcPr>
          <w:p w14:paraId="090B34B2"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40</w:t>
            </w:r>
          </w:p>
        </w:tc>
        <w:tc>
          <w:tcPr>
            <w:tcW w:w="750" w:type="dxa"/>
            <w:tcBorders>
              <w:top w:val="nil"/>
              <w:left w:val="nil"/>
              <w:bottom w:val="nil"/>
              <w:right w:val="nil"/>
            </w:tcBorders>
            <w:shd w:val="clear" w:color="auto" w:fill="auto"/>
            <w:noWrap/>
            <w:vAlign w:val="center"/>
            <w:hideMark/>
          </w:tcPr>
          <w:p w14:paraId="0DF13BFA"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60</w:t>
            </w:r>
          </w:p>
        </w:tc>
        <w:tc>
          <w:tcPr>
            <w:tcW w:w="750" w:type="dxa"/>
            <w:tcBorders>
              <w:top w:val="nil"/>
              <w:left w:val="nil"/>
              <w:bottom w:val="nil"/>
              <w:right w:val="single" w:sz="4" w:space="0" w:color="auto"/>
            </w:tcBorders>
            <w:shd w:val="clear" w:color="auto" w:fill="auto"/>
            <w:noWrap/>
            <w:vAlign w:val="center"/>
            <w:hideMark/>
          </w:tcPr>
          <w:p w14:paraId="7A9698D8"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50" w:type="dxa"/>
            <w:tcBorders>
              <w:top w:val="nil"/>
              <w:left w:val="nil"/>
              <w:bottom w:val="nil"/>
              <w:right w:val="nil"/>
            </w:tcBorders>
            <w:shd w:val="clear" w:color="auto" w:fill="auto"/>
            <w:noWrap/>
            <w:vAlign w:val="center"/>
            <w:hideMark/>
          </w:tcPr>
          <w:p w14:paraId="7E728B0E"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40</w:t>
            </w:r>
          </w:p>
        </w:tc>
        <w:tc>
          <w:tcPr>
            <w:tcW w:w="764" w:type="dxa"/>
            <w:tcBorders>
              <w:top w:val="nil"/>
              <w:left w:val="nil"/>
              <w:bottom w:val="nil"/>
              <w:right w:val="nil"/>
            </w:tcBorders>
            <w:shd w:val="clear" w:color="auto" w:fill="auto"/>
            <w:noWrap/>
            <w:vAlign w:val="center"/>
            <w:hideMark/>
          </w:tcPr>
          <w:p w14:paraId="0B4D8A35"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r>
      <w:tr w:rsidR="00366ACF" w:rsidRPr="00C64BA4" w14:paraId="219B3103" w14:textId="77777777" w:rsidTr="004341CD">
        <w:trPr>
          <w:trHeight w:val="315"/>
        </w:trPr>
        <w:tc>
          <w:tcPr>
            <w:tcW w:w="1323" w:type="dxa"/>
            <w:tcBorders>
              <w:top w:val="single" w:sz="4" w:space="0" w:color="auto"/>
              <w:left w:val="nil"/>
              <w:bottom w:val="single" w:sz="12" w:space="0" w:color="404040" w:themeColor="text1" w:themeTint="BF"/>
              <w:right w:val="nil"/>
            </w:tcBorders>
            <w:shd w:val="clear" w:color="000000" w:fill="F2F2F2"/>
            <w:noWrap/>
            <w:vAlign w:val="center"/>
            <w:hideMark/>
          </w:tcPr>
          <w:p w14:paraId="14B2DD68"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Windham</w:t>
            </w:r>
          </w:p>
        </w:tc>
        <w:tc>
          <w:tcPr>
            <w:tcW w:w="872" w:type="dxa"/>
            <w:tcBorders>
              <w:top w:val="single" w:sz="4" w:space="0" w:color="auto"/>
              <w:left w:val="single" w:sz="4" w:space="0" w:color="auto"/>
              <w:bottom w:val="single" w:sz="12" w:space="0" w:color="404040" w:themeColor="text1" w:themeTint="BF"/>
              <w:right w:val="nil"/>
            </w:tcBorders>
            <w:shd w:val="clear" w:color="000000" w:fill="F2F2F2"/>
            <w:noWrap/>
            <w:vAlign w:val="center"/>
            <w:hideMark/>
          </w:tcPr>
          <w:p w14:paraId="2CE488D1"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120</w:t>
            </w:r>
          </w:p>
        </w:tc>
        <w:tc>
          <w:tcPr>
            <w:tcW w:w="752" w:type="dxa"/>
            <w:tcBorders>
              <w:top w:val="single" w:sz="4" w:space="0" w:color="auto"/>
              <w:left w:val="nil"/>
              <w:bottom w:val="single" w:sz="12" w:space="0" w:color="404040" w:themeColor="text1" w:themeTint="BF"/>
              <w:right w:val="nil"/>
            </w:tcBorders>
            <w:shd w:val="clear" w:color="000000" w:fill="F2F2F2"/>
            <w:noWrap/>
            <w:vAlign w:val="center"/>
            <w:hideMark/>
          </w:tcPr>
          <w:p w14:paraId="56618FF1"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60</w:t>
            </w:r>
          </w:p>
        </w:tc>
        <w:tc>
          <w:tcPr>
            <w:tcW w:w="750" w:type="dxa"/>
            <w:tcBorders>
              <w:top w:val="single" w:sz="4" w:space="0" w:color="auto"/>
              <w:left w:val="nil"/>
              <w:bottom w:val="single" w:sz="12" w:space="0" w:color="404040" w:themeColor="text1" w:themeTint="BF"/>
              <w:right w:val="nil"/>
            </w:tcBorders>
            <w:shd w:val="clear" w:color="000000" w:fill="F2F2F2"/>
            <w:noWrap/>
            <w:vAlign w:val="center"/>
            <w:hideMark/>
          </w:tcPr>
          <w:p w14:paraId="77DBFE78"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130</w:t>
            </w:r>
          </w:p>
        </w:tc>
        <w:tc>
          <w:tcPr>
            <w:tcW w:w="750" w:type="dxa"/>
            <w:tcBorders>
              <w:top w:val="single" w:sz="4" w:space="0" w:color="auto"/>
              <w:left w:val="nil"/>
              <w:bottom w:val="single" w:sz="12" w:space="0" w:color="404040" w:themeColor="text1" w:themeTint="BF"/>
              <w:right w:val="single" w:sz="4" w:space="0" w:color="auto"/>
            </w:tcBorders>
            <w:shd w:val="clear" w:color="000000" w:fill="F2F2F2"/>
            <w:noWrap/>
            <w:vAlign w:val="center"/>
            <w:hideMark/>
          </w:tcPr>
          <w:p w14:paraId="4DBE2D57"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40</w:t>
            </w:r>
          </w:p>
        </w:tc>
        <w:tc>
          <w:tcPr>
            <w:tcW w:w="750" w:type="dxa"/>
            <w:tcBorders>
              <w:top w:val="single" w:sz="4" w:space="0" w:color="auto"/>
              <w:left w:val="nil"/>
              <w:bottom w:val="single" w:sz="12" w:space="0" w:color="404040" w:themeColor="text1" w:themeTint="BF"/>
              <w:right w:val="nil"/>
            </w:tcBorders>
            <w:shd w:val="clear" w:color="000000" w:fill="F2F2F2"/>
            <w:noWrap/>
            <w:vAlign w:val="center"/>
            <w:hideMark/>
          </w:tcPr>
          <w:p w14:paraId="13DE443D"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60</w:t>
            </w:r>
          </w:p>
        </w:tc>
        <w:tc>
          <w:tcPr>
            <w:tcW w:w="764" w:type="dxa"/>
            <w:tcBorders>
              <w:top w:val="single" w:sz="4" w:space="0" w:color="auto"/>
              <w:left w:val="nil"/>
              <w:bottom w:val="single" w:sz="12" w:space="0" w:color="404040" w:themeColor="text1" w:themeTint="BF"/>
              <w:right w:val="nil"/>
            </w:tcBorders>
            <w:shd w:val="clear" w:color="000000" w:fill="F2F2F2"/>
            <w:noWrap/>
            <w:vAlign w:val="center"/>
            <w:hideMark/>
          </w:tcPr>
          <w:p w14:paraId="50ECA5A3"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r>
      <w:tr w:rsidR="00366ACF" w:rsidRPr="00C64BA4" w14:paraId="2E84F6C1" w14:textId="77777777" w:rsidTr="004341CD">
        <w:trPr>
          <w:trHeight w:val="315"/>
        </w:trPr>
        <w:tc>
          <w:tcPr>
            <w:tcW w:w="1323"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59B40EEA"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SNHPC</w:t>
            </w:r>
          </w:p>
        </w:tc>
        <w:tc>
          <w:tcPr>
            <w:tcW w:w="872" w:type="dxa"/>
            <w:tcBorders>
              <w:top w:val="single" w:sz="12" w:space="0" w:color="404040" w:themeColor="text1" w:themeTint="BF"/>
              <w:left w:val="single" w:sz="4" w:space="0" w:color="auto"/>
              <w:bottom w:val="single" w:sz="12" w:space="0" w:color="404040" w:themeColor="text1" w:themeTint="BF"/>
              <w:right w:val="nil"/>
            </w:tcBorders>
            <w:shd w:val="clear" w:color="auto" w:fill="auto"/>
            <w:noWrap/>
            <w:vAlign w:val="center"/>
            <w:hideMark/>
          </w:tcPr>
          <w:p w14:paraId="6BAD0424"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2,320</w:t>
            </w:r>
          </w:p>
        </w:tc>
        <w:tc>
          <w:tcPr>
            <w:tcW w:w="752"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6784D0D0"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960</w:t>
            </w:r>
          </w:p>
        </w:tc>
        <w:tc>
          <w:tcPr>
            <w:tcW w:w="750"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6D4B9F97"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1,110</w:t>
            </w:r>
          </w:p>
        </w:tc>
        <w:tc>
          <w:tcPr>
            <w:tcW w:w="750" w:type="dxa"/>
            <w:tcBorders>
              <w:top w:val="single" w:sz="12" w:space="0" w:color="404040" w:themeColor="text1" w:themeTint="BF"/>
              <w:left w:val="nil"/>
              <w:bottom w:val="single" w:sz="12" w:space="0" w:color="404040" w:themeColor="text1" w:themeTint="BF"/>
              <w:right w:val="single" w:sz="4" w:space="0" w:color="auto"/>
            </w:tcBorders>
            <w:shd w:val="clear" w:color="auto" w:fill="auto"/>
            <w:noWrap/>
            <w:vAlign w:val="center"/>
            <w:hideMark/>
          </w:tcPr>
          <w:p w14:paraId="09365081"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710</w:t>
            </w:r>
          </w:p>
        </w:tc>
        <w:tc>
          <w:tcPr>
            <w:tcW w:w="750"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03BB2707"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1,320</w:t>
            </w:r>
          </w:p>
        </w:tc>
        <w:tc>
          <w:tcPr>
            <w:tcW w:w="764" w:type="dxa"/>
            <w:tcBorders>
              <w:top w:val="single" w:sz="12" w:space="0" w:color="404040" w:themeColor="text1" w:themeTint="BF"/>
              <w:left w:val="nil"/>
              <w:bottom w:val="single" w:sz="12" w:space="0" w:color="404040" w:themeColor="text1" w:themeTint="BF"/>
              <w:right w:val="nil"/>
            </w:tcBorders>
            <w:shd w:val="clear" w:color="auto" w:fill="auto"/>
            <w:noWrap/>
            <w:vAlign w:val="center"/>
            <w:hideMark/>
          </w:tcPr>
          <w:p w14:paraId="3DD4F9EE"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660</w:t>
            </w:r>
          </w:p>
        </w:tc>
      </w:tr>
      <w:tr w:rsidR="00366ACF" w:rsidRPr="00C64BA4" w14:paraId="2475E099" w14:textId="77777777" w:rsidTr="004341CD">
        <w:trPr>
          <w:trHeight w:val="300"/>
        </w:trPr>
        <w:tc>
          <w:tcPr>
            <w:tcW w:w="1323" w:type="dxa"/>
            <w:tcBorders>
              <w:top w:val="single" w:sz="12" w:space="0" w:color="404040" w:themeColor="text1" w:themeTint="BF"/>
              <w:left w:val="nil"/>
              <w:bottom w:val="nil"/>
              <w:right w:val="nil"/>
            </w:tcBorders>
            <w:shd w:val="clear" w:color="000000" w:fill="F2F2F2"/>
            <w:noWrap/>
            <w:vAlign w:val="center"/>
            <w:hideMark/>
          </w:tcPr>
          <w:p w14:paraId="3DFB150B"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NH</w:t>
            </w:r>
          </w:p>
        </w:tc>
        <w:tc>
          <w:tcPr>
            <w:tcW w:w="872" w:type="dxa"/>
            <w:tcBorders>
              <w:top w:val="single" w:sz="12" w:space="0" w:color="404040" w:themeColor="text1" w:themeTint="BF"/>
              <w:left w:val="single" w:sz="4" w:space="0" w:color="auto"/>
              <w:bottom w:val="nil"/>
              <w:right w:val="nil"/>
            </w:tcBorders>
            <w:shd w:val="clear" w:color="000000" w:fill="F2F2F2"/>
            <w:noWrap/>
            <w:vAlign w:val="center"/>
            <w:hideMark/>
          </w:tcPr>
          <w:p w14:paraId="6463130C"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11,730</w:t>
            </w:r>
          </w:p>
        </w:tc>
        <w:tc>
          <w:tcPr>
            <w:tcW w:w="752" w:type="dxa"/>
            <w:tcBorders>
              <w:top w:val="single" w:sz="12" w:space="0" w:color="404040" w:themeColor="text1" w:themeTint="BF"/>
              <w:left w:val="nil"/>
              <w:bottom w:val="nil"/>
              <w:right w:val="nil"/>
            </w:tcBorders>
            <w:shd w:val="clear" w:color="000000" w:fill="F2F2F2"/>
            <w:noWrap/>
            <w:vAlign w:val="center"/>
            <w:hideMark/>
          </w:tcPr>
          <w:p w14:paraId="47DE9B36"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4,340</w:t>
            </w:r>
          </w:p>
        </w:tc>
        <w:tc>
          <w:tcPr>
            <w:tcW w:w="750" w:type="dxa"/>
            <w:tcBorders>
              <w:top w:val="single" w:sz="12" w:space="0" w:color="404040" w:themeColor="text1" w:themeTint="BF"/>
              <w:left w:val="nil"/>
              <w:bottom w:val="nil"/>
              <w:right w:val="nil"/>
            </w:tcBorders>
            <w:shd w:val="clear" w:color="000000" w:fill="F2F2F2"/>
            <w:noWrap/>
            <w:vAlign w:val="center"/>
            <w:hideMark/>
          </w:tcPr>
          <w:p w14:paraId="41F53704"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6,760</w:t>
            </w:r>
          </w:p>
        </w:tc>
        <w:tc>
          <w:tcPr>
            <w:tcW w:w="750" w:type="dxa"/>
            <w:tcBorders>
              <w:top w:val="single" w:sz="12" w:space="0" w:color="404040" w:themeColor="text1" w:themeTint="BF"/>
              <w:left w:val="nil"/>
              <w:bottom w:val="nil"/>
              <w:right w:val="single" w:sz="4" w:space="0" w:color="auto"/>
            </w:tcBorders>
            <w:shd w:val="clear" w:color="000000" w:fill="F2F2F2"/>
            <w:noWrap/>
            <w:vAlign w:val="center"/>
            <w:hideMark/>
          </w:tcPr>
          <w:p w14:paraId="774C6A78"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2,430</w:t>
            </w:r>
          </w:p>
        </w:tc>
        <w:tc>
          <w:tcPr>
            <w:tcW w:w="750" w:type="dxa"/>
            <w:tcBorders>
              <w:top w:val="single" w:sz="12" w:space="0" w:color="404040" w:themeColor="text1" w:themeTint="BF"/>
              <w:left w:val="nil"/>
              <w:bottom w:val="nil"/>
              <w:right w:val="nil"/>
            </w:tcBorders>
            <w:shd w:val="clear" w:color="000000" w:fill="F2F2F2"/>
            <w:noWrap/>
            <w:vAlign w:val="center"/>
            <w:hideMark/>
          </w:tcPr>
          <w:p w14:paraId="499D6B83"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5,990</w:t>
            </w:r>
          </w:p>
        </w:tc>
        <w:tc>
          <w:tcPr>
            <w:tcW w:w="764" w:type="dxa"/>
            <w:tcBorders>
              <w:top w:val="single" w:sz="12" w:space="0" w:color="404040" w:themeColor="text1" w:themeTint="BF"/>
              <w:left w:val="nil"/>
              <w:bottom w:val="nil"/>
              <w:right w:val="nil"/>
            </w:tcBorders>
            <w:shd w:val="clear" w:color="000000" w:fill="F2F2F2"/>
            <w:noWrap/>
            <w:vAlign w:val="center"/>
            <w:hideMark/>
          </w:tcPr>
          <w:p w14:paraId="37326C6A" w14:textId="77777777" w:rsidR="00366ACF" w:rsidRPr="00C64BA4" w:rsidRDefault="00366ACF" w:rsidP="00A17D67">
            <w:pPr>
              <w:keepNext/>
              <w:keepLines/>
              <w:spacing w:after="0" w:line="300" w:lineRule="auto"/>
              <w:jc w:val="center"/>
              <w:rPr>
                <w:rFonts w:eastAsia="Times New Roman" w:cs="Calibri"/>
                <w:color w:val="000000"/>
              </w:rPr>
            </w:pPr>
            <w:r w:rsidRPr="00C64BA4">
              <w:rPr>
                <w:rFonts w:eastAsia="Times New Roman" w:cs="Calibri"/>
                <w:color w:val="000000"/>
              </w:rPr>
              <w:t>2,840</w:t>
            </w:r>
          </w:p>
        </w:tc>
      </w:tr>
      <w:tr w:rsidR="00366ACF" w:rsidRPr="00C64BA4" w14:paraId="0904206B" w14:textId="77777777" w:rsidTr="004341CD">
        <w:trPr>
          <w:trHeight w:val="510"/>
        </w:trPr>
        <w:tc>
          <w:tcPr>
            <w:tcW w:w="5961" w:type="dxa"/>
            <w:gridSpan w:val="7"/>
            <w:tcBorders>
              <w:top w:val="nil"/>
              <w:left w:val="nil"/>
              <w:bottom w:val="nil"/>
              <w:right w:val="nil"/>
            </w:tcBorders>
            <w:shd w:val="clear" w:color="auto" w:fill="auto"/>
            <w:vAlign w:val="bottom"/>
            <w:hideMark/>
          </w:tcPr>
          <w:p w14:paraId="59360900" w14:textId="0B134AA0" w:rsidR="00366ACF" w:rsidRPr="00C64BA4" w:rsidRDefault="00366ACF" w:rsidP="00A17D67">
            <w:pPr>
              <w:keepNext/>
              <w:keepLines/>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Sources: IPUMS National Historical Geographic Information</w:t>
            </w:r>
            <w:r w:rsidRPr="00C64BA4">
              <w:rPr>
                <w:rFonts w:eastAsia="Times New Roman" w:cs="Calibri"/>
                <w:color w:val="000000"/>
                <w:sz w:val="20"/>
                <w:szCs w:val="20"/>
              </w:rPr>
              <w:br/>
              <w:t>System; Root Policy</w:t>
            </w:r>
            <w:r w:rsidR="00582975">
              <w:rPr>
                <w:rFonts w:eastAsia="Times New Roman" w:cs="Calibri"/>
                <w:color w:val="000000"/>
                <w:sz w:val="20"/>
                <w:szCs w:val="20"/>
              </w:rPr>
              <w:t xml:space="preserve"> Research</w:t>
            </w:r>
            <w:r w:rsidRPr="00C64BA4">
              <w:rPr>
                <w:rFonts w:eastAsia="Times New Roman" w:cs="Calibri"/>
                <w:color w:val="000000"/>
                <w:sz w:val="20"/>
                <w:szCs w:val="20"/>
              </w:rPr>
              <w:t>; US Census Bureau.</w:t>
            </w:r>
          </w:p>
        </w:tc>
      </w:tr>
      <w:bookmarkEnd w:id="193"/>
    </w:tbl>
    <w:p w14:paraId="698CA609" w14:textId="77777777" w:rsidR="00366ACF" w:rsidRPr="00C64BA4" w:rsidRDefault="00366ACF" w:rsidP="00206C45">
      <w:pPr>
        <w:spacing w:line="300" w:lineRule="auto"/>
        <w:rPr>
          <w:rFonts w:eastAsia="Tw Cen MT" w:cs="Tw Cen MT"/>
        </w:rPr>
      </w:pPr>
    </w:p>
    <w:p w14:paraId="37C256AF" w14:textId="1CA9A356" w:rsidR="00366ACF" w:rsidRDefault="00366ACF" w:rsidP="00A17D67">
      <w:pPr>
        <w:pStyle w:val="Caption"/>
        <w:keepNext/>
        <w:keepLines/>
        <w:spacing w:line="300" w:lineRule="auto"/>
      </w:pPr>
      <w:bookmarkStart w:id="194" w:name="_Ref127971284"/>
      <w:bookmarkStart w:id="195" w:name="_Toc128137925"/>
      <w:r>
        <w:lastRenderedPageBreak/>
        <w:t xml:space="preserve">Table </w:t>
      </w:r>
      <w:r w:rsidR="0062538A">
        <w:fldChar w:fldCharType="begin"/>
      </w:r>
      <w:r w:rsidR="0062538A">
        <w:instrText xml:space="preserve"> SEQ Table \* ARABIC </w:instrText>
      </w:r>
      <w:r w:rsidR="0062538A">
        <w:fldChar w:fldCharType="separate"/>
      </w:r>
      <w:r w:rsidR="008B512A">
        <w:rPr>
          <w:noProof/>
        </w:rPr>
        <w:t>34</w:t>
      </w:r>
      <w:r w:rsidR="0062538A">
        <w:rPr>
          <w:noProof/>
        </w:rPr>
        <w:fldChar w:fldCharType="end"/>
      </w:r>
      <w:bookmarkEnd w:id="194"/>
      <w:r>
        <w:t>: Average Annual Net New Housing Units (%)</w:t>
      </w:r>
      <w:bookmarkEnd w:id="195"/>
    </w:p>
    <w:tbl>
      <w:tblPr>
        <w:tblW w:w="5881" w:type="dxa"/>
        <w:tblLook w:val="04A0" w:firstRow="1" w:lastRow="0" w:firstColumn="1" w:lastColumn="0" w:noHBand="0" w:noVBand="1"/>
      </w:tblPr>
      <w:tblGrid>
        <w:gridCol w:w="1351"/>
        <w:gridCol w:w="752"/>
        <w:gridCol w:w="752"/>
        <w:gridCol w:w="752"/>
        <w:gridCol w:w="795"/>
        <w:gridCol w:w="716"/>
        <w:gridCol w:w="763"/>
      </w:tblGrid>
      <w:tr w:rsidR="00516F66" w:rsidRPr="00C64BA4" w14:paraId="7C0DBC6C" w14:textId="77777777" w:rsidTr="00366ACF">
        <w:trPr>
          <w:trHeight w:val="300"/>
        </w:trPr>
        <w:tc>
          <w:tcPr>
            <w:tcW w:w="1351" w:type="dxa"/>
            <w:tcBorders>
              <w:top w:val="nil"/>
              <w:left w:val="nil"/>
              <w:bottom w:val="nil"/>
              <w:right w:val="nil"/>
            </w:tcBorders>
            <w:shd w:val="clear" w:color="auto" w:fill="auto"/>
            <w:noWrap/>
            <w:vAlign w:val="bottom"/>
          </w:tcPr>
          <w:p w14:paraId="5168089A" w14:textId="77777777" w:rsidR="00516F66" w:rsidRPr="00C64BA4" w:rsidRDefault="00516F66" w:rsidP="00A17D67">
            <w:pPr>
              <w:keepNext/>
              <w:keepLines/>
              <w:spacing w:after="0" w:line="300" w:lineRule="auto"/>
              <w:rPr>
                <w:rFonts w:eastAsia="Times New Roman" w:cs="Calibri"/>
                <w:color w:val="000000"/>
                <w:sz w:val="20"/>
                <w:szCs w:val="20"/>
              </w:rPr>
            </w:pPr>
          </w:p>
        </w:tc>
        <w:tc>
          <w:tcPr>
            <w:tcW w:w="4530" w:type="dxa"/>
            <w:gridSpan w:val="6"/>
            <w:tcBorders>
              <w:top w:val="nil"/>
              <w:left w:val="nil"/>
              <w:bottom w:val="nil"/>
              <w:right w:val="nil"/>
            </w:tcBorders>
            <w:shd w:val="clear" w:color="auto" w:fill="auto"/>
            <w:noWrap/>
            <w:vAlign w:val="bottom"/>
          </w:tcPr>
          <w:p w14:paraId="1F1ECF91" w14:textId="360277C4" w:rsidR="00516F66" w:rsidRPr="00C64BA4" w:rsidRDefault="00516F66" w:rsidP="00A17D67">
            <w:pPr>
              <w:keepNext/>
              <w:keepLines/>
              <w:spacing w:after="0" w:line="300" w:lineRule="auto"/>
              <w:jc w:val="center"/>
              <w:rPr>
                <w:rFonts w:eastAsia="Times New Roman" w:cs="Calibri"/>
                <w:b/>
                <w:bCs/>
                <w:color w:val="595959"/>
              </w:rPr>
            </w:pPr>
            <w:r w:rsidRPr="00516F66">
              <w:rPr>
                <w:rFonts w:eastAsia="Times New Roman" w:cs="Calibri"/>
                <w:caps/>
                <w:color w:val="595959"/>
              </w:rPr>
              <w:t>Past Housing Growth and Projected Fair Share Growth</w:t>
            </w:r>
          </w:p>
        </w:tc>
      </w:tr>
      <w:tr w:rsidR="00261E47" w:rsidRPr="00C64BA4" w14:paraId="78AE0521" w14:textId="77777777" w:rsidTr="00366ACF">
        <w:trPr>
          <w:trHeight w:val="300"/>
        </w:trPr>
        <w:tc>
          <w:tcPr>
            <w:tcW w:w="1351" w:type="dxa"/>
            <w:tcBorders>
              <w:top w:val="nil"/>
              <w:left w:val="nil"/>
              <w:bottom w:val="nil"/>
              <w:right w:val="nil"/>
            </w:tcBorders>
            <w:shd w:val="clear" w:color="auto" w:fill="auto"/>
            <w:noWrap/>
            <w:vAlign w:val="bottom"/>
            <w:hideMark/>
          </w:tcPr>
          <w:p w14:paraId="1721AEBF" w14:textId="77777777" w:rsidR="00261E47" w:rsidRPr="00C64BA4" w:rsidRDefault="00261E47" w:rsidP="00A17D67">
            <w:pPr>
              <w:keepNext/>
              <w:keepLines/>
              <w:spacing w:after="0" w:line="300" w:lineRule="auto"/>
              <w:rPr>
                <w:rFonts w:eastAsia="Times New Roman" w:cs="Calibri"/>
                <w:color w:val="000000"/>
                <w:sz w:val="20"/>
                <w:szCs w:val="20"/>
              </w:rPr>
            </w:pPr>
          </w:p>
        </w:tc>
        <w:tc>
          <w:tcPr>
            <w:tcW w:w="4530" w:type="dxa"/>
            <w:gridSpan w:val="6"/>
            <w:tcBorders>
              <w:top w:val="nil"/>
              <w:left w:val="nil"/>
              <w:bottom w:val="nil"/>
              <w:right w:val="nil"/>
            </w:tcBorders>
            <w:shd w:val="clear" w:color="auto" w:fill="auto"/>
            <w:noWrap/>
            <w:vAlign w:val="bottom"/>
            <w:hideMark/>
          </w:tcPr>
          <w:p w14:paraId="0239A650" w14:textId="77777777" w:rsidR="00261E47" w:rsidRPr="00C64BA4" w:rsidRDefault="00261E47"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Average Annual Net New Housing Units</w:t>
            </w:r>
          </w:p>
        </w:tc>
      </w:tr>
      <w:tr w:rsidR="00261E47" w:rsidRPr="00C64BA4" w14:paraId="220C1229" w14:textId="77777777" w:rsidTr="00366ACF">
        <w:trPr>
          <w:trHeight w:val="300"/>
        </w:trPr>
        <w:tc>
          <w:tcPr>
            <w:tcW w:w="1351" w:type="dxa"/>
            <w:tcBorders>
              <w:top w:val="nil"/>
              <w:left w:val="nil"/>
              <w:bottom w:val="nil"/>
              <w:right w:val="nil"/>
            </w:tcBorders>
            <w:shd w:val="clear" w:color="auto" w:fill="auto"/>
            <w:noWrap/>
            <w:vAlign w:val="bottom"/>
            <w:hideMark/>
          </w:tcPr>
          <w:p w14:paraId="4707BA6D" w14:textId="77777777" w:rsidR="00261E47" w:rsidRPr="00C64BA4" w:rsidRDefault="00261E47" w:rsidP="00A17D67">
            <w:pPr>
              <w:keepNext/>
              <w:keepLines/>
              <w:spacing w:after="0" w:line="300" w:lineRule="auto"/>
              <w:jc w:val="center"/>
              <w:rPr>
                <w:rFonts w:eastAsia="Times New Roman" w:cs="Calibri"/>
                <w:b/>
                <w:bCs/>
                <w:color w:val="595959"/>
              </w:rPr>
            </w:pPr>
          </w:p>
        </w:tc>
        <w:tc>
          <w:tcPr>
            <w:tcW w:w="3051" w:type="dxa"/>
            <w:gridSpan w:val="4"/>
            <w:tcBorders>
              <w:top w:val="nil"/>
              <w:left w:val="single" w:sz="4" w:space="0" w:color="auto"/>
              <w:bottom w:val="nil"/>
              <w:right w:val="single" w:sz="4" w:space="0" w:color="000000"/>
            </w:tcBorders>
            <w:shd w:val="clear" w:color="auto" w:fill="auto"/>
            <w:noWrap/>
            <w:vAlign w:val="bottom"/>
            <w:hideMark/>
          </w:tcPr>
          <w:p w14:paraId="0E87C6AF" w14:textId="77777777" w:rsidR="00261E47" w:rsidRPr="00C64BA4" w:rsidRDefault="00261E47"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Historical</w:t>
            </w:r>
          </w:p>
        </w:tc>
        <w:tc>
          <w:tcPr>
            <w:tcW w:w="1479" w:type="dxa"/>
            <w:gridSpan w:val="2"/>
            <w:tcBorders>
              <w:top w:val="nil"/>
              <w:left w:val="nil"/>
              <w:bottom w:val="nil"/>
              <w:right w:val="nil"/>
            </w:tcBorders>
            <w:shd w:val="clear" w:color="auto" w:fill="auto"/>
            <w:noWrap/>
            <w:vAlign w:val="bottom"/>
            <w:hideMark/>
          </w:tcPr>
          <w:p w14:paraId="09DDEE4F" w14:textId="77777777" w:rsidR="00261E47" w:rsidRPr="00C64BA4" w:rsidRDefault="00261E47"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Projected</w:t>
            </w:r>
          </w:p>
        </w:tc>
      </w:tr>
      <w:tr w:rsidR="00261E47" w:rsidRPr="00C64BA4" w14:paraId="51794834" w14:textId="77777777" w:rsidTr="00366ACF">
        <w:trPr>
          <w:trHeight w:val="870"/>
        </w:trPr>
        <w:tc>
          <w:tcPr>
            <w:tcW w:w="1351" w:type="dxa"/>
            <w:tcBorders>
              <w:top w:val="nil"/>
              <w:left w:val="nil"/>
              <w:bottom w:val="single" w:sz="4" w:space="0" w:color="auto"/>
              <w:right w:val="nil"/>
            </w:tcBorders>
            <w:shd w:val="clear" w:color="auto" w:fill="auto"/>
            <w:noWrap/>
            <w:vAlign w:val="bottom"/>
            <w:hideMark/>
          </w:tcPr>
          <w:p w14:paraId="442170FB" w14:textId="77777777" w:rsidR="00261E47" w:rsidRPr="00C64BA4" w:rsidRDefault="00261E47" w:rsidP="00A17D67">
            <w:pPr>
              <w:keepNext/>
              <w:keepLines/>
              <w:spacing w:after="0" w:line="300" w:lineRule="auto"/>
              <w:rPr>
                <w:rFonts w:eastAsia="Times New Roman" w:cs="Calibri"/>
                <w:color w:val="000000"/>
              </w:rPr>
            </w:pPr>
            <w:r w:rsidRPr="00C64BA4">
              <w:rPr>
                <w:rFonts w:eastAsia="Times New Roman" w:cs="Calibri"/>
                <w:color w:val="000000"/>
              </w:rPr>
              <w:t> </w:t>
            </w:r>
          </w:p>
        </w:tc>
        <w:tc>
          <w:tcPr>
            <w:tcW w:w="752" w:type="dxa"/>
            <w:tcBorders>
              <w:top w:val="nil"/>
              <w:left w:val="single" w:sz="4" w:space="0" w:color="auto"/>
              <w:bottom w:val="single" w:sz="4" w:space="0" w:color="auto"/>
              <w:right w:val="nil"/>
            </w:tcBorders>
            <w:shd w:val="clear" w:color="auto" w:fill="auto"/>
            <w:vAlign w:val="bottom"/>
            <w:hideMark/>
          </w:tcPr>
          <w:p w14:paraId="51F82EF7" w14:textId="77777777" w:rsidR="00261E47" w:rsidRPr="00C64BA4" w:rsidRDefault="00261E47"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1980 to 1990</w:t>
            </w:r>
          </w:p>
        </w:tc>
        <w:tc>
          <w:tcPr>
            <w:tcW w:w="752" w:type="dxa"/>
            <w:tcBorders>
              <w:top w:val="nil"/>
              <w:left w:val="nil"/>
              <w:bottom w:val="single" w:sz="4" w:space="0" w:color="auto"/>
              <w:right w:val="nil"/>
            </w:tcBorders>
            <w:shd w:val="clear" w:color="auto" w:fill="auto"/>
            <w:vAlign w:val="center"/>
            <w:hideMark/>
          </w:tcPr>
          <w:p w14:paraId="392E9525" w14:textId="77777777" w:rsidR="00261E47" w:rsidRPr="00C64BA4" w:rsidRDefault="00261E47"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1990 to 2000</w:t>
            </w:r>
          </w:p>
        </w:tc>
        <w:tc>
          <w:tcPr>
            <w:tcW w:w="752" w:type="dxa"/>
            <w:tcBorders>
              <w:top w:val="nil"/>
              <w:left w:val="nil"/>
              <w:bottom w:val="single" w:sz="4" w:space="0" w:color="auto"/>
              <w:right w:val="nil"/>
            </w:tcBorders>
            <w:shd w:val="clear" w:color="auto" w:fill="auto"/>
            <w:vAlign w:val="center"/>
            <w:hideMark/>
          </w:tcPr>
          <w:p w14:paraId="4B1C76FF" w14:textId="77777777" w:rsidR="00261E47" w:rsidRPr="00C64BA4" w:rsidRDefault="00261E47"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2000 to 2010</w:t>
            </w:r>
          </w:p>
        </w:tc>
        <w:tc>
          <w:tcPr>
            <w:tcW w:w="795" w:type="dxa"/>
            <w:tcBorders>
              <w:top w:val="nil"/>
              <w:left w:val="nil"/>
              <w:bottom w:val="single" w:sz="4" w:space="0" w:color="auto"/>
              <w:right w:val="single" w:sz="4" w:space="0" w:color="auto"/>
            </w:tcBorders>
            <w:shd w:val="clear" w:color="auto" w:fill="auto"/>
            <w:vAlign w:val="center"/>
            <w:hideMark/>
          </w:tcPr>
          <w:p w14:paraId="1E0DE437" w14:textId="77777777" w:rsidR="00261E47" w:rsidRPr="00C64BA4" w:rsidRDefault="00261E47"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2010 to 2020</w:t>
            </w:r>
          </w:p>
        </w:tc>
        <w:tc>
          <w:tcPr>
            <w:tcW w:w="716" w:type="dxa"/>
            <w:tcBorders>
              <w:top w:val="nil"/>
              <w:left w:val="nil"/>
              <w:bottom w:val="single" w:sz="4" w:space="0" w:color="auto"/>
              <w:right w:val="nil"/>
            </w:tcBorders>
            <w:shd w:val="clear" w:color="auto" w:fill="auto"/>
            <w:vAlign w:val="center"/>
            <w:hideMark/>
          </w:tcPr>
          <w:p w14:paraId="15F8C1B6" w14:textId="77777777" w:rsidR="00261E47" w:rsidRPr="00C64BA4" w:rsidRDefault="00261E47"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2020 to 2030</w:t>
            </w:r>
          </w:p>
        </w:tc>
        <w:tc>
          <w:tcPr>
            <w:tcW w:w="763" w:type="dxa"/>
            <w:tcBorders>
              <w:top w:val="nil"/>
              <w:left w:val="nil"/>
              <w:bottom w:val="single" w:sz="4" w:space="0" w:color="auto"/>
              <w:right w:val="nil"/>
            </w:tcBorders>
            <w:shd w:val="clear" w:color="auto" w:fill="auto"/>
            <w:vAlign w:val="center"/>
            <w:hideMark/>
          </w:tcPr>
          <w:p w14:paraId="032C31A5" w14:textId="77777777" w:rsidR="00261E47" w:rsidRPr="00C64BA4" w:rsidRDefault="00261E47" w:rsidP="00A17D67">
            <w:pPr>
              <w:keepNext/>
              <w:keepLines/>
              <w:spacing w:after="0" w:line="300" w:lineRule="auto"/>
              <w:jc w:val="center"/>
              <w:rPr>
                <w:rFonts w:eastAsia="Times New Roman" w:cs="Calibri"/>
                <w:b/>
                <w:bCs/>
                <w:color w:val="595959"/>
              </w:rPr>
            </w:pPr>
            <w:r w:rsidRPr="00C64BA4">
              <w:rPr>
                <w:rFonts w:eastAsia="Times New Roman" w:cs="Calibri"/>
                <w:b/>
                <w:bCs/>
                <w:color w:val="595959"/>
              </w:rPr>
              <w:t>2030 to 2040</w:t>
            </w:r>
          </w:p>
        </w:tc>
      </w:tr>
      <w:tr w:rsidR="00261E47" w:rsidRPr="00C64BA4" w14:paraId="43B3CDD4" w14:textId="77777777" w:rsidTr="00366ACF">
        <w:trPr>
          <w:trHeight w:val="300"/>
        </w:trPr>
        <w:tc>
          <w:tcPr>
            <w:tcW w:w="1351" w:type="dxa"/>
            <w:tcBorders>
              <w:top w:val="nil"/>
              <w:left w:val="nil"/>
              <w:bottom w:val="nil"/>
              <w:right w:val="nil"/>
            </w:tcBorders>
            <w:shd w:val="clear" w:color="auto" w:fill="auto"/>
            <w:noWrap/>
            <w:vAlign w:val="bottom"/>
            <w:hideMark/>
          </w:tcPr>
          <w:p w14:paraId="34D3D4C0"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Auburn</w:t>
            </w:r>
          </w:p>
        </w:tc>
        <w:tc>
          <w:tcPr>
            <w:tcW w:w="752" w:type="dxa"/>
            <w:tcBorders>
              <w:top w:val="nil"/>
              <w:left w:val="single" w:sz="4" w:space="0" w:color="auto"/>
              <w:bottom w:val="nil"/>
              <w:right w:val="nil"/>
            </w:tcBorders>
            <w:shd w:val="clear" w:color="auto" w:fill="auto"/>
            <w:noWrap/>
            <w:vAlign w:val="bottom"/>
            <w:hideMark/>
          </w:tcPr>
          <w:p w14:paraId="3D959CC5"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3.8%</w:t>
            </w:r>
          </w:p>
        </w:tc>
        <w:tc>
          <w:tcPr>
            <w:tcW w:w="752" w:type="dxa"/>
            <w:tcBorders>
              <w:top w:val="nil"/>
              <w:left w:val="nil"/>
              <w:bottom w:val="nil"/>
              <w:right w:val="nil"/>
            </w:tcBorders>
            <w:shd w:val="clear" w:color="auto" w:fill="auto"/>
            <w:noWrap/>
            <w:vAlign w:val="bottom"/>
            <w:hideMark/>
          </w:tcPr>
          <w:p w14:paraId="2FAC154C"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52" w:type="dxa"/>
            <w:tcBorders>
              <w:top w:val="nil"/>
              <w:left w:val="nil"/>
              <w:bottom w:val="nil"/>
              <w:right w:val="nil"/>
            </w:tcBorders>
            <w:shd w:val="clear" w:color="auto" w:fill="auto"/>
            <w:noWrap/>
            <w:vAlign w:val="bottom"/>
            <w:hideMark/>
          </w:tcPr>
          <w:p w14:paraId="77B9D561"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1.2%</w:t>
            </w:r>
          </w:p>
        </w:tc>
        <w:tc>
          <w:tcPr>
            <w:tcW w:w="795" w:type="dxa"/>
            <w:tcBorders>
              <w:top w:val="nil"/>
              <w:left w:val="nil"/>
              <w:bottom w:val="nil"/>
              <w:right w:val="single" w:sz="4" w:space="0" w:color="auto"/>
            </w:tcBorders>
            <w:shd w:val="clear" w:color="auto" w:fill="auto"/>
            <w:noWrap/>
            <w:vAlign w:val="bottom"/>
            <w:hideMark/>
          </w:tcPr>
          <w:p w14:paraId="2F3BE319"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1.8%</w:t>
            </w:r>
          </w:p>
        </w:tc>
        <w:tc>
          <w:tcPr>
            <w:tcW w:w="716" w:type="dxa"/>
            <w:tcBorders>
              <w:top w:val="nil"/>
              <w:left w:val="nil"/>
              <w:bottom w:val="nil"/>
              <w:right w:val="nil"/>
            </w:tcBorders>
            <w:shd w:val="clear" w:color="auto" w:fill="auto"/>
            <w:noWrap/>
            <w:vAlign w:val="bottom"/>
            <w:hideMark/>
          </w:tcPr>
          <w:p w14:paraId="27840F79"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1.2%</w:t>
            </w:r>
          </w:p>
        </w:tc>
        <w:tc>
          <w:tcPr>
            <w:tcW w:w="763" w:type="dxa"/>
            <w:tcBorders>
              <w:top w:val="nil"/>
              <w:left w:val="nil"/>
              <w:bottom w:val="nil"/>
              <w:right w:val="nil"/>
            </w:tcBorders>
            <w:shd w:val="clear" w:color="auto" w:fill="auto"/>
            <w:noWrap/>
            <w:vAlign w:val="bottom"/>
            <w:hideMark/>
          </w:tcPr>
          <w:p w14:paraId="1052632F"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r>
      <w:tr w:rsidR="00261E47" w:rsidRPr="00C64BA4" w14:paraId="2D2310CD" w14:textId="77777777" w:rsidTr="00366ACF">
        <w:trPr>
          <w:trHeight w:val="300"/>
        </w:trPr>
        <w:tc>
          <w:tcPr>
            <w:tcW w:w="1351" w:type="dxa"/>
            <w:tcBorders>
              <w:top w:val="single" w:sz="4" w:space="0" w:color="auto"/>
              <w:left w:val="nil"/>
              <w:bottom w:val="single" w:sz="4" w:space="0" w:color="auto"/>
              <w:right w:val="nil"/>
            </w:tcBorders>
            <w:shd w:val="clear" w:color="000000" w:fill="F2F2F2"/>
            <w:noWrap/>
            <w:vAlign w:val="bottom"/>
            <w:hideMark/>
          </w:tcPr>
          <w:p w14:paraId="63EC09FE"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Bedford</w:t>
            </w:r>
          </w:p>
        </w:tc>
        <w:tc>
          <w:tcPr>
            <w:tcW w:w="752" w:type="dxa"/>
            <w:tcBorders>
              <w:top w:val="single" w:sz="4" w:space="0" w:color="auto"/>
              <w:left w:val="single" w:sz="4" w:space="0" w:color="auto"/>
              <w:bottom w:val="single" w:sz="4" w:space="0" w:color="auto"/>
              <w:right w:val="nil"/>
            </w:tcBorders>
            <w:shd w:val="clear" w:color="000000" w:fill="F2F2F2"/>
            <w:noWrap/>
            <w:vAlign w:val="bottom"/>
            <w:hideMark/>
          </w:tcPr>
          <w:p w14:paraId="71483627"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4.5%</w:t>
            </w:r>
          </w:p>
        </w:tc>
        <w:tc>
          <w:tcPr>
            <w:tcW w:w="752" w:type="dxa"/>
            <w:tcBorders>
              <w:top w:val="single" w:sz="4" w:space="0" w:color="auto"/>
              <w:left w:val="nil"/>
              <w:bottom w:val="single" w:sz="4" w:space="0" w:color="auto"/>
              <w:right w:val="nil"/>
            </w:tcBorders>
            <w:shd w:val="clear" w:color="000000" w:fill="F2F2F2"/>
            <w:noWrap/>
            <w:vAlign w:val="bottom"/>
            <w:hideMark/>
          </w:tcPr>
          <w:p w14:paraId="7A52710C"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5.4%</w:t>
            </w:r>
          </w:p>
        </w:tc>
        <w:tc>
          <w:tcPr>
            <w:tcW w:w="752" w:type="dxa"/>
            <w:tcBorders>
              <w:top w:val="single" w:sz="4" w:space="0" w:color="auto"/>
              <w:left w:val="nil"/>
              <w:bottom w:val="single" w:sz="4" w:space="0" w:color="auto"/>
              <w:right w:val="nil"/>
            </w:tcBorders>
            <w:shd w:val="clear" w:color="000000" w:fill="F2F2F2"/>
            <w:noWrap/>
            <w:vAlign w:val="bottom"/>
            <w:hideMark/>
          </w:tcPr>
          <w:p w14:paraId="47C7D55E"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1.9%</w:t>
            </w:r>
          </w:p>
        </w:tc>
        <w:tc>
          <w:tcPr>
            <w:tcW w:w="795" w:type="dxa"/>
            <w:tcBorders>
              <w:top w:val="single" w:sz="4" w:space="0" w:color="auto"/>
              <w:left w:val="nil"/>
              <w:bottom w:val="single" w:sz="4" w:space="0" w:color="auto"/>
              <w:right w:val="single" w:sz="4" w:space="0" w:color="auto"/>
            </w:tcBorders>
            <w:shd w:val="clear" w:color="000000" w:fill="F2F2F2"/>
            <w:noWrap/>
            <w:vAlign w:val="bottom"/>
            <w:hideMark/>
          </w:tcPr>
          <w:p w14:paraId="5851424D"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0.8%</w:t>
            </w:r>
          </w:p>
        </w:tc>
        <w:tc>
          <w:tcPr>
            <w:tcW w:w="716" w:type="dxa"/>
            <w:tcBorders>
              <w:top w:val="single" w:sz="4" w:space="0" w:color="auto"/>
              <w:left w:val="nil"/>
              <w:bottom w:val="single" w:sz="4" w:space="0" w:color="auto"/>
              <w:right w:val="nil"/>
            </w:tcBorders>
            <w:shd w:val="clear" w:color="000000" w:fill="F2F2F2"/>
            <w:noWrap/>
            <w:vAlign w:val="bottom"/>
            <w:hideMark/>
          </w:tcPr>
          <w:p w14:paraId="406964EE"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1.3%</w:t>
            </w:r>
          </w:p>
        </w:tc>
        <w:tc>
          <w:tcPr>
            <w:tcW w:w="763" w:type="dxa"/>
            <w:tcBorders>
              <w:top w:val="single" w:sz="4" w:space="0" w:color="auto"/>
              <w:left w:val="nil"/>
              <w:bottom w:val="single" w:sz="4" w:space="0" w:color="auto"/>
              <w:right w:val="nil"/>
            </w:tcBorders>
            <w:shd w:val="clear" w:color="000000" w:fill="F2F2F2"/>
            <w:noWrap/>
            <w:vAlign w:val="bottom"/>
            <w:hideMark/>
          </w:tcPr>
          <w:p w14:paraId="2651D9F3"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0.6%</w:t>
            </w:r>
          </w:p>
        </w:tc>
      </w:tr>
      <w:tr w:rsidR="00261E47" w:rsidRPr="00C64BA4" w14:paraId="3B753CBC" w14:textId="77777777" w:rsidTr="00366ACF">
        <w:trPr>
          <w:trHeight w:val="300"/>
        </w:trPr>
        <w:tc>
          <w:tcPr>
            <w:tcW w:w="1351" w:type="dxa"/>
            <w:tcBorders>
              <w:top w:val="nil"/>
              <w:left w:val="nil"/>
              <w:bottom w:val="nil"/>
              <w:right w:val="nil"/>
            </w:tcBorders>
            <w:shd w:val="clear" w:color="auto" w:fill="auto"/>
            <w:noWrap/>
            <w:vAlign w:val="bottom"/>
            <w:hideMark/>
          </w:tcPr>
          <w:p w14:paraId="354853ED"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Candia</w:t>
            </w:r>
          </w:p>
        </w:tc>
        <w:tc>
          <w:tcPr>
            <w:tcW w:w="752" w:type="dxa"/>
            <w:tcBorders>
              <w:top w:val="nil"/>
              <w:left w:val="single" w:sz="4" w:space="0" w:color="auto"/>
              <w:bottom w:val="nil"/>
              <w:right w:val="nil"/>
            </w:tcBorders>
            <w:shd w:val="clear" w:color="auto" w:fill="auto"/>
            <w:noWrap/>
            <w:vAlign w:val="bottom"/>
            <w:hideMark/>
          </w:tcPr>
          <w:p w14:paraId="32C88191"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52" w:type="dxa"/>
            <w:tcBorders>
              <w:top w:val="nil"/>
              <w:left w:val="nil"/>
              <w:bottom w:val="nil"/>
              <w:right w:val="nil"/>
            </w:tcBorders>
            <w:shd w:val="clear" w:color="auto" w:fill="auto"/>
            <w:noWrap/>
            <w:vAlign w:val="bottom"/>
            <w:hideMark/>
          </w:tcPr>
          <w:p w14:paraId="511F62AE"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1.6%</w:t>
            </w:r>
          </w:p>
        </w:tc>
        <w:tc>
          <w:tcPr>
            <w:tcW w:w="752" w:type="dxa"/>
            <w:tcBorders>
              <w:top w:val="nil"/>
              <w:left w:val="nil"/>
              <w:bottom w:val="nil"/>
              <w:right w:val="nil"/>
            </w:tcBorders>
            <w:shd w:val="clear" w:color="auto" w:fill="auto"/>
            <w:noWrap/>
            <w:vAlign w:val="bottom"/>
            <w:hideMark/>
          </w:tcPr>
          <w:p w14:paraId="3C19803B"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0.8%</w:t>
            </w:r>
          </w:p>
        </w:tc>
        <w:tc>
          <w:tcPr>
            <w:tcW w:w="795" w:type="dxa"/>
            <w:tcBorders>
              <w:top w:val="nil"/>
              <w:left w:val="nil"/>
              <w:bottom w:val="nil"/>
              <w:right w:val="single" w:sz="4" w:space="0" w:color="auto"/>
            </w:tcBorders>
            <w:shd w:val="clear" w:color="auto" w:fill="auto"/>
            <w:noWrap/>
            <w:vAlign w:val="bottom"/>
            <w:hideMark/>
          </w:tcPr>
          <w:p w14:paraId="39593B2A"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c>
          <w:tcPr>
            <w:tcW w:w="716" w:type="dxa"/>
            <w:tcBorders>
              <w:top w:val="nil"/>
              <w:left w:val="nil"/>
              <w:bottom w:val="nil"/>
              <w:right w:val="nil"/>
            </w:tcBorders>
            <w:shd w:val="clear" w:color="auto" w:fill="auto"/>
            <w:noWrap/>
            <w:vAlign w:val="bottom"/>
            <w:hideMark/>
          </w:tcPr>
          <w:p w14:paraId="2F3F8B08"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1.2%</w:t>
            </w:r>
          </w:p>
        </w:tc>
        <w:tc>
          <w:tcPr>
            <w:tcW w:w="763" w:type="dxa"/>
            <w:tcBorders>
              <w:top w:val="nil"/>
              <w:left w:val="nil"/>
              <w:bottom w:val="nil"/>
              <w:right w:val="nil"/>
            </w:tcBorders>
            <w:shd w:val="clear" w:color="auto" w:fill="auto"/>
            <w:noWrap/>
            <w:vAlign w:val="bottom"/>
            <w:hideMark/>
          </w:tcPr>
          <w:p w14:paraId="33C58467"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r>
      <w:tr w:rsidR="00261E47" w:rsidRPr="00C64BA4" w14:paraId="5DE37216" w14:textId="77777777" w:rsidTr="00366ACF">
        <w:trPr>
          <w:trHeight w:val="300"/>
        </w:trPr>
        <w:tc>
          <w:tcPr>
            <w:tcW w:w="1351" w:type="dxa"/>
            <w:tcBorders>
              <w:top w:val="single" w:sz="4" w:space="0" w:color="auto"/>
              <w:left w:val="nil"/>
              <w:bottom w:val="single" w:sz="4" w:space="0" w:color="auto"/>
              <w:right w:val="nil"/>
            </w:tcBorders>
            <w:shd w:val="clear" w:color="000000" w:fill="F2F2F2"/>
            <w:noWrap/>
            <w:vAlign w:val="bottom"/>
            <w:hideMark/>
          </w:tcPr>
          <w:p w14:paraId="1BA7BF8E"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Chester</w:t>
            </w:r>
          </w:p>
        </w:tc>
        <w:tc>
          <w:tcPr>
            <w:tcW w:w="752" w:type="dxa"/>
            <w:tcBorders>
              <w:top w:val="single" w:sz="4" w:space="0" w:color="auto"/>
              <w:left w:val="single" w:sz="4" w:space="0" w:color="auto"/>
              <w:bottom w:val="single" w:sz="4" w:space="0" w:color="auto"/>
              <w:right w:val="nil"/>
            </w:tcBorders>
            <w:shd w:val="clear" w:color="000000" w:fill="F2F2F2"/>
            <w:noWrap/>
            <w:vAlign w:val="bottom"/>
            <w:hideMark/>
          </w:tcPr>
          <w:p w14:paraId="0D6C7A77"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4.0%</w:t>
            </w:r>
          </w:p>
        </w:tc>
        <w:tc>
          <w:tcPr>
            <w:tcW w:w="752" w:type="dxa"/>
            <w:tcBorders>
              <w:top w:val="single" w:sz="4" w:space="0" w:color="auto"/>
              <w:left w:val="nil"/>
              <w:bottom w:val="single" w:sz="4" w:space="0" w:color="auto"/>
              <w:right w:val="nil"/>
            </w:tcBorders>
            <w:shd w:val="clear" w:color="000000" w:fill="F2F2F2"/>
            <w:noWrap/>
            <w:vAlign w:val="bottom"/>
            <w:hideMark/>
          </w:tcPr>
          <w:p w14:paraId="15A2CC79"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3.5%</w:t>
            </w:r>
          </w:p>
        </w:tc>
        <w:tc>
          <w:tcPr>
            <w:tcW w:w="752" w:type="dxa"/>
            <w:tcBorders>
              <w:top w:val="single" w:sz="4" w:space="0" w:color="auto"/>
              <w:left w:val="nil"/>
              <w:bottom w:val="single" w:sz="4" w:space="0" w:color="auto"/>
              <w:right w:val="nil"/>
            </w:tcBorders>
            <w:shd w:val="clear" w:color="000000" w:fill="F2F2F2"/>
            <w:noWrap/>
            <w:vAlign w:val="bottom"/>
            <w:hideMark/>
          </w:tcPr>
          <w:p w14:paraId="218AFC00"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2.8%</w:t>
            </w:r>
          </w:p>
        </w:tc>
        <w:tc>
          <w:tcPr>
            <w:tcW w:w="795" w:type="dxa"/>
            <w:tcBorders>
              <w:top w:val="single" w:sz="4" w:space="0" w:color="auto"/>
              <w:left w:val="nil"/>
              <w:bottom w:val="single" w:sz="4" w:space="0" w:color="auto"/>
              <w:right w:val="single" w:sz="4" w:space="0" w:color="auto"/>
            </w:tcBorders>
            <w:shd w:val="clear" w:color="000000" w:fill="F2F2F2"/>
            <w:noWrap/>
            <w:vAlign w:val="bottom"/>
            <w:hideMark/>
          </w:tcPr>
          <w:p w14:paraId="6BF24EC2"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1.6%</w:t>
            </w:r>
          </w:p>
        </w:tc>
        <w:tc>
          <w:tcPr>
            <w:tcW w:w="716" w:type="dxa"/>
            <w:tcBorders>
              <w:top w:val="single" w:sz="4" w:space="0" w:color="auto"/>
              <w:left w:val="nil"/>
              <w:bottom w:val="single" w:sz="4" w:space="0" w:color="auto"/>
              <w:right w:val="nil"/>
            </w:tcBorders>
            <w:shd w:val="clear" w:color="000000" w:fill="F2F2F2"/>
            <w:noWrap/>
            <w:vAlign w:val="bottom"/>
            <w:hideMark/>
          </w:tcPr>
          <w:p w14:paraId="49C4629C"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1.1%</w:t>
            </w:r>
          </w:p>
        </w:tc>
        <w:tc>
          <w:tcPr>
            <w:tcW w:w="763" w:type="dxa"/>
            <w:tcBorders>
              <w:top w:val="single" w:sz="4" w:space="0" w:color="auto"/>
              <w:left w:val="nil"/>
              <w:bottom w:val="single" w:sz="4" w:space="0" w:color="auto"/>
              <w:right w:val="nil"/>
            </w:tcBorders>
            <w:shd w:val="clear" w:color="000000" w:fill="F2F2F2"/>
            <w:noWrap/>
            <w:vAlign w:val="bottom"/>
            <w:hideMark/>
          </w:tcPr>
          <w:p w14:paraId="0E07D783"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r>
      <w:tr w:rsidR="00261E47" w:rsidRPr="00C64BA4" w14:paraId="7757D3A7" w14:textId="77777777" w:rsidTr="00366ACF">
        <w:trPr>
          <w:trHeight w:val="300"/>
        </w:trPr>
        <w:tc>
          <w:tcPr>
            <w:tcW w:w="1351" w:type="dxa"/>
            <w:tcBorders>
              <w:top w:val="nil"/>
              <w:left w:val="nil"/>
              <w:bottom w:val="nil"/>
              <w:right w:val="nil"/>
            </w:tcBorders>
            <w:shd w:val="clear" w:color="auto" w:fill="auto"/>
            <w:noWrap/>
            <w:vAlign w:val="bottom"/>
            <w:hideMark/>
          </w:tcPr>
          <w:p w14:paraId="799CAA5A"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Deerfield</w:t>
            </w:r>
          </w:p>
        </w:tc>
        <w:tc>
          <w:tcPr>
            <w:tcW w:w="752" w:type="dxa"/>
            <w:tcBorders>
              <w:top w:val="nil"/>
              <w:left w:val="single" w:sz="4" w:space="0" w:color="auto"/>
              <w:bottom w:val="nil"/>
              <w:right w:val="nil"/>
            </w:tcBorders>
            <w:shd w:val="clear" w:color="auto" w:fill="auto"/>
            <w:noWrap/>
            <w:vAlign w:val="bottom"/>
            <w:hideMark/>
          </w:tcPr>
          <w:p w14:paraId="0A404246"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4.8%</w:t>
            </w:r>
          </w:p>
        </w:tc>
        <w:tc>
          <w:tcPr>
            <w:tcW w:w="752" w:type="dxa"/>
            <w:tcBorders>
              <w:top w:val="nil"/>
              <w:left w:val="nil"/>
              <w:bottom w:val="nil"/>
              <w:right w:val="nil"/>
            </w:tcBorders>
            <w:shd w:val="clear" w:color="auto" w:fill="auto"/>
            <w:noWrap/>
            <w:vAlign w:val="bottom"/>
            <w:hideMark/>
          </w:tcPr>
          <w:p w14:paraId="5E3B2968"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1.5%</w:t>
            </w:r>
          </w:p>
        </w:tc>
        <w:tc>
          <w:tcPr>
            <w:tcW w:w="752" w:type="dxa"/>
            <w:tcBorders>
              <w:top w:val="nil"/>
              <w:left w:val="nil"/>
              <w:bottom w:val="nil"/>
              <w:right w:val="nil"/>
            </w:tcBorders>
            <w:shd w:val="clear" w:color="auto" w:fill="auto"/>
            <w:noWrap/>
            <w:vAlign w:val="bottom"/>
            <w:hideMark/>
          </w:tcPr>
          <w:p w14:paraId="1EB05A8B"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2.4%</w:t>
            </w:r>
          </w:p>
        </w:tc>
        <w:tc>
          <w:tcPr>
            <w:tcW w:w="795" w:type="dxa"/>
            <w:tcBorders>
              <w:top w:val="nil"/>
              <w:left w:val="nil"/>
              <w:bottom w:val="nil"/>
              <w:right w:val="single" w:sz="4" w:space="0" w:color="auto"/>
            </w:tcBorders>
            <w:shd w:val="clear" w:color="auto" w:fill="auto"/>
            <w:noWrap/>
            <w:vAlign w:val="bottom"/>
            <w:hideMark/>
          </w:tcPr>
          <w:p w14:paraId="6E8E3F37"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1.0%</w:t>
            </w:r>
          </w:p>
        </w:tc>
        <w:tc>
          <w:tcPr>
            <w:tcW w:w="716" w:type="dxa"/>
            <w:tcBorders>
              <w:top w:val="nil"/>
              <w:left w:val="nil"/>
              <w:bottom w:val="nil"/>
              <w:right w:val="nil"/>
            </w:tcBorders>
            <w:shd w:val="clear" w:color="auto" w:fill="auto"/>
            <w:noWrap/>
            <w:vAlign w:val="bottom"/>
            <w:hideMark/>
          </w:tcPr>
          <w:p w14:paraId="621C0E13"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0.8%</w:t>
            </w:r>
          </w:p>
        </w:tc>
        <w:tc>
          <w:tcPr>
            <w:tcW w:w="763" w:type="dxa"/>
            <w:tcBorders>
              <w:top w:val="nil"/>
              <w:left w:val="nil"/>
              <w:bottom w:val="nil"/>
              <w:right w:val="nil"/>
            </w:tcBorders>
            <w:shd w:val="clear" w:color="auto" w:fill="auto"/>
            <w:noWrap/>
            <w:vAlign w:val="bottom"/>
            <w:hideMark/>
          </w:tcPr>
          <w:p w14:paraId="6954DAB9"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0.4%</w:t>
            </w:r>
          </w:p>
        </w:tc>
      </w:tr>
      <w:tr w:rsidR="00261E47" w:rsidRPr="00C64BA4" w14:paraId="51E9DE9C" w14:textId="77777777" w:rsidTr="00366ACF">
        <w:trPr>
          <w:trHeight w:val="300"/>
        </w:trPr>
        <w:tc>
          <w:tcPr>
            <w:tcW w:w="1351" w:type="dxa"/>
            <w:tcBorders>
              <w:top w:val="single" w:sz="4" w:space="0" w:color="auto"/>
              <w:left w:val="nil"/>
              <w:bottom w:val="single" w:sz="4" w:space="0" w:color="auto"/>
              <w:right w:val="nil"/>
            </w:tcBorders>
            <w:shd w:val="clear" w:color="000000" w:fill="F2F2F2"/>
            <w:noWrap/>
            <w:vAlign w:val="bottom"/>
            <w:hideMark/>
          </w:tcPr>
          <w:p w14:paraId="7F5FB5CF"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Derry</w:t>
            </w:r>
          </w:p>
        </w:tc>
        <w:tc>
          <w:tcPr>
            <w:tcW w:w="752" w:type="dxa"/>
            <w:tcBorders>
              <w:top w:val="single" w:sz="4" w:space="0" w:color="auto"/>
              <w:left w:val="single" w:sz="4" w:space="0" w:color="auto"/>
              <w:bottom w:val="single" w:sz="4" w:space="0" w:color="auto"/>
              <w:right w:val="nil"/>
            </w:tcBorders>
            <w:shd w:val="clear" w:color="000000" w:fill="F2F2F2"/>
            <w:noWrap/>
            <w:vAlign w:val="bottom"/>
            <w:hideMark/>
          </w:tcPr>
          <w:p w14:paraId="15CEC80E"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6.3%</w:t>
            </w:r>
          </w:p>
        </w:tc>
        <w:tc>
          <w:tcPr>
            <w:tcW w:w="752" w:type="dxa"/>
            <w:tcBorders>
              <w:top w:val="single" w:sz="4" w:space="0" w:color="auto"/>
              <w:left w:val="nil"/>
              <w:bottom w:val="single" w:sz="4" w:space="0" w:color="auto"/>
              <w:right w:val="nil"/>
            </w:tcBorders>
            <w:shd w:val="clear" w:color="000000" w:fill="F2F2F2"/>
            <w:noWrap/>
            <w:vAlign w:val="bottom"/>
            <w:hideMark/>
          </w:tcPr>
          <w:p w14:paraId="38DD6C52"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0.7%</w:t>
            </w:r>
          </w:p>
        </w:tc>
        <w:tc>
          <w:tcPr>
            <w:tcW w:w="752" w:type="dxa"/>
            <w:tcBorders>
              <w:top w:val="single" w:sz="4" w:space="0" w:color="auto"/>
              <w:left w:val="nil"/>
              <w:bottom w:val="single" w:sz="4" w:space="0" w:color="auto"/>
              <w:right w:val="nil"/>
            </w:tcBorders>
            <w:shd w:val="clear" w:color="000000" w:fill="F2F2F2"/>
            <w:noWrap/>
            <w:vAlign w:val="bottom"/>
            <w:hideMark/>
          </w:tcPr>
          <w:p w14:paraId="21915836"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0.4%</w:t>
            </w:r>
          </w:p>
        </w:tc>
        <w:tc>
          <w:tcPr>
            <w:tcW w:w="795" w:type="dxa"/>
            <w:tcBorders>
              <w:top w:val="single" w:sz="4" w:space="0" w:color="auto"/>
              <w:left w:val="nil"/>
              <w:bottom w:val="single" w:sz="4" w:space="0" w:color="auto"/>
              <w:right w:val="single" w:sz="4" w:space="0" w:color="auto"/>
            </w:tcBorders>
            <w:shd w:val="clear" w:color="000000" w:fill="F2F2F2"/>
            <w:noWrap/>
            <w:vAlign w:val="bottom"/>
            <w:hideMark/>
          </w:tcPr>
          <w:p w14:paraId="5FF1E1F6"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0.6%</w:t>
            </w:r>
          </w:p>
        </w:tc>
        <w:tc>
          <w:tcPr>
            <w:tcW w:w="716" w:type="dxa"/>
            <w:tcBorders>
              <w:top w:val="single" w:sz="4" w:space="0" w:color="auto"/>
              <w:left w:val="nil"/>
              <w:bottom w:val="single" w:sz="4" w:space="0" w:color="auto"/>
              <w:right w:val="nil"/>
            </w:tcBorders>
            <w:shd w:val="clear" w:color="000000" w:fill="F2F2F2"/>
            <w:noWrap/>
            <w:vAlign w:val="bottom"/>
            <w:hideMark/>
          </w:tcPr>
          <w:p w14:paraId="5D768C1B"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1.1%</w:t>
            </w:r>
          </w:p>
        </w:tc>
        <w:tc>
          <w:tcPr>
            <w:tcW w:w="763" w:type="dxa"/>
            <w:tcBorders>
              <w:top w:val="single" w:sz="4" w:space="0" w:color="auto"/>
              <w:left w:val="nil"/>
              <w:bottom w:val="single" w:sz="4" w:space="0" w:color="auto"/>
              <w:right w:val="nil"/>
            </w:tcBorders>
            <w:shd w:val="clear" w:color="000000" w:fill="F2F2F2"/>
            <w:noWrap/>
            <w:vAlign w:val="bottom"/>
            <w:hideMark/>
          </w:tcPr>
          <w:p w14:paraId="27E9DDAC"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r>
      <w:tr w:rsidR="00261E47" w:rsidRPr="00C64BA4" w14:paraId="649C03E7" w14:textId="77777777" w:rsidTr="00366ACF">
        <w:trPr>
          <w:trHeight w:val="300"/>
        </w:trPr>
        <w:tc>
          <w:tcPr>
            <w:tcW w:w="1351" w:type="dxa"/>
            <w:tcBorders>
              <w:top w:val="nil"/>
              <w:left w:val="nil"/>
              <w:bottom w:val="nil"/>
              <w:right w:val="nil"/>
            </w:tcBorders>
            <w:shd w:val="clear" w:color="auto" w:fill="auto"/>
            <w:noWrap/>
            <w:vAlign w:val="bottom"/>
            <w:hideMark/>
          </w:tcPr>
          <w:p w14:paraId="140DD952" w14:textId="77777777" w:rsidR="00261E47" w:rsidRPr="00C64BA4" w:rsidRDefault="00261E47" w:rsidP="00A17D67">
            <w:pPr>
              <w:keepNext/>
              <w:keepLines/>
              <w:spacing w:after="0" w:line="300" w:lineRule="auto"/>
              <w:jc w:val="center"/>
              <w:rPr>
                <w:rFonts w:eastAsia="Times New Roman" w:cs="Calibri"/>
                <w:color w:val="000000"/>
              </w:rPr>
            </w:pPr>
            <w:proofErr w:type="spellStart"/>
            <w:r w:rsidRPr="00C64BA4">
              <w:rPr>
                <w:rFonts w:eastAsia="Times New Roman" w:cs="Calibri"/>
                <w:color w:val="000000"/>
              </w:rPr>
              <w:t>Francestown</w:t>
            </w:r>
            <w:proofErr w:type="spellEnd"/>
          </w:p>
        </w:tc>
        <w:tc>
          <w:tcPr>
            <w:tcW w:w="752" w:type="dxa"/>
            <w:tcBorders>
              <w:top w:val="nil"/>
              <w:left w:val="single" w:sz="4" w:space="0" w:color="auto"/>
              <w:bottom w:val="nil"/>
              <w:right w:val="nil"/>
            </w:tcBorders>
            <w:shd w:val="clear" w:color="auto" w:fill="auto"/>
            <w:noWrap/>
            <w:vAlign w:val="bottom"/>
            <w:hideMark/>
          </w:tcPr>
          <w:p w14:paraId="7256DFAD"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7.0%</w:t>
            </w:r>
          </w:p>
        </w:tc>
        <w:tc>
          <w:tcPr>
            <w:tcW w:w="752" w:type="dxa"/>
            <w:tcBorders>
              <w:top w:val="nil"/>
              <w:left w:val="nil"/>
              <w:bottom w:val="nil"/>
              <w:right w:val="nil"/>
            </w:tcBorders>
            <w:shd w:val="clear" w:color="auto" w:fill="auto"/>
            <w:noWrap/>
            <w:vAlign w:val="bottom"/>
            <w:hideMark/>
          </w:tcPr>
          <w:p w14:paraId="09CFD53B"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1.3%</w:t>
            </w:r>
          </w:p>
        </w:tc>
        <w:tc>
          <w:tcPr>
            <w:tcW w:w="752" w:type="dxa"/>
            <w:tcBorders>
              <w:top w:val="nil"/>
              <w:left w:val="nil"/>
              <w:bottom w:val="nil"/>
              <w:right w:val="nil"/>
            </w:tcBorders>
            <w:shd w:val="clear" w:color="auto" w:fill="auto"/>
            <w:noWrap/>
            <w:vAlign w:val="bottom"/>
            <w:hideMark/>
          </w:tcPr>
          <w:p w14:paraId="0533E2C6"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1.5%</w:t>
            </w:r>
          </w:p>
        </w:tc>
        <w:tc>
          <w:tcPr>
            <w:tcW w:w="795" w:type="dxa"/>
            <w:tcBorders>
              <w:top w:val="nil"/>
              <w:left w:val="nil"/>
              <w:bottom w:val="nil"/>
              <w:right w:val="single" w:sz="4" w:space="0" w:color="auto"/>
            </w:tcBorders>
            <w:shd w:val="clear" w:color="auto" w:fill="auto"/>
            <w:noWrap/>
            <w:vAlign w:val="bottom"/>
            <w:hideMark/>
          </w:tcPr>
          <w:p w14:paraId="328F6B18"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-0.2%</w:t>
            </w:r>
          </w:p>
        </w:tc>
        <w:tc>
          <w:tcPr>
            <w:tcW w:w="716" w:type="dxa"/>
            <w:tcBorders>
              <w:top w:val="nil"/>
              <w:left w:val="nil"/>
              <w:bottom w:val="nil"/>
              <w:right w:val="nil"/>
            </w:tcBorders>
            <w:shd w:val="clear" w:color="auto" w:fill="auto"/>
            <w:noWrap/>
            <w:vAlign w:val="bottom"/>
            <w:hideMark/>
          </w:tcPr>
          <w:p w14:paraId="430C5528"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0.9%</w:t>
            </w:r>
          </w:p>
        </w:tc>
        <w:tc>
          <w:tcPr>
            <w:tcW w:w="763" w:type="dxa"/>
            <w:tcBorders>
              <w:top w:val="nil"/>
              <w:left w:val="nil"/>
              <w:bottom w:val="nil"/>
              <w:right w:val="nil"/>
            </w:tcBorders>
            <w:shd w:val="clear" w:color="auto" w:fill="auto"/>
            <w:noWrap/>
            <w:vAlign w:val="bottom"/>
            <w:hideMark/>
          </w:tcPr>
          <w:p w14:paraId="4B2BA66A"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0.4%</w:t>
            </w:r>
          </w:p>
        </w:tc>
      </w:tr>
      <w:tr w:rsidR="00261E47" w:rsidRPr="00C64BA4" w14:paraId="1AE5DA86" w14:textId="77777777" w:rsidTr="00366ACF">
        <w:trPr>
          <w:trHeight w:val="300"/>
        </w:trPr>
        <w:tc>
          <w:tcPr>
            <w:tcW w:w="1351" w:type="dxa"/>
            <w:tcBorders>
              <w:top w:val="single" w:sz="4" w:space="0" w:color="auto"/>
              <w:left w:val="nil"/>
              <w:bottom w:val="single" w:sz="4" w:space="0" w:color="auto"/>
              <w:right w:val="nil"/>
            </w:tcBorders>
            <w:shd w:val="clear" w:color="000000" w:fill="F2F2F2"/>
            <w:noWrap/>
            <w:vAlign w:val="bottom"/>
            <w:hideMark/>
          </w:tcPr>
          <w:p w14:paraId="504E9520"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Goffstown</w:t>
            </w:r>
          </w:p>
        </w:tc>
        <w:tc>
          <w:tcPr>
            <w:tcW w:w="752" w:type="dxa"/>
            <w:tcBorders>
              <w:top w:val="single" w:sz="4" w:space="0" w:color="auto"/>
              <w:left w:val="single" w:sz="4" w:space="0" w:color="auto"/>
              <w:bottom w:val="single" w:sz="4" w:space="0" w:color="auto"/>
              <w:right w:val="nil"/>
            </w:tcBorders>
            <w:shd w:val="clear" w:color="000000" w:fill="F2F2F2"/>
            <w:noWrap/>
            <w:vAlign w:val="bottom"/>
            <w:hideMark/>
          </w:tcPr>
          <w:p w14:paraId="71BBCF27"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4.5%</w:t>
            </w:r>
          </w:p>
        </w:tc>
        <w:tc>
          <w:tcPr>
            <w:tcW w:w="752" w:type="dxa"/>
            <w:tcBorders>
              <w:top w:val="single" w:sz="4" w:space="0" w:color="auto"/>
              <w:left w:val="nil"/>
              <w:bottom w:val="single" w:sz="4" w:space="0" w:color="auto"/>
              <w:right w:val="nil"/>
            </w:tcBorders>
            <w:shd w:val="clear" w:color="000000" w:fill="F2F2F2"/>
            <w:noWrap/>
            <w:vAlign w:val="bottom"/>
            <w:hideMark/>
          </w:tcPr>
          <w:p w14:paraId="4D0705E6"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1.5%</w:t>
            </w:r>
          </w:p>
        </w:tc>
        <w:tc>
          <w:tcPr>
            <w:tcW w:w="752" w:type="dxa"/>
            <w:tcBorders>
              <w:top w:val="single" w:sz="4" w:space="0" w:color="auto"/>
              <w:left w:val="nil"/>
              <w:bottom w:val="single" w:sz="4" w:space="0" w:color="auto"/>
              <w:right w:val="nil"/>
            </w:tcBorders>
            <w:shd w:val="clear" w:color="000000" w:fill="F2F2F2"/>
            <w:noWrap/>
            <w:vAlign w:val="bottom"/>
            <w:hideMark/>
          </w:tcPr>
          <w:p w14:paraId="217A36C7"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0.9%</w:t>
            </w:r>
          </w:p>
        </w:tc>
        <w:tc>
          <w:tcPr>
            <w:tcW w:w="795" w:type="dxa"/>
            <w:tcBorders>
              <w:top w:val="single" w:sz="4" w:space="0" w:color="auto"/>
              <w:left w:val="nil"/>
              <w:bottom w:val="single" w:sz="4" w:space="0" w:color="auto"/>
              <w:right w:val="single" w:sz="4" w:space="0" w:color="auto"/>
            </w:tcBorders>
            <w:shd w:val="clear" w:color="000000" w:fill="F2F2F2"/>
            <w:noWrap/>
            <w:vAlign w:val="bottom"/>
            <w:hideMark/>
          </w:tcPr>
          <w:p w14:paraId="68942B2F"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0.4%</w:t>
            </w:r>
          </w:p>
        </w:tc>
        <w:tc>
          <w:tcPr>
            <w:tcW w:w="716" w:type="dxa"/>
            <w:tcBorders>
              <w:top w:val="single" w:sz="4" w:space="0" w:color="auto"/>
              <w:left w:val="nil"/>
              <w:bottom w:val="single" w:sz="4" w:space="0" w:color="auto"/>
              <w:right w:val="nil"/>
            </w:tcBorders>
            <w:shd w:val="clear" w:color="000000" w:fill="F2F2F2"/>
            <w:noWrap/>
            <w:vAlign w:val="bottom"/>
            <w:hideMark/>
          </w:tcPr>
          <w:p w14:paraId="1749A170"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1.3%</w:t>
            </w:r>
          </w:p>
        </w:tc>
        <w:tc>
          <w:tcPr>
            <w:tcW w:w="763" w:type="dxa"/>
            <w:tcBorders>
              <w:top w:val="single" w:sz="4" w:space="0" w:color="auto"/>
              <w:left w:val="nil"/>
              <w:bottom w:val="single" w:sz="4" w:space="0" w:color="auto"/>
              <w:right w:val="nil"/>
            </w:tcBorders>
            <w:shd w:val="clear" w:color="000000" w:fill="F2F2F2"/>
            <w:noWrap/>
            <w:vAlign w:val="bottom"/>
            <w:hideMark/>
          </w:tcPr>
          <w:p w14:paraId="7EC306B9"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0.6%</w:t>
            </w:r>
          </w:p>
        </w:tc>
      </w:tr>
      <w:tr w:rsidR="00261E47" w:rsidRPr="00C64BA4" w14:paraId="7BD4B2F7" w14:textId="77777777" w:rsidTr="00366ACF">
        <w:trPr>
          <w:trHeight w:val="300"/>
        </w:trPr>
        <w:tc>
          <w:tcPr>
            <w:tcW w:w="1351" w:type="dxa"/>
            <w:tcBorders>
              <w:top w:val="nil"/>
              <w:left w:val="nil"/>
              <w:bottom w:val="nil"/>
              <w:right w:val="nil"/>
            </w:tcBorders>
            <w:shd w:val="clear" w:color="auto" w:fill="auto"/>
            <w:noWrap/>
            <w:vAlign w:val="bottom"/>
            <w:hideMark/>
          </w:tcPr>
          <w:p w14:paraId="7EFD0F22"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Hooksett</w:t>
            </w:r>
          </w:p>
        </w:tc>
        <w:tc>
          <w:tcPr>
            <w:tcW w:w="752" w:type="dxa"/>
            <w:tcBorders>
              <w:top w:val="nil"/>
              <w:left w:val="single" w:sz="4" w:space="0" w:color="auto"/>
              <w:bottom w:val="nil"/>
              <w:right w:val="nil"/>
            </w:tcBorders>
            <w:shd w:val="clear" w:color="auto" w:fill="auto"/>
            <w:noWrap/>
            <w:vAlign w:val="bottom"/>
            <w:hideMark/>
          </w:tcPr>
          <w:p w14:paraId="4D3A7DFE"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4.0%</w:t>
            </w:r>
          </w:p>
        </w:tc>
        <w:tc>
          <w:tcPr>
            <w:tcW w:w="752" w:type="dxa"/>
            <w:tcBorders>
              <w:top w:val="nil"/>
              <w:left w:val="nil"/>
              <w:bottom w:val="nil"/>
              <w:right w:val="nil"/>
            </w:tcBorders>
            <w:shd w:val="clear" w:color="auto" w:fill="auto"/>
            <w:noWrap/>
            <w:vAlign w:val="bottom"/>
            <w:hideMark/>
          </w:tcPr>
          <w:p w14:paraId="58004FD1"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2.4%</w:t>
            </w:r>
          </w:p>
        </w:tc>
        <w:tc>
          <w:tcPr>
            <w:tcW w:w="752" w:type="dxa"/>
            <w:tcBorders>
              <w:top w:val="nil"/>
              <w:left w:val="nil"/>
              <w:bottom w:val="nil"/>
              <w:right w:val="nil"/>
            </w:tcBorders>
            <w:shd w:val="clear" w:color="auto" w:fill="auto"/>
            <w:noWrap/>
            <w:vAlign w:val="bottom"/>
            <w:hideMark/>
          </w:tcPr>
          <w:p w14:paraId="1F02D6E6"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2.0%</w:t>
            </w:r>
          </w:p>
        </w:tc>
        <w:tc>
          <w:tcPr>
            <w:tcW w:w="795" w:type="dxa"/>
            <w:tcBorders>
              <w:top w:val="nil"/>
              <w:left w:val="nil"/>
              <w:bottom w:val="nil"/>
              <w:right w:val="single" w:sz="4" w:space="0" w:color="auto"/>
            </w:tcBorders>
            <w:shd w:val="clear" w:color="auto" w:fill="auto"/>
            <w:noWrap/>
            <w:vAlign w:val="bottom"/>
            <w:hideMark/>
          </w:tcPr>
          <w:p w14:paraId="4AFB0474"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1.2%</w:t>
            </w:r>
          </w:p>
        </w:tc>
        <w:tc>
          <w:tcPr>
            <w:tcW w:w="716" w:type="dxa"/>
            <w:tcBorders>
              <w:top w:val="nil"/>
              <w:left w:val="nil"/>
              <w:bottom w:val="nil"/>
              <w:right w:val="nil"/>
            </w:tcBorders>
            <w:shd w:val="clear" w:color="auto" w:fill="auto"/>
            <w:noWrap/>
            <w:vAlign w:val="bottom"/>
            <w:hideMark/>
          </w:tcPr>
          <w:p w14:paraId="1AE6BA3F"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1.1%</w:t>
            </w:r>
          </w:p>
        </w:tc>
        <w:tc>
          <w:tcPr>
            <w:tcW w:w="763" w:type="dxa"/>
            <w:tcBorders>
              <w:top w:val="nil"/>
              <w:left w:val="nil"/>
              <w:bottom w:val="nil"/>
              <w:right w:val="nil"/>
            </w:tcBorders>
            <w:shd w:val="clear" w:color="auto" w:fill="auto"/>
            <w:noWrap/>
            <w:vAlign w:val="bottom"/>
            <w:hideMark/>
          </w:tcPr>
          <w:p w14:paraId="2083D024"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r>
      <w:tr w:rsidR="00261E47" w:rsidRPr="00C64BA4" w14:paraId="1A70EF91" w14:textId="77777777" w:rsidTr="00366ACF">
        <w:trPr>
          <w:trHeight w:val="300"/>
        </w:trPr>
        <w:tc>
          <w:tcPr>
            <w:tcW w:w="1351" w:type="dxa"/>
            <w:tcBorders>
              <w:top w:val="single" w:sz="4" w:space="0" w:color="auto"/>
              <w:left w:val="nil"/>
              <w:bottom w:val="single" w:sz="4" w:space="0" w:color="auto"/>
              <w:right w:val="nil"/>
            </w:tcBorders>
            <w:shd w:val="clear" w:color="000000" w:fill="F2F2F2"/>
            <w:noWrap/>
            <w:vAlign w:val="bottom"/>
            <w:hideMark/>
          </w:tcPr>
          <w:p w14:paraId="29E2AF48"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Londonderry</w:t>
            </w:r>
          </w:p>
        </w:tc>
        <w:tc>
          <w:tcPr>
            <w:tcW w:w="752" w:type="dxa"/>
            <w:tcBorders>
              <w:top w:val="single" w:sz="4" w:space="0" w:color="auto"/>
              <w:left w:val="single" w:sz="4" w:space="0" w:color="auto"/>
              <w:bottom w:val="single" w:sz="4" w:space="0" w:color="auto"/>
              <w:right w:val="nil"/>
            </w:tcBorders>
            <w:shd w:val="clear" w:color="000000" w:fill="F2F2F2"/>
            <w:noWrap/>
            <w:vAlign w:val="bottom"/>
            <w:hideMark/>
          </w:tcPr>
          <w:p w14:paraId="786B393D"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4.7%</w:t>
            </w:r>
          </w:p>
        </w:tc>
        <w:tc>
          <w:tcPr>
            <w:tcW w:w="752" w:type="dxa"/>
            <w:tcBorders>
              <w:top w:val="single" w:sz="4" w:space="0" w:color="auto"/>
              <w:left w:val="nil"/>
              <w:bottom w:val="single" w:sz="4" w:space="0" w:color="auto"/>
              <w:right w:val="nil"/>
            </w:tcBorders>
            <w:shd w:val="clear" w:color="000000" w:fill="F2F2F2"/>
            <w:noWrap/>
            <w:vAlign w:val="bottom"/>
            <w:hideMark/>
          </w:tcPr>
          <w:p w14:paraId="447FE26E"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1.5%</w:t>
            </w:r>
          </w:p>
        </w:tc>
        <w:tc>
          <w:tcPr>
            <w:tcW w:w="752" w:type="dxa"/>
            <w:tcBorders>
              <w:top w:val="single" w:sz="4" w:space="0" w:color="auto"/>
              <w:left w:val="nil"/>
              <w:bottom w:val="single" w:sz="4" w:space="0" w:color="auto"/>
              <w:right w:val="nil"/>
            </w:tcBorders>
            <w:shd w:val="clear" w:color="000000" w:fill="F2F2F2"/>
            <w:noWrap/>
            <w:vAlign w:val="bottom"/>
            <w:hideMark/>
          </w:tcPr>
          <w:p w14:paraId="791E66CE"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1.4%</w:t>
            </w:r>
          </w:p>
        </w:tc>
        <w:tc>
          <w:tcPr>
            <w:tcW w:w="795" w:type="dxa"/>
            <w:tcBorders>
              <w:top w:val="single" w:sz="4" w:space="0" w:color="auto"/>
              <w:left w:val="nil"/>
              <w:bottom w:val="single" w:sz="4" w:space="0" w:color="auto"/>
              <w:right w:val="single" w:sz="4" w:space="0" w:color="auto"/>
            </w:tcBorders>
            <w:shd w:val="clear" w:color="000000" w:fill="F2F2F2"/>
            <w:noWrap/>
            <w:vAlign w:val="bottom"/>
            <w:hideMark/>
          </w:tcPr>
          <w:p w14:paraId="1E5AECAA"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1.2%</w:t>
            </w:r>
          </w:p>
        </w:tc>
        <w:tc>
          <w:tcPr>
            <w:tcW w:w="716" w:type="dxa"/>
            <w:tcBorders>
              <w:top w:val="single" w:sz="4" w:space="0" w:color="auto"/>
              <w:left w:val="nil"/>
              <w:bottom w:val="single" w:sz="4" w:space="0" w:color="auto"/>
              <w:right w:val="nil"/>
            </w:tcBorders>
            <w:shd w:val="clear" w:color="000000" w:fill="F2F2F2"/>
            <w:noWrap/>
            <w:vAlign w:val="bottom"/>
            <w:hideMark/>
          </w:tcPr>
          <w:p w14:paraId="21360B1A"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1.1%</w:t>
            </w:r>
          </w:p>
        </w:tc>
        <w:tc>
          <w:tcPr>
            <w:tcW w:w="763" w:type="dxa"/>
            <w:tcBorders>
              <w:top w:val="single" w:sz="4" w:space="0" w:color="auto"/>
              <w:left w:val="nil"/>
              <w:bottom w:val="single" w:sz="4" w:space="0" w:color="auto"/>
              <w:right w:val="nil"/>
            </w:tcBorders>
            <w:shd w:val="clear" w:color="000000" w:fill="F2F2F2"/>
            <w:noWrap/>
            <w:vAlign w:val="bottom"/>
            <w:hideMark/>
          </w:tcPr>
          <w:p w14:paraId="3154BA04"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r>
      <w:tr w:rsidR="00261E47" w:rsidRPr="00C64BA4" w14:paraId="06D35222" w14:textId="77777777" w:rsidTr="00366ACF">
        <w:trPr>
          <w:trHeight w:val="300"/>
        </w:trPr>
        <w:tc>
          <w:tcPr>
            <w:tcW w:w="1351" w:type="dxa"/>
            <w:tcBorders>
              <w:top w:val="nil"/>
              <w:left w:val="nil"/>
              <w:bottom w:val="nil"/>
              <w:right w:val="nil"/>
            </w:tcBorders>
            <w:shd w:val="clear" w:color="auto" w:fill="auto"/>
            <w:noWrap/>
            <w:vAlign w:val="bottom"/>
            <w:hideMark/>
          </w:tcPr>
          <w:p w14:paraId="79A3456B"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Manchester</w:t>
            </w:r>
          </w:p>
        </w:tc>
        <w:tc>
          <w:tcPr>
            <w:tcW w:w="752" w:type="dxa"/>
            <w:tcBorders>
              <w:top w:val="nil"/>
              <w:left w:val="single" w:sz="4" w:space="0" w:color="auto"/>
              <w:bottom w:val="nil"/>
              <w:right w:val="nil"/>
            </w:tcBorders>
            <w:shd w:val="clear" w:color="auto" w:fill="auto"/>
            <w:noWrap/>
            <w:vAlign w:val="bottom"/>
            <w:hideMark/>
          </w:tcPr>
          <w:p w14:paraId="07AB1F79"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2.4%</w:t>
            </w:r>
          </w:p>
        </w:tc>
        <w:tc>
          <w:tcPr>
            <w:tcW w:w="752" w:type="dxa"/>
            <w:tcBorders>
              <w:top w:val="nil"/>
              <w:left w:val="nil"/>
              <w:bottom w:val="nil"/>
              <w:right w:val="nil"/>
            </w:tcBorders>
            <w:shd w:val="clear" w:color="auto" w:fill="auto"/>
            <w:noWrap/>
            <w:vAlign w:val="bottom"/>
            <w:hideMark/>
          </w:tcPr>
          <w:p w14:paraId="4AE31356"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0.3%</w:t>
            </w:r>
          </w:p>
        </w:tc>
        <w:tc>
          <w:tcPr>
            <w:tcW w:w="752" w:type="dxa"/>
            <w:tcBorders>
              <w:top w:val="nil"/>
              <w:left w:val="nil"/>
              <w:bottom w:val="nil"/>
              <w:right w:val="nil"/>
            </w:tcBorders>
            <w:shd w:val="clear" w:color="auto" w:fill="auto"/>
            <w:noWrap/>
            <w:vAlign w:val="bottom"/>
            <w:hideMark/>
          </w:tcPr>
          <w:p w14:paraId="0469B4CB"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0.7%</w:t>
            </w:r>
          </w:p>
        </w:tc>
        <w:tc>
          <w:tcPr>
            <w:tcW w:w="795" w:type="dxa"/>
            <w:tcBorders>
              <w:top w:val="nil"/>
              <w:left w:val="nil"/>
              <w:bottom w:val="nil"/>
              <w:right w:val="single" w:sz="4" w:space="0" w:color="auto"/>
            </w:tcBorders>
            <w:shd w:val="clear" w:color="auto" w:fill="auto"/>
            <w:noWrap/>
            <w:vAlign w:val="bottom"/>
            <w:hideMark/>
          </w:tcPr>
          <w:p w14:paraId="66498E76"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0.4%</w:t>
            </w:r>
          </w:p>
        </w:tc>
        <w:tc>
          <w:tcPr>
            <w:tcW w:w="716" w:type="dxa"/>
            <w:tcBorders>
              <w:top w:val="nil"/>
              <w:left w:val="nil"/>
              <w:bottom w:val="nil"/>
              <w:right w:val="nil"/>
            </w:tcBorders>
            <w:shd w:val="clear" w:color="auto" w:fill="auto"/>
            <w:noWrap/>
            <w:vAlign w:val="bottom"/>
            <w:hideMark/>
          </w:tcPr>
          <w:p w14:paraId="2EEB1FFB"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1.1%</w:t>
            </w:r>
          </w:p>
        </w:tc>
        <w:tc>
          <w:tcPr>
            <w:tcW w:w="763" w:type="dxa"/>
            <w:tcBorders>
              <w:top w:val="nil"/>
              <w:left w:val="nil"/>
              <w:bottom w:val="nil"/>
              <w:right w:val="nil"/>
            </w:tcBorders>
            <w:shd w:val="clear" w:color="auto" w:fill="auto"/>
            <w:noWrap/>
            <w:vAlign w:val="bottom"/>
            <w:hideMark/>
          </w:tcPr>
          <w:p w14:paraId="0D36B53B"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r>
      <w:tr w:rsidR="00261E47" w:rsidRPr="00C64BA4" w14:paraId="02199B2F" w14:textId="77777777" w:rsidTr="00366ACF">
        <w:trPr>
          <w:trHeight w:val="300"/>
        </w:trPr>
        <w:tc>
          <w:tcPr>
            <w:tcW w:w="1351" w:type="dxa"/>
            <w:tcBorders>
              <w:top w:val="single" w:sz="4" w:space="0" w:color="auto"/>
              <w:left w:val="nil"/>
              <w:bottom w:val="single" w:sz="4" w:space="0" w:color="auto"/>
              <w:right w:val="nil"/>
            </w:tcBorders>
            <w:shd w:val="clear" w:color="000000" w:fill="F2F2F2"/>
            <w:noWrap/>
            <w:vAlign w:val="bottom"/>
            <w:hideMark/>
          </w:tcPr>
          <w:p w14:paraId="74029094"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New Boston</w:t>
            </w:r>
          </w:p>
        </w:tc>
        <w:tc>
          <w:tcPr>
            <w:tcW w:w="752" w:type="dxa"/>
            <w:tcBorders>
              <w:top w:val="single" w:sz="4" w:space="0" w:color="auto"/>
              <w:left w:val="single" w:sz="4" w:space="0" w:color="auto"/>
              <w:bottom w:val="single" w:sz="4" w:space="0" w:color="auto"/>
              <w:right w:val="nil"/>
            </w:tcBorders>
            <w:shd w:val="clear" w:color="000000" w:fill="F2F2F2"/>
            <w:noWrap/>
            <w:vAlign w:val="bottom"/>
            <w:hideMark/>
          </w:tcPr>
          <w:p w14:paraId="217180BE"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6.8%</w:t>
            </w:r>
          </w:p>
        </w:tc>
        <w:tc>
          <w:tcPr>
            <w:tcW w:w="752" w:type="dxa"/>
            <w:tcBorders>
              <w:top w:val="single" w:sz="4" w:space="0" w:color="auto"/>
              <w:left w:val="nil"/>
              <w:bottom w:val="single" w:sz="4" w:space="0" w:color="auto"/>
              <w:right w:val="nil"/>
            </w:tcBorders>
            <w:shd w:val="clear" w:color="000000" w:fill="F2F2F2"/>
            <w:noWrap/>
            <w:vAlign w:val="bottom"/>
            <w:hideMark/>
          </w:tcPr>
          <w:p w14:paraId="1A64BFFC"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2.8%</w:t>
            </w:r>
          </w:p>
        </w:tc>
        <w:tc>
          <w:tcPr>
            <w:tcW w:w="752" w:type="dxa"/>
            <w:tcBorders>
              <w:top w:val="single" w:sz="4" w:space="0" w:color="auto"/>
              <w:left w:val="nil"/>
              <w:bottom w:val="single" w:sz="4" w:space="0" w:color="auto"/>
              <w:right w:val="nil"/>
            </w:tcBorders>
            <w:shd w:val="clear" w:color="000000" w:fill="F2F2F2"/>
            <w:noWrap/>
            <w:vAlign w:val="bottom"/>
            <w:hideMark/>
          </w:tcPr>
          <w:p w14:paraId="2625DA8D"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3.5%</w:t>
            </w:r>
          </w:p>
        </w:tc>
        <w:tc>
          <w:tcPr>
            <w:tcW w:w="795" w:type="dxa"/>
            <w:tcBorders>
              <w:top w:val="single" w:sz="4" w:space="0" w:color="auto"/>
              <w:left w:val="nil"/>
              <w:bottom w:val="single" w:sz="4" w:space="0" w:color="auto"/>
              <w:right w:val="single" w:sz="4" w:space="0" w:color="auto"/>
            </w:tcBorders>
            <w:shd w:val="clear" w:color="000000" w:fill="F2F2F2"/>
            <w:noWrap/>
            <w:vAlign w:val="bottom"/>
            <w:hideMark/>
          </w:tcPr>
          <w:p w14:paraId="153E08F3"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1.1%</w:t>
            </w:r>
          </w:p>
        </w:tc>
        <w:tc>
          <w:tcPr>
            <w:tcW w:w="716" w:type="dxa"/>
            <w:tcBorders>
              <w:top w:val="single" w:sz="4" w:space="0" w:color="auto"/>
              <w:left w:val="nil"/>
              <w:bottom w:val="single" w:sz="4" w:space="0" w:color="auto"/>
              <w:right w:val="nil"/>
            </w:tcBorders>
            <w:shd w:val="clear" w:color="000000" w:fill="F2F2F2"/>
            <w:noWrap/>
            <w:vAlign w:val="bottom"/>
            <w:hideMark/>
          </w:tcPr>
          <w:p w14:paraId="07EA0ED3"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1.2%</w:t>
            </w:r>
          </w:p>
        </w:tc>
        <w:tc>
          <w:tcPr>
            <w:tcW w:w="763" w:type="dxa"/>
            <w:tcBorders>
              <w:top w:val="single" w:sz="4" w:space="0" w:color="auto"/>
              <w:left w:val="nil"/>
              <w:bottom w:val="single" w:sz="4" w:space="0" w:color="auto"/>
              <w:right w:val="nil"/>
            </w:tcBorders>
            <w:shd w:val="clear" w:color="000000" w:fill="F2F2F2"/>
            <w:noWrap/>
            <w:vAlign w:val="bottom"/>
            <w:hideMark/>
          </w:tcPr>
          <w:p w14:paraId="39475F23"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0.6%</w:t>
            </w:r>
          </w:p>
        </w:tc>
      </w:tr>
      <w:tr w:rsidR="00261E47" w:rsidRPr="00C64BA4" w14:paraId="7A952804" w14:textId="77777777" w:rsidTr="00366ACF">
        <w:trPr>
          <w:trHeight w:val="300"/>
        </w:trPr>
        <w:tc>
          <w:tcPr>
            <w:tcW w:w="1351" w:type="dxa"/>
            <w:tcBorders>
              <w:top w:val="nil"/>
              <w:left w:val="nil"/>
              <w:bottom w:val="nil"/>
              <w:right w:val="nil"/>
            </w:tcBorders>
            <w:shd w:val="clear" w:color="auto" w:fill="auto"/>
            <w:noWrap/>
            <w:vAlign w:val="bottom"/>
            <w:hideMark/>
          </w:tcPr>
          <w:p w14:paraId="2B6308E8" w14:textId="77777777" w:rsidR="00261E47" w:rsidRPr="00C64BA4" w:rsidRDefault="00261E47" w:rsidP="00A17D67">
            <w:pPr>
              <w:keepNext/>
              <w:keepLines/>
              <w:spacing w:after="0" w:line="300" w:lineRule="auto"/>
              <w:jc w:val="center"/>
              <w:rPr>
                <w:rFonts w:eastAsia="Times New Roman" w:cs="Calibri"/>
                <w:color w:val="000000"/>
              </w:rPr>
            </w:pPr>
            <w:proofErr w:type="spellStart"/>
            <w:r w:rsidRPr="00C64BA4">
              <w:rPr>
                <w:rFonts w:eastAsia="Times New Roman" w:cs="Calibri"/>
                <w:color w:val="000000"/>
              </w:rPr>
              <w:t>Weare</w:t>
            </w:r>
            <w:proofErr w:type="spellEnd"/>
          </w:p>
        </w:tc>
        <w:tc>
          <w:tcPr>
            <w:tcW w:w="752" w:type="dxa"/>
            <w:tcBorders>
              <w:top w:val="nil"/>
              <w:left w:val="single" w:sz="4" w:space="0" w:color="auto"/>
              <w:bottom w:val="nil"/>
              <w:right w:val="nil"/>
            </w:tcBorders>
            <w:shd w:val="clear" w:color="auto" w:fill="auto"/>
            <w:noWrap/>
            <w:vAlign w:val="bottom"/>
            <w:hideMark/>
          </w:tcPr>
          <w:p w14:paraId="115973EB"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7.7%</w:t>
            </w:r>
          </w:p>
        </w:tc>
        <w:tc>
          <w:tcPr>
            <w:tcW w:w="752" w:type="dxa"/>
            <w:tcBorders>
              <w:top w:val="nil"/>
              <w:left w:val="nil"/>
              <w:bottom w:val="nil"/>
              <w:right w:val="nil"/>
            </w:tcBorders>
            <w:shd w:val="clear" w:color="auto" w:fill="auto"/>
            <w:noWrap/>
            <w:vAlign w:val="bottom"/>
            <w:hideMark/>
          </w:tcPr>
          <w:p w14:paraId="2FC0BB5D"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1.7%</w:t>
            </w:r>
          </w:p>
        </w:tc>
        <w:tc>
          <w:tcPr>
            <w:tcW w:w="752" w:type="dxa"/>
            <w:tcBorders>
              <w:top w:val="nil"/>
              <w:left w:val="nil"/>
              <w:bottom w:val="nil"/>
              <w:right w:val="nil"/>
            </w:tcBorders>
            <w:shd w:val="clear" w:color="auto" w:fill="auto"/>
            <w:noWrap/>
            <w:vAlign w:val="bottom"/>
            <w:hideMark/>
          </w:tcPr>
          <w:p w14:paraId="0FE0B315"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2.3%</w:t>
            </w:r>
          </w:p>
        </w:tc>
        <w:tc>
          <w:tcPr>
            <w:tcW w:w="795" w:type="dxa"/>
            <w:tcBorders>
              <w:top w:val="nil"/>
              <w:left w:val="nil"/>
              <w:bottom w:val="nil"/>
              <w:right w:val="single" w:sz="4" w:space="0" w:color="auto"/>
            </w:tcBorders>
            <w:shd w:val="clear" w:color="auto" w:fill="auto"/>
            <w:noWrap/>
            <w:vAlign w:val="bottom"/>
            <w:hideMark/>
          </w:tcPr>
          <w:p w14:paraId="3A42ED5E"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c>
          <w:tcPr>
            <w:tcW w:w="716" w:type="dxa"/>
            <w:tcBorders>
              <w:top w:val="nil"/>
              <w:left w:val="nil"/>
              <w:bottom w:val="nil"/>
              <w:right w:val="nil"/>
            </w:tcBorders>
            <w:shd w:val="clear" w:color="auto" w:fill="auto"/>
            <w:noWrap/>
            <w:vAlign w:val="bottom"/>
            <w:hideMark/>
          </w:tcPr>
          <w:p w14:paraId="34990697"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1.2%</w:t>
            </w:r>
          </w:p>
        </w:tc>
        <w:tc>
          <w:tcPr>
            <w:tcW w:w="763" w:type="dxa"/>
            <w:tcBorders>
              <w:top w:val="nil"/>
              <w:left w:val="nil"/>
              <w:bottom w:val="nil"/>
              <w:right w:val="nil"/>
            </w:tcBorders>
            <w:shd w:val="clear" w:color="auto" w:fill="auto"/>
            <w:noWrap/>
            <w:vAlign w:val="bottom"/>
            <w:hideMark/>
          </w:tcPr>
          <w:p w14:paraId="6D9EA7B8"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r>
      <w:tr w:rsidR="00261E47" w:rsidRPr="00C64BA4" w14:paraId="206E4245" w14:textId="77777777" w:rsidTr="00366ACF">
        <w:trPr>
          <w:trHeight w:val="315"/>
        </w:trPr>
        <w:tc>
          <w:tcPr>
            <w:tcW w:w="1351" w:type="dxa"/>
            <w:tcBorders>
              <w:top w:val="single" w:sz="4" w:space="0" w:color="auto"/>
              <w:left w:val="nil"/>
              <w:bottom w:val="single" w:sz="12" w:space="0" w:color="404040" w:themeColor="text1" w:themeTint="BF"/>
              <w:right w:val="nil"/>
            </w:tcBorders>
            <w:shd w:val="clear" w:color="000000" w:fill="F2F2F2"/>
            <w:noWrap/>
            <w:vAlign w:val="bottom"/>
            <w:hideMark/>
          </w:tcPr>
          <w:p w14:paraId="472D0A21"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Windham</w:t>
            </w:r>
          </w:p>
        </w:tc>
        <w:tc>
          <w:tcPr>
            <w:tcW w:w="752" w:type="dxa"/>
            <w:tcBorders>
              <w:top w:val="single" w:sz="4" w:space="0" w:color="auto"/>
              <w:left w:val="single" w:sz="4" w:space="0" w:color="auto"/>
              <w:bottom w:val="single" w:sz="12" w:space="0" w:color="404040" w:themeColor="text1" w:themeTint="BF"/>
              <w:right w:val="nil"/>
            </w:tcBorders>
            <w:shd w:val="clear" w:color="000000" w:fill="F2F2F2"/>
            <w:noWrap/>
            <w:vAlign w:val="bottom"/>
            <w:hideMark/>
          </w:tcPr>
          <w:p w14:paraId="25EA6463"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5.3%</w:t>
            </w:r>
          </w:p>
        </w:tc>
        <w:tc>
          <w:tcPr>
            <w:tcW w:w="752" w:type="dxa"/>
            <w:tcBorders>
              <w:top w:val="single" w:sz="4" w:space="0" w:color="auto"/>
              <w:left w:val="nil"/>
              <w:bottom w:val="single" w:sz="12" w:space="0" w:color="404040" w:themeColor="text1" w:themeTint="BF"/>
              <w:right w:val="nil"/>
            </w:tcBorders>
            <w:shd w:val="clear" w:color="000000" w:fill="F2F2F2"/>
            <w:noWrap/>
            <w:vAlign w:val="bottom"/>
            <w:hideMark/>
          </w:tcPr>
          <w:p w14:paraId="2C19FFFC"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1.7%</w:t>
            </w:r>
          </w:p>
        </w:tc>
        <w:tc>
          <w:tcPr>
            <w:tcW w:w="752" w:type="dxa"/>
            <w:tcBorders>
              <w:top w:val="single" w:sz="4" w:space="0" w:color="auto"/>
              <w:left w:val="nil"/>
              <w:bottom w:val="single" w:sz="12" w:space="0" w:color="404040" w:themeColor="text1" w:themeTint="BF"/>
              <w:right w:val="nil"/>
            </w:tcBorders>
            <w:shd w:val="clear" w:color="000000" w:fill="F2F2F2"/>
            <w:noWrap/>
            <w:vAlign w:val="bottom"/>
            <w:hideMark/>
          </w:tcPr>
          <w:p w14:paraId="7C7E2E1A"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3.2%</w:t>
            </w:r>
          </w:p>
        </w:tc>
        <w:tc>
          <w:tcPr>
            <w:tcW w:w="795" w:type="dxa"/>
            <w:tcBorders>
              <w:top w:val="single" w:sz="4" w:space="0" w:color="auto"/>
              <w:left w:val="nil"/>
              <w:bottom w:val="single" w:sz="12" w:space="0" w:color="404040" w:themeColor="text1" w:themeTint="BF"/>
              <w:right w:val="single" w:sz="4" w:space="0" w:color="auto"/>
            </w:tcBorders>
            <w:shd w:val="clear" w:color="000000" w:fill="F2F2F2"/>
            <w:noWrap/>
            <w:vAlign w:val="bottom"/>
            <w:hideMark/>
          </w:tcPr>
          <w:p w14:paraId="0FBB8732"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0.8%</w:t>
            </w:r>
          </w:p>
        </w:tc>
        <w:tc>
          <w:tcPr>
            <w:tcW w:w="716" w:type="dxa"/>
            <w:tcBorders>
              <w:top w:val="single" w:sz="4" w:space="0" w:color="auto"/>
              <w:left w:val="nil"/>
              <w:bottom w:val="single" w:sz="12" w:space="0" w:color="404040" w:themeColor="text1" w:themeTint="BF"/>
              <w:right w:val="nil"/>
            </w:tcBorders>
            <w:shd w:val="clear" w:color="000000" w:fill="F2F2F2"/>
            <w:noWrap/>
            <w:vAlign w:val="bottom"/>
            <w:hideMark/>
          </w:tcPr>
          <w:p w14:paraId="283E446F"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1.1%</w:t>
            </w:r>
          </w:p>
        </w:tc>
        <w:tc>
          <w:tcPr>
            <w:tcW w:w="763" w:type="dxa"/>
            <w:tcBorders>
              <w:top w:val="single" w:sz="4" w:space="0" w:color="auto"/>
              <w:left w:val="nil"/>
              <w:bottom w:val="single" w:sz="12" w:space="0" w:color="404040" w:themeColor="text1" w:themeTint="BF"/>
              <w:right w:val="nil"/>
            </w:tcBorders>
            <w:shd w:val="clear" w:color="000000" w:fill="F2F2F2"/>
            <w:noWrap/>
            <w:vAlign w:val="bottom"/>
            <w:hideMark/>
          </w:tcPr>
          <w:p w14:paraId="77D423CC"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r>
      <w:tr w:rsidR="00261E47" w:rsidRPr="00C64BA4" w14:paraId="6DA962E7" w14:textId="77777777" w:rsidTr="00366ACF">
        <w:trPr>
          <w:trHeight w:val="315"/>
        </w:trPr>
        <w:tc>
          <w:tcPr>
            <w:tcW w:w="1351" w:type="dxa"/>
            <w:tcBorders>
              <w:top w:val="single" w:sz="12" w:space="0" w:color="404040" w:themeColor="text1" w:themeTint="BF"/>
              <w:left w:val="nil"/>
              <w:bottom w:val="single" w:sz="12" w:space="0" w:color="404040" w:themeColor="text1" w:themeTint="BF"/>
              <w:right w:val="nil"/>
            </w:tcBorders>
            <w:shd w:val="clear" w:color="auto" w:fill="auto"/>
            <w:noWrap/>
            <w:vAlign w:val="bottom"/>
            <w:hideMark/>
          </w:tcPr>
          <w:p w14:paraId="40F11FF7"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SNHPC</w:t>
            </w:r>
          </w:p>
        </w:tc>
        <w:tc>
          <w:tcPr>
            <w:tcW w:w="752" w:type="dxa"/>
            <w:tcBorders>
              <w:top w:val="single" w:sz="12" w:space="0" w:color="404040" w:themeColor="text1" w:themeTint="BF"/>
              <w:left w:val="single" w:sz="4" w:space="0" w:color="auto"/>
              <w:bottom w:val="single" w:sz="12" w:space="0" w:color="404040" w:themeColor="text1" w:themeTint="BF"/>
              <w:right w:val="nil"/>
            </w:tcBorders>
            <w:shd w:val="clear" w:color="auto" w:fill="auto"/>
            <w:noWrap/>
            <w:vAlign w:val="bottom"/>
            <w:hideMark/>
          </w:tcPr>
          <w:p w14:paraId="7D642AD5"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3.6%</w:t>
            </w:r>
          </w:p>
        </w:tc>
        <w:tc>
          <w:tcPr>
            <w:tcW w:w="752" w:type="dxa"/>
            <w:tcBorders>
              <w:top w:val="single" w:sz="12" w:space="0" w:color="404040" w:themeColor="text1" w:themeTint="BF"/>
              <w:left w:val="nil"/>
              <w:bottom w:val="single" w:sz="12" w:space="0" w:color="404040" w:themeColor="text1" w:themeTint="BF"/>
              <w:right w:val="nil"/>
            </w:tcBorders>
            <w:shd w:val="clear" w:color="auto" w:fill="auto"/>
            <w:noWrap/>
            <w:vAlign w:val="bottom"/>
            <w:hideMark/>
          </w:tcPr>
          <w:p w14:paraId="06CC20FF"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1.1%</w:t>
            </w:r>
          </w:p>
        </w:tc>
        <w:tc>
          <w:tcPr>
            <w:tcW w:w="752" w:type="dxa"/>
            <w:tcBorders>
              <w:top w:val="single" w:sz="12" w:space="0" w:color="404040" w:themeColor="text1" w:themeTint="BF"/>
              <w:left w:val="nil"/>
              <w:bottom w:val="single" w:sz="12" w:space="0" w:color="404040" w:themeColor="text1" w:themeTint="BF"/>
              <w:right w:val="nil"/>
            </w:tcBorders>
            <w:shd w:val="clear" w:color="auto" w:fill="auto"/>
            <w:noWrap/>
            <w:vAlign w:val="bottom"/>
            <w:hideMark/>
          </w:tcPr>
          <w:p w14:paraId="601A949A"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1.1%</w:t>
            </w:r>
          </w:p>
        </w:tc>
        <w:tc>
          <w:tcPr>
            <w:tcW w:w="795" w:type="dxa"/>
            <w:tcBorders>
              <w:top w:val="single" w:sz="12" w:space="0" w:color="404040" w:themeColor="text1" w:themeTint="BF"/>
              <w:left w:val="nil"/>
              <w:bottom w:val="single" w:sz="12" w:space="0" w:color="404040" w:themeColor="text1" w:themeTint="BF"/>
              <w:right w:val="single" w:sz="4" w:space="0" w:color="auto"/>
            </w:tcBorders>
            <w:shd w:val="clear" w:color="auto" w:fill="auto"/>
            <w:noWrap/>
            <w:vAlign w:val="bottom"/>
            <w:hideMark/>
          </w:tcPr>
          <w:p w14:paraId="76C3BA19"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0.7%</w:t>
            </w:r>
          </w:p>
        </w:tc>
        <w:tc>
          <w:tcPr>
            <w:tcW w:w="716" w:type="dxa"/>
            <w:tcBorders>
              <w:top w:val="single" w:sz="12" w:space="0" w:color="404040" w:themeColor="text1" w:themeTint="BF"/>
              <w:left w:val="nil"/>
              <w:bottom w:val="single" w:sz="12" w:space="0" w:color="404040" w:themeColor="text1" w:themeTint="BF"/>
              <w:right w:val="nil"/>
            </w:tcBorders>
            <w:shd w:val="clear" w:color="auto" w:fill="auto"/>
            <w:noWrap/>
            <w:vAlign w:val="bottom"/>
            <w:hideMark/>
          </w:tcPr>
          <w:p w14:paraId="4DC74F56"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1.1%</w:t>
            </w:r>
          </w:p>
        </w:tc>
        <w:tc>
          <w:tcPr>
            <w:tcW w:w="763" w:type="dxa"/>
            <w:tcBorders>
              <w:top w:val="single" w:sz="12" w:space="0" w:color="404040" w:themeColor="text1" w:themeTint="BF"/>
              <w:left w:val="nil"/>
              <w:bottom w:val="single" w:sz="12" w:space="0" w:color="404040" w:themeColor="text1" w:themeTint="BF"/>
              <w:right w:val="nil"/>
            </w:tcBorders>
            <w:shd w:val="clear" w:color="auto" w:fill="auto"/>
            <w:noWrap/>
            <w:vAlign w:val="bottom"/>
            <w:hideMark/>
          </w:tcPr>
          <w:p w14:paraId="723B72A0"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0.5%</w:t>
            </w:r>
          </w:p>
        </w:tc>
      </w:tr>
      <w:tr w:rsidR="00261E47" w:rsidRPr="00C64BA4" w14:paraId="0BA04F32" w14:textId="77777777" w:rsidTr="00366ACF">
        <w:trPr>
          <w:trHeight w:val="300"/>
        </w:trPr>
        <w:tc>
          <w:tcPr>
            <w:tcW w:w="1351" w:type="dxa"/>
            <w:tcBorders>
              <w:top w:val="single" w:sz="12" w:space="0" w:color="404040" w:themeColor="text1" w:themeTint="BF"/>
              <w:left w:val="nil"/>
              <w:bottom w:val="nil"/>
              <w:right w:val="nil"/>
            </w:tcBorders>
            <w:shd w:val="clear" w:color="000000" w:fill="F2F2F2"/>
            <w:noWrap/>
            <w:vAlign w:val="bottom"/>
            <w:hideMark/>
          </w:tcPr>
          <w:p w14:paraId="16441EA6"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NH</w:t>
            </w:r>
          </w:p>
        </w:tc>
        <w:tc>
          <w:tcPr>
            <w:tcW w:w="752" w:type="dxa"/>
            <w:tcBorders>
              <w:top w:val="single" w:sz="12" w:space="0" w:color="404040" w:themeColor="text1" w:themeTint="BF"/>
              <w:left w:val="single" w:sz="4" w:space="0" w:color="auto"/>
              <w:bottom w:val="nil"/>
              <w:right w:val="nil"/>
            </w:tcBorders>
            <w:shd w:val="clear" w:color="000000" w:fill="F2F2F2"/>
            <w:noWrap/>
            <w:vAlign w:val="bottom"/>
            <w:hideMark/>
          </w:tcPr>
          <w:p w14:paraId="4E587AFB"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3.0%</w:t>
            </w:r>
          </w:p>
        </w:tc>
        <w:tc>
          <w:tcPr>
            <w:tcW w:w="752" w:type="dxa"/>
            <w:tcBorders>
              <w:top w:val="single" w:sz="12" w:space="0" w:color="404040" w:themeColor="text1" w:themeTint="BF"/>
              <w:left w:val="nil"/>
              <w:bottom w:val="nil"/>
              <w:right w:val="nil"/>
            </w:tcBorders>
            <w:shd w:val="clear" w:color="000000" w:fill="F2F2F2"/>
            <w:noWrap/>
            <w:vAlign w:val="bottom"/>
            <w:hideMark/>
          </w:tcPr>
          <w:p w14:paraId="3372BD43"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0.9%</w:t>
            </w:r>
          </w:p>
        </w:tc>
        <w:tc>
          <w:tcPr>
            <w:tcW w:w="752" w:type="dxa"/>
            <w:tcBorders>
              <w:top w:val="single" w:sz="12" w:space="0" w:color="404040" w:themeColor="text1" w:themeTint="BF"/>
              <w:left w:val="nil"/>
              <w:bottom w:val="nil"/>
              <w:right w:val="nil"/>
            </w:tcBorders>
            <w:shd w:val="clear" w:color="000000" w:fill="F2F2F2"/>
            <w:noWrap/>
            <w:vAlign w:val="bottom"/>
            <w:hideMark/>
          </w:tcPr>
          <w:p w14:paraId="53D37128"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1.2%</w:t>
            </w:r>
          </w:p>
        </w:tc>
        <w:tc>
          <w:tcPr>
            <w:tcW w:w="795" w:type="dxa"/>
            <w:tcBorders>
              <w:top w:val="single" w:sz="12" w:space="0" w:color="404040" w:themeColor="text1" w:themeTint="BF"/>
              <w:left w:val="nil"/>
              <w:bottom w:val="nil"/>
              <w:right w:val="single" w:sz="4" w:space="0" w:color="auto"/>
            </w:tcBorders>
            <w:shd w:val="clear" w:color="000000" w:fill="F2F2F2"/>
            <w:noWrap/>
            <w:vAlign w:val="bottom"/>
            <w:hideMark/>
          </w:tcPr>
          <w:p w14:paraId="71A8DFBF"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0.4%</w:t>
            </w:r>
          </w:p>
        </w:tc>
        <w:tc>
          <w:tcPr>
            <w:tcW w:w="716" w:type="dxa"/>
            <w:tcBorders>
              <w:top w:val="single" w:sz="12" w:space="0" w:color="404040" w:themeColor="text1" w:themeTint="BF"/>
              <w:left w:val="nil"/>
              <w:bottom w:val="nil"/>
              <w:right w:val="nil"/>
            </w:tcBorders>
            <w:shd w:val="clear" w:color="000000" w:fill="F2F2F2"/>
            <w:noWrap/>
            <w:vAlign w:val="bottom"/>
            <w:hideMark/>
          </w:tcPr>
          <w:p w14:paraId="769CA8E1"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0.9%</w:t>
            </w:r>
          </w:p>
        </w:tc>
        <w:tc>
          <w:tcPr>
            <w:tcW w:w="763" w:type="dxa"/>
            <w:tcBorders>
              <w:top w:val="single" w:sz="12" w:space="0" w:color="404040" w:themeColor="text1" w:themeTint="BF"/>
              <w:left w:val="nil"/>
              <w:bottom w:val="nil"/>
              <w:right w:val="nil"/>
            </w:tcBorders>
            <w:shd w:val="clear" w:color="000000" w:fill="F2F2F2"/>
            <w:noWrap/>
            <w:vAlign w:val="bottom"/>
            <w:hideMark/>
          </w:tcPr>
          <w:p w14:paraId="7307C1BC" w14:textId="77777777" w:rsidR="00261E47" w:rsidRPr="00C64BA4" w:rsidRDefault="00261E47" w:rsidP="00A17D67">
            <w:pPr>
              <w:keepNext/>
              <w:keepLines/>
              <w:spacing w:after="0" w:line="300" w:lineRule="auto"/>
              <w:jc w:val="center"/>
              <w:rPr>
                <w:rFonts w:eastAsia="Times New Roman" w:cs="Calibri"/>
                <w:color w:val="000000"/>
              </w:rPr>
            </w:pPr>
            <w:r w:rsidRPr="00C64BA4">
              <w:rPr>
                <w:rFonts w:eastAsia="Times New Roman" w:cs="Calibri"/>
                <w:color w:val="000000"/>
              </w:rPr>
              <w:t>0.4%</w:t>
            </w:r>
          </w:p>
        </w:tc>
      </w:tr>
      <w:tr w:rsidR="00261E47" w:rsidRPr="00C64BA4" w14:paraId="605C11EF" w14:textId="77777777" w:rsidTr="00366ACF">
        <w:trPr>
          <w:trHeight w:val="510"/>
        </w:trPr>
        <w:tc>
          <w:tcPr>
            <w:tcW w:w="5881" w:type="dxa"/>
            <w:gridSpan w:val="7"/>
            <w:tcBorders>
              <w:top w:val="nil"/>
              <w:left w:val="nil"/>
              <w:bottom w:val="nil"/>
              <w:right w:val="nil"/>
            </w:tcBorders>
            <w:shd w:val="clear" w:color="auto" w:fill="auto"/>
            <w:vAlign w:val="bottom"/>
            <w:hideMark/>
          </w:tcPr>
          <w:p w14:paraId="200AFB6C" w14:textId="15C7B83D" w:rsidR="00261E47" w:rsidRPr="00C64BA4" w:rsidRDefault="00261E47" w:rsidP="00A17D67">
            <w:pPr>
              <w:keepNext/>
              <w:keepLines/>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Sources: IPUMS National Historical Geographic Information</w:t>
            </w:r>
            <w:r w:rsidRPr="00C64BA4">
              <w:rPr>
                <w:rFonts w:eastAsia="Times New Roman" w:cs="Calibri"/>
                <w:color w:val="000000"/>
                <w:sz w:val="20"/>
                <w:szCs w:val="20"/>
              </w:rPr>
              <w:br/>
              <w:t>System; Root Policy</w:t>
            </w:r>
            <w:r w:rsidR="00582975">
              <w:rPr>
                <w:rFonts w:eastAsia="Times New Roman" w:cs="Calibri"/>
                <w:color w:val="000000"/>
                <w:sz w:val="20"/>
                <w:szCs w:val="20"/>
              </w:rPr>
              <w:t xml:space="preserve"> Research</w:t>
            </w:r>
            <w:r w:rsidRPr="00C64BA4">
              <w:rPr>
                <w:rFonts w:eastAsia="Times New Roman" w:cs="Calibri"/>
                <w:color w:val="000000"/>
                <w:sz w:val="20"/>
                <w:szCs w:val="20"/>
              </w:rPr>
              <w:t>; US Census Bureau.</w:t>
            </w:r>
          </w:p>
        </w:tc>
      </w:tr>
    </w:tbl>
    <w:p w14:paraId="7B9CAAAD" w14:textId="7D275537" w:rsidR="0070207A" w:rsidRDefault="0070207A" w:rsidP="00206C45">
      <w:pPr>
        <w:spacing w:line="300" w:lineRule="auto"/>
      </w:pPr>
    </w:p>
    <w:p w14:paraId="68FD1298" w14:textId="1FE44A38" w:rsidR="00CB5B8D" w:rsidRDefault="00A32EB3" w:rsidP="00206C45">
      <w:pPr>
        <w:spacing w:line="300" w:lineRule="auto"/>
      </w:pPr>
      <w:r>
        <w:t>Looking at individual communities, often there are decades in which housing growth varied widely</w:t>
      </w:r>
      <w:r w:rsidR="00B20ED9">
        <w:t>.  O</w:t>
      </w:r>
      <w:r>
        <w:t>ften</w:t>
      </w:r>
      <w:r w:rsidR="00B20ED9">
        <w:t>,</w:t>
      </w:r>
      <w:r>
        <w:t xml:space="preserve"> this may be due to </w:t>
      </w:r>
      <w:r w:rsidR="00B20ED9">
        <w:t>one</w:t>
      </w:r>
      <w:r>
        <w:t xml:space="preserve"> multi-family project being built or a large subdivision </w:t>
      </w:r>
      <w:r w:rsidR="00B20ED9">
        <w:t xml:space="preserve">that was approved in the past is finally </w:t>
      </w:r>
      <w:r>
        <w:t>being built out.  Still, as this is focused on just housing numbers, many communities are near the growth rate projected for the next decade</w:t>
      </w:r>
      <w:r w:rsidR="00B20ED9">
        <w:t>, while some communities have not had as much housing growth in recent years.</w:t>
      </w:r>
    </w:p>
    <w:p w14:paraId="1400080F" w14:textId="77777777" w:rsidR="00987162" w:rsidRDefault="00987162" w:rsidP="00206C45">
      <w:pPr>
        <w:spacing w:line="300" w:lineRule="auto"/>
      </w:pPr>
    </w:p>
    <w:p w14:paraId="3CC06EDF" w14:textId="77777777" w:rsidR="0070207A" w:rsidRDefault="0070207A" w:rsidP="00206C45">
      <w:pPr>
        <w:spacing w:line="300" w:lineRule="auto"/>
      </w:pPr>
    </w:p>
    <w:p w14:paraId="2E2CFCB5" w14:textId="77777777" w:rsidR="0070207A" w:rsidRDefault="0070207A" w:rsidP="00206C45">
      <w:pPr>
        <w:spacing w:line="300" w:lineRule="auto"/>
      </w:pPr>
    </w:p>
    <w:p w14:paraId="60032C29" w14:textId="77777777" w:rsidR="0070207A" w:rsidRDefault="0070207A" w:rsidP="00206C45">
      <w:pPr>
        <w:spacing w:line="300" w:lineRule="auto"/>
      </w:pPr>
    </w:p>
    <w:p w14:paraId="535A91D6" w14:textId="77777777" w:rsidR="0070207A" w:rsidRDefault="0070207A" w:rsidP="00206C45">
      <w:pPr>
        <w:spacing w:line="300" w:lineRule="auto"/>
      </w:pPr>
    </w:p>
    <w:p w14:paraId="2345E064" w14:textId="77777777" w:rsidR="0070207A" w:rsidRDefault="0070207A" w:rsidP="00206C45">
      <w:pPr>
        <w:spacing w:line="300" w:lineRule="auto"/>
      </w:pPr>
    </w:p>
    <w:p w14:paraId="793A5A74" w14:textId="77777777" w:rsidR="0070207A" w:rsidRDefault="0070207A" w:rsidP="00206C45">
      <w:pPr>
        <w:spacing w:line="300" w:lineRule="auto"/>
      </w:pPr>
    </w:p>
    <w:p w14:paraId="5DE468E4" w14:textId="77777777" w:rsidR="0070207A" w:rsidRDefault="0070207A" w:rsidP="00206C45">
      <w:pPr>
        <w:spacing w:line="300" w:lineRule="auto"/>
      </w:pPr>
    </w:p>
    <w:p w14:paraId="68F8044F" w14:textId="77777777" w:rsidR="0021177A" w:rsidRDefault="0070207A" w:rsidP="0021177A">
      <w:pPr>
        <w:keepNext/>
        <w:spacing w:line="300" w:lineRule="auto"/>
      </w:pPr>
      <w:r>
        <w:rPr>
          <w:noProof/>
        </w:rPr>
        <w:drawing>
          <wp:inline distT="0" distB="0" distL="0" distR="0" wp14:anchorId="64B78237" wp14:editId="6F0B6BF8">
            <wp:extent cx="4572000" cy="5343525"/>
            <wp:effectExtent l="0" t="0" r="0" b="9525"/>
            <wp:docPr id="9" name="Chart 9">
              <a:extLst xmlns:a="http://schemas.openxmlformats.org/drawingml/2006/main">
                <a:ext uri="{FF2B5EF4-FFF2-40B4-BE49-F238E27FC236}">
                  <a16:creationId xmlns:a16="http://schemas.microsoft.com/office/drawing/2014/main" id="{15F4AE77-E630-444A-9975-CCB876DF82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57C65A7" w14:textId="0FCA386A" w:rsidR="00261E47" w:rsidRPr="00C64BA4" w:rsidRDefault="0021177A" w:rsidP="0021177A">
      <w:pPr>
        <w:pStyle w:val="Caption"/>
      </w:pPr>
      <w:bookmarkStart w:id="196" w:name="_Toc128137878"/>
      <w:r>
        <w:t xml:space="preserve">Figure </w:t>
      </w:r>
      <w:r w:rsidR="0062538A">
        <w:fldChar w:fldCharType="begin"/>
      </w:r>
      <w:r w:rsidR="0062538A">
        <w:instrText xml:space="preserve"> SEQ Figure \* ARABIC </w:instrText>
      </w:r>
      <w:r w:rsidR="0062538A">
        <w:fldChar w:fldCharType="separate"/>
      </w:r>
      <w:r w:rsidR="00E75682">
        <w:rPr>
          <w:noProof/>
        </w:rPr>
        <w:t>19</w:t>
      </w:r>
      <w:r w:rsidR="0062538A">
        <w:rPr>
          <w:noProof/>
        </w:rPr>
        <w:fldChar w:fldCharType="end"/>
      </w:r>
      <w:r>
        <w:t>: Average Annual SNHPC Net New Housing Units</w:t>
      </w:r>
      <w:bookmarkEnd w:id="196"/>
    </w:p>
    <w:p w14:paraId="15B7A3D4" w14:textId="70EDAB32" w:rsidR="00BE07E5" w:rsidRPr="00CB3E1E" w:rsidRDefault="376D50E2" w:rsidP="00206C45">
      <w:pPr>
        <w:pStyle w:val="Heading2"/>
        <w:spacing w:line="300" w:lineRule="auto"/>
      </w:pPr>
      <w:bookmarkStart w:id="197" w:name="_Toc1868107711"/>
      <w:bookmarkStart w:id="198" w:name="_Toc2040581610"/>
      <w:bookmarkStart w:id="199" w:name="_Toc128137983"/>
      <w:r w:rsidRPr="00CB3E1E">
        <w:t>Methodology</w:t>
      </w:r>
      <w:bookmarkEnd w:id="197"/>
      <w:bookmarkEnd w:id="198"/>
      <w:bookmarkEnd w:id="199"/>
    </w:p>
    <w:p w14:paraId="5EF5DCF4" w14:textId="240D92B1" w:rsidR="0035314F" w:rsidRDefault="0035314F" w:rsidP="0035314F">
      <w:pPr>
        <w:spacing w:line="300" w:lineRule="auto"/>
        <w:rPr>
          <w:rFonts w:ascii="Tw Cen MT" w:hAnsi="Tw Cen MT"/>
        </w:rPr>
      </w:pPr>
      <w:r w:rsidRPr="007C5077">
        <w:rPr>
          <w:rFonts w:ascii="Tw Cen MT" w:hAnsi="Tw Cen MT"/>
        </w:rPr>
        <w:t xml:space="preserve">The </w:t>
      </w:r>
      <w:r>
        <w:rPr>
          <w:rFonts w:ascii="Tw Cen MT" w:hAnsi="Tw Cen MT"/>
        </w:rPr>
        <w:t xml:space="preserve">Fair Share Housing Production Model is driven primarily by population and employment projections. </w:t>
      </w:r>
      <w:r w:rsidR="005E4CB4">
        <w:rPr>
          <w:rFonts w:ascii="Tw Cen MT" w:hAnsi="Tw Cen MT"/>
        </w:rPr>
        <w:t>A</w:t>
      </w:r>
      <w:r>
        <w:rPr>
          <w:rFonts w:ascii="Tw Cen MT" w:hAnsi="Tw Cen MT"/>
        </w:rPr>
        <w:t xml:space="preserve"> detailed description of the model’s methodology as explained in the </w:t>
      </w:r>
      <w:r w:rsidRPr="004C1469">
        <w:rPr>
          <w:rFonts w:ascii="Tw Cen MT" w:hAnsi="Tw Cen MT"/>
          <w:highlight w:val="yellow"/>
        </w:rPr>
        <w:t>model’s final report</w:t>
      </w:r>
      <w:r w:rsidR="005E4CB4">
        <w:rPr>
          <w:rFonts w:ascii="Tw Cen MT" w:hAnsi="Tw Cen MT"/>
        </w:rPr>
        <w:t xml:space="preserve"> is provided here:</w:t>
      </w:r>
    </w:p>
    <w:p w14:paraId="192A73DB" w14:textId="77804BD6" w:rsidR="0035314F" w:rsidRPr="00B20ED9" w:rsidRDefault="0035314F" w:rsidP="0035314F">
      <w:pPr>
        <w:tabs>
          <w:tab w:val="left" w:pos="720"/>
        </w:tabs>
        <w:spacing w:line="264" w:lineRule="auto"/>
        <w:ind w:left="720"/>
        <w:rPr>
          <w:rFonts w:ascii="Tw Cen MT" w:eastAsia="Tw Cen MT" w:hAnsi="Tw Cen MT" w:cs="Tw Cen MT"/>
          <w:i/>
          <w:iCs/>
        </w:rPr>
      </w:pPr>
      <w:r w:rsidRPr="00B20ED9">
        <w:rPr>
          <w:rFonts w:ascii="Tw Cen MT" w:eastAsia="Tw Cen MT" w:hAnsi="Tw Cen MT" w:cs="Tw Cen MT"/>
          <w:i/>
          <w:iCs/>
        </w:rPr>
        <w:t>The model begins with projected population growth for 2025, 2030, 2035, and 2040 at the municipal level based on demographic projections that were conducted by RLS Demographics.</w:t>
      </w:r>
      <w:r w:rsidR="00173C38" w:rsidRPr="004C1469">
        <w:rPr>
          <w:rFonts w:ascii="Tw Cen MT" w:eastAsia="Tw Cen MT" w:hAnsi="Tw Cen MT" w:cs="Tw Cen MT"/>
          <w:i/>
          <w:iCs/>
          <w:highlight w:val="yellow"/>
        </w:rPr>
        <w:footnoteReference w:id="51"/>
      </w:r>
    </w:p>
    <w:p w14:paraId="0CAB4BAA" w14:textId="09104C61" w:rsidR="0035314F" w:rsidRPr="00B20ED9" w:rsidRDefault="0035314F" w:rsidP="0035314F">
      <w:pPr>
        <w:tabs>
          <w:tab w:val="left" w:pos="720"/>
        </w:tabs>
        <w:spacing w:line="264" w:lineRule="auto"/>
        <w:ind w:left="720"/>
        <w:rPr>
          <w:rFonts w:ascii="Tw Cen MT" w:eastAsia="Tw Cen MT" w:hAnsi="Tw Cen MT" w:cs="Tw Cen MT"/>
          <w:i/>
          <w:iCs/>
        </w:rPr>
      </w:pPr>
      <w:r w:rsidRPr="00B20ED9">
        <w:rPr>
          <w:rFonts w:ascii="Tw Cen MT" w:eastAsia="Tw Cen MT" w:hAnsi="Tw Cen MT" w:cs="Tw Cen MT"/>
          <w:i/>
          <w:iCs/>
        </w:rPr>
        <w:lastRenderedPageBreak/>
        <w:t>The RLS demographic projections included estimated numbers of people (not households) by age cohort. To form residents into households, the model applies a “headship ratio,” which converts people into households based on the share of people to households, by age cohort, in 2020. The</w:t>
      </w:r>
      <w:r w:rsidRPr="00B20ED9">
        <w:rPr>
          <w:rFonts w:ascii="Open Sans" w:hAnsi="Open Sans" w:cs="Open Sans"/>
          <w:i/>
          <w:iCs/>
          <w:sz w:val="19"/>
          <w:szCs w:val="19"/>
        </w:rPr>
        <w:t xml:space="preserve"> </w:t>
      </w:r>
      <w:r w:rsidRPr="00B20ED9">
        <w:rPr>
          <w:rFonts w:ascii="Tw Cen MT" w:eastAsia="Tw Cen MT" w:hAnsi="Tw Cen MT" w:cs="Tw Cen MT"/>
          <w:i/>
          <w:iCs/>
        </w:rPr>
        <w:t>age cohort considerations are important to adjust for the variance in household sizes and formation through lifecycles.</w:t>
      </w:r>
      <w:r w:rsidR="00F218CA" w:rsidRPr="00B20ED9">
        <w:rPr>
          <w:rStyle w:val="FootnoteReference"/>
          <w:rFonts w:ascii="Tw Cen MT" w:eastAsia="Tw Cen MT" w:hAnsi="Tw Cen MT" w:cs="Tw Cen MT"/>
          <w:i/>
          <w:iCs/>
        </w:rPr>
        <w:footnoteReference w:id="52"/>
      </w:r>
    </w:p>
    <w:p w14:paraId="22826797" w14:textId="77777777" w:rsidR="0035314F" w:rsidRPr="00B20ED9" w:rsidRDefault="0035314F" w:rsidP="0035314F">
      <w:pPr>
        <w:tabs>
          <w:tab w:val="left" w:pos="720"/>
        </w:tabs>
        <w:spacing w:line="264" w:lineRule="auto"/>
        <w:ind w:left="720"/>
        <w:rPr>
          <w:rFonts w:asciiTheme="majorHAnsi" w:eastAsia="Tw Cen MT" w:hAnsiTheme="majorHAnsi" w:cs="Tw Cen MT"/>
          <w:i/>
          <w:iCs/>
        </w:rPr>
      </w:pPr>
      <w:r w:rsidRPr="00B20ED9">
        <w:rPr>
          <w:rFonts w:asciiTheme="majorHAnsi" w:hAnsiTheme="majorHAnsi" w:cs="Open Sans"/>
          <w:b/>
          <w:bCs/>
          <w:i/>
          <w:iCs/>
          <w:sz w:val="24"/>
          <w:szCs w:val="24"/>
        </w:rPr>
        <w:t>Component 1—Planning for Projected Household Growth.</w:t>
      </w:r>
      <w:r w:rsidRPr="00B20ED9">
        <w:rPr>
          <w:rFonts w:asciiTheme="majorHAnsi" w:hAnsiTheme="majorHAnsi" w:cs="Open Sans"/>
          <w:i/>
          <w:iCs/>
          <w:sz w:val="20"/>
          <w:szCs w:val="20"/>
        </w:rPr>
        <w:t xml:space="preserve"> </w:t>
      </w:r>
      <w:r w:rsidRPr="00B20ED9">
        <w:rPr>
          <w:rFonts w:asciiTheme="majorHAnsi" w:eastAsia="Tw Cen MT" w:hAnsiTheme="majorHAnsi" w:cs="Tw Cen MT"/>
          <w:i/>
          <w:iCs/>
        </w:rPr>
        <w:t>The model begins by considering projected household growth. Households include all types of people projected to live in a municipality: retirees, remote workers, unemployed people, and others.</w:t>
      </w:r>
    </w:p>
    <w:p w14:paraId="7FCCD37C" w14:textId="77777777" w:rsidR="0035314F" w:rsidRPr="00B20ED9" w:rsidRDefault="0035314F" w:rsidP="0035314F">
      <w:pPr>
        <w:tabs>
          <w:tab w:val="left" w:pos="720"/>
        </w:tabs>
        <w:spacing w:line="264" w:lineRule="auto"/>
        <w:ind w:left="720"/>
        <w:rPr>
          <w:rFonts w:asciiTheme="majorHAnsi" w:eastAsia="Tw Cen MT" w:hAnsiTheme="majorHAnsi" w:cs="Tw Cen MT"/>
          <w:i/>
          <w:iCs/>
        </w:rPr>
      </w:pPr>
      <w:r w:rsidRPr="00B20ED9">
        <w:rPr>
          <w:rFonts w:asciiTheme="majorHAnsi" w:eastAsia="Tw Cen MT" w:hAnsiTheme="majorHAnsi" w:cs="Tw Cen MT"/>
          <w:i/>
          <w:iCs/>
        </w:rPr>
        <w:t>To separate households into renters and owners, the model holds constant the statewide 2020 ownership rate, under the assumption that maintaining the current ownership rate is desirable. The statewide ownership rate is used to fairly distribute rental housing among regions and avoid replicating past exclusionary development patterns.</w:t>
      </w:r>
    </w:p>
    <w:p w14:paraId="6FDA2EC2" w14:textId="77777777" w:rsidR="0035314F" w:rsidRPr="00B20ED9" w:rsidRDefault="0035314F" w:rsidP="0035314F">
      <w:pPr>
        <w:tabs>
          <w:tab w:val="left" w:pos="720"/>
        </w:tabs>
        <w:spacing w:line="264" w:lineRule="auto"/>
        <w:ind w:left="720"/>
        <w:rPr>
          <w:rFonts w:asciiTheme="majorHAnsi" w:eastAsia="Tw Cen MT" w:hAnsiTheme="majorHAnsi" w:cs="Tw Cen MT"/>
          <w:i/>
          <w:iCs/>
        </w:rPr>
      </w:pPr>
      <w:r w:rsidRPr="00B20ED9">
        <w:rPr>
          <w:rFonts w:asciiTheme="majorHAnsi" w:eastAsia="Tw Cen MT" w:hAnsiTheme="majorHAnsi" w:cs="Tw Cen MT"/>
          <w:i/>
          <w:iCs/>
        </w:rPr>
        <w:t xml:space="preserve">The model determines the share of owner and renter households that fall below and above the Area Median Income (AMI) categories </w:t>
      </w:r>
      <w:proofErr w:type="gramStart"/>
      <w:r w:rsidRPr="00B20ED9">
        <w:rPr>
          <w:rFonts w:asciiTheme="majorHAnsi" w:eastAsia="Tw Cen MT" w:hAnsiTheme="majorHAnsi" w:cs="Tw Cen MT"/>
          <w:i/>
          <w:iCs/>
        </w:rPr>
        <w:t>of:</w:t>
      </w:r>
      <w:proofErr w:type="gramEnd"/>
      <w:r w:rsidRPr="00B20ED9">
        <w:rPr>
          <w:rFonts w:asciiTheme="majorHAnsi" w:eastAsia="Tw Cen MT" w:hAnsiTheme="majorHAnsi" w:cs="Tw Cen MT"/>
          <w:i/>
          <w:iCs/>
        </w:rPr>
        <w:t xml:space="preserve"> 60% AMI for a 3-person household for renters, 100% AMI for a 4-person household for owners, with AMI defined by the regional AMI. This is consistent with RSA 674:58-61.</w:t>
      </w:r>
    </w:p>
    <w:p w14:paraId="2040CC47" w14:textId="77777777" w:rsidR="0035314F" w:rsidRPr="00B20ED9" w:rsidRDefault="0035314F" w:rsidP="0035314F">
      <w:pPr>
        <w:tabs>
          <w:tab w:val="left" w:pos="720"/>
        </w:tabs>
        <w:spacing w:line="264" w:lineRule="auto"/>
        <w:ind w:left="720"/>
        <w:rPr>
          <w:rFonts w:asciiTheme="majorHAnsi" w:eastAsia="Tw Cen MT" w:hAnsiTheme="majorHAnsi" w:cs="Tw Cen MT"/>
          <w:i/>
          <w:iCs/>
        </w:rPr>
      </w:pPr>
      <w:r w:rsidRPr="00B20ED9">
        <w:rPr>
          <w:rFonts w:asciiTheme="majorHAnsi" w:hAnsiTheme="majorHAnsi" w:cs="Open Sans"/>
          <w:b/>
          <w:bCs/>
          <w:i/>
          <w:iCs/>
          <w:sz w:val="24"/>
          <w:szCs w:val="24"/>
        </w:rPr>
        <w:t xml:space="preserve">Component </w:t>
      </w:r>
      <w:proofErr w:type="gramStart"/>
      <w:r w:rsidRPr="00B20ED9">
        <w:rPr>
          <w:rFonts w:asciiTheme="majorHAnsi" w:hAnsiTheme="majorHAnsi" w:cs="Open Sans"/>
          <w:b/>
          <w:bCs/>
          <w:i/>
          <w:iCs/>
          <w:sz w:val="24"/>
          <w:szCs w:val="24"/>
        </w:rPr>
        <w:t>2.—</w:t>
      </w:r>
      <w:proofErr w:type="gramEnd"/>
      <w:r w:rsidRPr="00B20ED9">
        <w:rPr>
          <w:rFonts w:asciiTheme="majorHAnsi" w:hAnsiTheme="majorHAnsi" w:cs="Open Sans"/>
          <w:b/>
          <w:bCs/>
          <w:i/>
          <w:iCs/>
          <w:sz w:val="24"/>
          <w:szCs w:val="24"/>
        </w:rPr>
        <w:t>Planning for Employment Growth.</w:t>
      </w:r>
      <w:r w:rsidRPr="00B20ED9">
        <w:rPr>
          <w:rFonts w:asciiTheme="majorHAnsi" w:hAnsiTheme="majorHAnsi" w:cs="Open Sans"/>
          <w:i/>
          <w:iCs/>
          <w:sz w:val="19"/>
          <w:szCs w:val="19"/>
        </w:rPr>
        <w:t xml:space="preserve"> </w:t>
      </w:r>
      <w:r w:rsidRPr="00B20ED9">
        <w:rPr>
          <w:rFonts w:asciiTheme="majorHAnsi" w:eastAsia="Tw Cen MT" w:hAnsiTheme="majorHAnsi" w:cs="Tw Cen MT"/>
          <w:i/>
          <w:iCs/>
        </w:rPr>
        <w:t>The second part of the model allocates the remaining 50% of projected household growth weighted toward workforce housing needs, embracing the premise that workers should have the option to live within the labor market area in which they work.</w:t>
      </w:r>
    </w:p>
    <w:p w14:paraId="70E986BF" w14:textId="77777777" w:rsidR="0035314F" w:rsidRPr="00B20ED9" w:rsidRDefault="0035314F" w:rsidP="0035314F">
      <w:pPr>
        <w:tabs>
          <w:tab w:val="left" w:pos="720"/>
        </w:tabs>
        <w:spacing w:line="264" w:lineRule="auto"/>
        <w:ind w:left="720"/>
        <w:rPr>
          <w:rFonts w:asciiTheme="majorHAnsi" w:eastAsia="Tw Cen MT" w:hAnsiTheme="majorHAnsi" w:cs="Tw Cen MT"/>
          <w:i/>
          <w:iCs/>
        </w:rPr>
      </w:pPr>
      <w:r w:rsidRPr="00B20ED9">
        <w:rPr>
          <w:rFonts w:asciiTheme="majorHAnsi" w:eastAsia="Tw Cen MT" w:hAnsiTheme="majorHAnsi" w:cs="Tw Cen MT"/>
          <w:i/>
          <w:iCs/>
        </w:rPr>
        <w:t>There are two parts to Component 2. The state’s Workforce Housing Statute states that:</w:t>
      </w:r>
    </w:p>
    <w:p w14:paraId="49E34E1D" w14:textId="77777777" w:rsidR="0035314F" w:rsidRPr="00B20ED9" w:rsidRDefault="0035314F" w:rsidP="0035314F">
      <w:pPr>
        <w:pStyle w:val="ListParagraph"/>
        <w:numPr>
          <w:ilvl w:val="0"/>
          <w:numId w:val="36"/>
        </w:numPr>
        <w:tabs>
          <w:tab w:val="left" w:pos="720"/>
        </w:tabs>
        <w:spacing w:line="264" w:lineRule="auto"/>
        <w:rPr>
          <w:rFonts w:asciiTheme="majorHAnsi" w:hAnsiTheme="majorHAnsi" w:cs="Open Sans"/>
          <w:i/>
          <w:iCs/>
        </w:rPr>
      </w:pPr>
      <w:r w:rsidRPr="00B20ED9">
        <w:rPr>
          <w:rFonts w:asciiTheme="majorHAnsi" w:hAnsiTheme="majorHAnsi" w:cs="Open Sans"/>
          <w:i/>
          <w:iCs/>
        </w:rPr>
        <w:t>“In every municipality that exercises the power to adopt land use ordinances and regulations, such ordinances and regulation shall provide reasonable and realistic opportunities for the development of workforce housing.” To satisfy this clause, the model considers the proportion of the state’s employment that exists in the labor market area (LMA) in which a municipality is a part.</w:t>
      </w:r>
    </w:p>
    <w:p w14:paraId="30388AC6" w14:textId="77777777" w:rsidR="0035314F" w:rsidRPr="00B20ED9" w:rsidRDefault="0035314F" w:rsidP="0035314F">
      <w:pPr>
        <w:pStyle w:val="ListParagraph"/>
        <w:numPr>
          <w:ilvl w:val="0"/>
          <w:numId w:val="36"/>
        </w:numPr>
        <w:tabs>
          <w:tab w:val="left" w:pos="720"/>
        </w:tabs>
        <w:spacing w:line="264" w:lineRule="auto"/>
        <w:rPr>
          <w:rFonts w:asciiTheme="majorHAnsi" w:hAnsiTheme="majorHAnsi" w:cs="Open Sans"/>
          <w:i/>
          <w:iCs/>
        </w:rPr>
      </w:pPr>
      <w:r w:rsidRPr="00B20ED9">
        <w:rPr>
          <w:rFonts w:asciiTheme="majorHAnsi" w:hAnsiTheme="majorHAnsi" w:cs="Open Sans"/>
          <w:i/>
          <w:iCs/>
        </w:rPr>
        <w:t>“A municipality’s existing housing stock shall be taken into consideration in determining its compliance...” The model then reapportions housing production to municipalities based on their proportion of the defined LMA housing units. The model effectively says that all municipalities should contribute to the workforce housing needed for a functioning labor market. Those municipalities that have not historically kept pace with growth will typically have very low vacancy rates; the model’s vacancy adjustment will correct for this lack of production.</w:t>
      </w:r>
    </w:p>
    <w:p w14:paraId="0430986A" w14:textId="77777777" w:rsidR="0035314F" w:rsidRPr="00B20ED9" w:rsidRDefault="0035314F" w:rsidP="0035314F">
      <w:pPr>
        <w:tabs>
          <w:tab w:val="left" w:pos="720"/>
          <w:tab w:val="left" w:pos="1080"/>
        </w:tabs>
        <w:spacing w:line="264" w:lineRule="auto"/>
        <w:ind w:left="720"/>
        <w:rPr>
          <w:rFonts w:asciiTheme="majorHAnsi" w:hAnsiTheme="majorHAnsi" w:cs="Open Sans"/>
          <w:i/>
          <w:iCs/>
        </w:rPr>
      </w:pPr>
      <w:r w:rsidRPr="00B20ED9">
        <w:rPr>
          <w:rFonts w:asciiTheme="majorHAnsi" w:hAnsiTheme="majorHAnsi" w:cs="Open Sans"/>
          <w:b/>
          <w:bCs/>
          <w:i/>
          <w:iCs/>
          <w:sz w:val="24"/>
          <w:szCs w:val="24"/>
        </w:rPr>
        <w:t xml:space="preserve">A balanced approach. </w:t>
      </w:r>
      <w:r w:rsidRPr="00B20ED9">
        <w:rPr>
          <w:rFonts w:asciiTheme="majorHAnsi" w:hAnsiTheme="majorHAnsi" w:cs="Open Sans"/>
          <w:i/>
          <w:iCs/>
        </w:rPr>
        <w:t>We recommend weighting Components 1 and 2 equally for</w:t>
      </w:r>
      <w:r w:rsidRPr="00B20ED9">
        <w:rPr>
          <w:rFonts w:asciiTheme="majorHAnsi" w:hAnsiTheme="majorHAnsi" w:cs="Open Sans"/>
          <w:i/>
          <w:iCs/>
        </w:rPr>
        <w:br/>
        <w:t>two reasons:</w:t>
      </w:r>
    </w:p>
    <w:p w14:paraId="5753BCC0" w14:textId="77777777" w:rsidR="0035314F" w:rsidRPr="00B20ED9" w:rsidRDefault="0035314F" w:rsidP="0035314F">
      <w:pPr>
        <w:pStyle w:val="ListParagraph"/>
        <w:numPr>
          <w:ilvl w:val="0"/>
          <w:numId w:val="37"/>
        </w:numPr>
        <w:tabs>
          <w:tab w:val="left" w:pos="720"/>
          <w:tab w:val="left" w:pos="1080"/>
        </w:tabs>
        <w:spacing w:line="264" w:lineRule="auto"/>
        <w:rPr>
          <w:rFonts w:asciiTheme="majorHAnsi" w:hAnsiTheme="majorHAnsi" w:cs="Open Sans"/>
          <w:i/>
          <w:iCs/>
        </w:rPr>
      </w:pPr>
      <w:r w:rsidRPr="00B20ED9">
        <w:rPr>
          <w:rFonts w:asciiTheme="majorHAnsi" w:hAnsiTheme="majorHAnsi" w:cs="Open Sans"/>
          <w:i/>
          <w:iCs/>
        </w:rPr>
        <w:t xml:space="preserve">Weighting household growth too heavily would perpetuate the state’s trends of declining workforce, which is linked to lack of affordable </w:t>
      </w:r>
      <w:proofErr w:type="gramStart"/>
      <w:r w:rsidRPr="00B20ED9">
        <w:rPr>
          <w:rFonts w:asciiTheme="majorHAnsi" w:hAnsiTheme="majorHAnsi" w:cs="Open Sans"/>
          <w:i/>
          <w:iCs/>
        </w:rPr>
        <w:t>housing;</w:t>
      </w:r>
      <w:proofErr w:type="gramEnd"/>
    </w:p>
    <w:p w14:paraId="427CEBF7" w14:textId="77777777" w:rsidR="0035314F" w:rsidRPr="00B20ED9" w:rsidRDefault="0035314F" w:rsidP="0035314F">
      <w:pPr>
        <w:pStyle w:val="ListParagraph"/>
        <w:numPr>
          <w:ilvl w:val="0"/>
          <w:numId w:val="37"/>
        </w:numPr>
        <w:tabs>
          <w:tab w:val="left" w:pos="720"/>
          <w:tab w:val="left" w:pos="1080"/>
        </w:tabs>
        <w:spacing w:line="264" w:lineRule="auto"/>
        <w:rPr>
          <w:rFonts w:asciiTheme="majorHAnsi" w:hAnsiTheme="majorHAnsi" w:cs="Open Sans"/>
          <w:i/>
          <w:iCs/>
        </w:rPr>
      </w:pPr>
      <w:r w:rsidRPr="00B20ED9">
        <w:rPr>
          <w:rFonts w:asciiTheme="majorHAnsi" w:hAnsiTheme="majorHAnsi" w:cs="Open Sans"/>
          <w:i/>
          <w:iCs/>
        </w:rPr>
        <w:lastRenderedPageBreak/>
        <w:t>Weighting household growth too heavily would create labor markets where older adults exist without the workforce needed for them to receive adequate health care, home care, and related supportive services as they age.</w:t>
      </w:r>
    </w:p>
    <w:p w14:paraId="4D7530E1" w14:textId="77777777" w:rsidR="0035314F" w:rsidRPr="00B20ED9" w:rsidRDefault="0035314F" w:rsidP="0035314F">
      <w:pPr>
        <w:tabs>
          <w:tab w:val="left" w:pos="720"/>
          <w:tab w:val="left" w:pos="1080"/>
        </w:tabs>
        <w:spacing w:line="264" w:lineRule="auto"/>
        <w:ind w:left="720"/>
        <w:rPr>
          <w:rFonts w:asciiTheme="majorHAnsi" w:hAnsiTheme="majorHAnsi" w:cs="Open Sans"/>
          <w:i/>
          <w:iCs/>
        </w:rPr>
      </w:pPr>
      <w:r w:rsidRPr="00B20ED9">
        <w:rPr>
          <w:rFonts w:asciiTheme="majorHAnsi" w:hAnsiTheme="majorHAnsi" w:cs="Open Sans"/>
          <w:i/>
          <w:iCs/>
        </w:rPr>
        <w:t>Therefore, the model assumes an equal balance between household growth and workforce growth.</w:t>
      </w:r>
    </w:p>
    <w:p w14:paraId="23E112E3" w14:textId="77777777" w:rsidR="0035314F" w:rsidRPr="00B20ED9" w:rsidRDefault="0035314F" w:rsidP="0035314F">
      <w:pPr>
        <w:tabs>
          <w:tab w:val="left" w:pos="720"/>
          <w:tab w:val="left" w:pos="1080"/>
        </w:tabs>
        <w:spacing w:line="264" w:lineRule="auto"/>
        <w:ind w:left="720"/>
        <w:rPr>
          <w:rFonts w:ascii="Open Sans" w:hAnsi="Open Sans" w:cs="Open Sans"/>
          <w:i/>
          <w:iCs/>
          <w:sz w:val="19"/>
          <w:szCs w:val="19"/>
        </w:rPr>
      </w:pPr>
      <w:r w:rsidRPr="00B20ED9">
        <w:rPr>
          <w:rFonts w:asciiTheme="majorHAnsi" w:hAnsiTheme="majorHAnsi" w:cs="Open Sans"/>
          <w:i/>
          <w:iCs/>
        </w:rPr>
        <w:t>The model also balances housing needed to accommodate future growth with existing needs and accounts for deficiencies in housing supply. The model includes a factor to bring the state’s housing vacancy rate up to a functioning level. Industry standards are used to determine functional vacancy rates of 5% for rental units and 2% for ownership units. This reflects current</w:t>
      </w:r>
      <w:r w:rsidRPr="00B20ED9">
        <w:rPr>
          <w:rFonts w:ascii="Open Sans" w:hAnsi="Open Sans" w:cs="Open Sans"/>
          <w:i/>
          <w:iCs/>
          <w:sz w:val="19"/>
          <w:szCs w:val="19"/>
        </w:rPr>
        <w:t xml:space="preserve"> need, particularly the need for units in high demand, low vacancy municipalities. It also corrects for past activity that has resulted in a low supply of workforce housing units.</w:t>
      </w:r>
    </w:p>
    <w:p w14:paraId="0C9E5E91" w14:textId="77777777" w:rsidR="0035314F" w:rsidRPr="00B20ED9" w:rsidRDefault="0035314F" w:rsidP="0035314F">
      <w:pPr>
        <w:tabs>
          <w:tab w:val="left" w:pos="720"/>
          <w:tab w:val="left" w:pos="1080"/>
        </w:tabs>
        <w:spacing w:line="264" w:lineRule="auto"/>
        <w:ind w:left="720"/>
        <w:rPr>
          <w:rFonts w:asciiTheme="majorHAnsi" w:hAnsiTheme="majorHAnsi" w:cs="Open Sans"/>
          <w:i/>
          <w:iCs/>
        </w:rPr>
      </w:pPr>
      <w:r w:rsidRPr="00B20ED9">
        <w:rPr>
          <w:rFonts w:asciiTheme="majorHAnsi" w:hAnsiTheme="majorHAnsi" w:cs="Open Sans"/>
          <w:i/>
          <w:iCs/>
        </w:rPr>
        <w:t>The model does not factor in housing in poor condition because public data are unavailable. As such, Regional Planning Commissions may consider assisting municipalities to account for units that are uninhabitable, not appropriate for workforce housing, and/or will be demolished.</w:t>
      </w:r>
    </w:p>
    <w:p w14:paraId="329E9AD2" w14:textId="77777777" w:rsidR="0035314F" w:rsidRPr="00B20ED9" w:rsidRDefault="0035314F" w:rsidP="0035314F">
      <w:pPr>
        <w:tabs>
          <w:tab w:val="left" w:pos="720"/>
          <w:tab w:val="left" w:pos="1080"/>
        </w:tabs>
        <w:spacing w:line="264" w:lineRule="auto"/>
        <w:ind w:left="720"/>
        <w:rPr>
          <w:rFonts w:asciiTheme="majorHAnsi" w:hAnsiTheme="majorHAnsi" w:cs="Open Sans"/>
          <w:i/>
          <w:iCs/>
        </w:rPr>
      </w:pPr>
      <w:r w:rsidRPr="00B20ED9">
        <w:rPr>
          <w:rFonts w:asciiTheme="majorHAnsi" w:hAnsiTheme="majorHAnsi" w:cs="Open Sans"/>
          <w:b/>
          <w:bCs/>
          <w:i/>
          <w:iCs/>
          <w:sz w:val="24"/>
          <w:szCs w:val="24"/>
        </w:rPr>
        <w:t>Buildable land and infrastructure considerations.</w:t>
      </w:r>
      <w:r w:rsidRPr="00B20ED9">
        <w:rPr>
          <w:rFonts w:ascii="Open Sans" w:hAnsi="Open Sans" w:cs="Open Sans"/>
          <w:i/>
          <w:iCs/>
          <w:sz w:val="19"/>
          <w:szCs w:val="19"/>
        </w:rPr>
        <w:t xml:space="preserve"> </w:t>
      </w:r>
      <w:r w:rsidRPr="00B20ED9">
        <w:rPr>
          <w:rFonts w:asciiTheme="majorHAnsi" w:hAnsiTheme="majorHAnsi" w:cs="Open Sans"/>
          <w:i/>
          <w:iCs/>
        </w:rPr>
        <w:t>Housing production can be constrained by limited public infrastructure—water and sewer systems and roads—which is often costly to extend and maintain over time. A similar constraint is found in areas with physical limitations to development (e.g., wetlands, steep slopes, shallow depth to bedrock, etc.). Allocating an unrealistic number of units to municipalities where infrastructure and environmental constraints are major impediments could result in an underproduction of housing units statewide.</w:t>
      </w:r>
    </w:p>
    <w:p w14:paraId="09A64255" w14:textId="77777777" w:rsidR="0035314F" w:rsidRPr="00B20ED9" w:rsidRDefault="0035314F" w:rsidP="0035314F">
      <w:pPr>
        <w:tabs>
          <w:tab w:val="left" w:pos="720"/>
          <w:tab w:val="left" w:pos="1080"/>
        </w:tabs>
        <w:spacing w:line="264" w:lineRule="auto"/>
        <w:ind w:left="720"/>
        <w:rPr>
          <w:rFonts w:asciiTheme="majorHAnsi" w:hAnsiTheme="majorHAnsi" w:cs="Open Sans"/>
          <w:i/>
          <w:iCs/>
        </w:rPr>
      </w:pPr>
      <w:r w:rsidRPr="00B20ED9">
        <w:rPr>
          <w:rFonts w:asciiTheme="majorHAnsi" w:hAnsiTheme="majorHAnsi" w:cs="Open Sans"/>
          <w:i/>
          <w:iCs/>
        </w:rPr>
        <w:t>To address this, the Office of Planning and Development developed a worksheet that estimates the buildable area by municipality after accounting for environmental constraints (water bodies, wetlands, and steep slopes &gt; 20%), public roads, and conservation/public land restrictions. The buildable land is categorized by the number of acres that are (1) within a 500-foot buffer of areas currently served by public water and sewer systems; or (2) within 500 feet of one but not both; or (3) outside a 500-foot buffer of areas currently served by public water and sewer systems. Buildable land includes land with existing housing or other structures since some of this land could lend itself to infill development.</w:t>
      </w:r>
    </w:p>
    <w:p w14:paraId="4A4B7AC3" w14:textId="77777777" w:rsidR="0035314F" w:rsidRPr="00B20ED9" w:rsidRDefault="0035314F" w:rsidP="0035314F">
      <w:pPr>
        <w:tabs>
          <w:tab w:val="left" w:pos="720"/>
          <w:tab w:val="left" w:pos="1080"/>
        </w:tabs>
        <w:spacing w:line="264" w:lineRule="auto"/>
        <w:ind w:left="720"/>
        <w:rPr>
          <w:rFonts w:asciiTheme="majorHAnsi" w:hAnsiTheme="majorHAnsi" w:cs="Open Sans"/>
          <w:i/>
          <w:iCs/>
        </w:rPr>
      </w:pPr>
      <w:r w:rsidRPr="00B20ED9">
        <w:rPr>
          <w:rFonts w:asciiTheme="majorHAnsi" w:hAnsiTheme="majorHAnsi" w:cs="Open Sans"/>
          <w:i/>
          <w:iCs/>
        </w:rPr>
        <w:t>This buildable land worksheet was used to check each municipality’s capacity to accommodate housing production targets. That exercise estimates new unit capacity based on two scenarios: four units/acre and one unit/acre and flags municipalities in which there may be insufficient capacity to meet the housing production targets.</w:t>
      </w:r>
    </w:p>
    <w:p w14:paraId="4CB17A68" w14:textId="77777777" w:rsidR="0035314F" w:rsidRPr="00B20ED9" w:rsidRDefault="0035314F" w:rsidP="0035314F">
      <w:pPr>
        <w:tabs>
          <w:tab w:val="left" w:pos="720"/>
          <w:tab w:val="left" w:pos="1080"/>
        </w:tabs>
        <w:spacing w:line="264" w:lineRule="auto"/>
        <w:ind w:left="720"/>
        <w:rPr>
          <w:rFonts w:asciiTheme="majorHAnsi" w:hAnsiTheme="majorHAnsi" w:cs="Open Sans"/>
          <w:i/>
          <w:iCs/>
        </w:rPr>
      </w:pPr>
      <w:r w:rsidRPr="00B20ED9">
        <w:rPr>
          <w:rFonts w:asciiTheme="majorHAnsi" w:hAnsiTheme="majorHAnsi" w:cs="Open Sans"/>
          <w:b/>
          <w:bCs/>
          <w:i/>
          <w:iCs/>
          <w:sz w:val="24"/>
          <w:szCs w:val="24"/>
        </w:rPr>
        <w:t>Limitations of the model.</w:t>
      </w:r>
      <w:r w:rsidRPr="00B20ED9">
        <w:rPr>
          <w:rFonts w:ascii="Open Sans" w:hAnsi="Open Sans" w:cs="Open Sans"/>
          <w:i/>
          <w:iCs/>
          <w:sz w:val="19"/>
          <w:szCs w:val="19"/>
        </w:rPr>
        <w:t xml:space="preserve"> </w:t>
      </w:r>
      <w:r w:rsidRPr="00B20ED9">
        <w:rPr>
          <w:rFonts w:asciiTheme="majorHAnsi" w:hAnsiTheme="majorHAnsi" w:cs="Open Sans"/>
          <w:i/>
          <w:iCs/>
        </w:rPr>
        <w:t>Housing markets are very dynamic and subject to many factors—e.g., interest rates, health of the economy, public funding—that are difficult to predict. The model housing production targets model is based on future projected growth and resulting housing demand (v. speculating what is likely be built based on the current pipeline of workforce housing). The housing production targets are an indication of the amount of development that is needed to meet workforce housing needs.</w:t>
      </w:r>
    </w:p>
    <w:p w14:paraId="4FB1D361" w14:textId="77777777" w:rsidR="0035314F" w:rsidRPr="00B20ED9" w:rsidRDefault="0035314F" w:rsidP="0035314F">
      <w:pPr>
        <w:tabs>
          <w:tab w:val="left" w:pos="720"/>
          <w:tab w:val="left" w:pos="1080"/>
        </w:tabs>
        <w:spacing w:line="264" w:lineRule="auto"/>
        <w:ind w:left="720"/>
        <w:rPr>
          <w:rFonts w:asciiTheme="majorHAnsi" w:hAnsiTheme="majorHAnsi" w:cs="Open Sans"/>
          <w:i/>
          <w:iCs/>
        </w:rPr>
      </w:pPr>
      <w:r w:rsidRPr="00B20ED9">
        <w:rPr>
          <w:rFonts w:asciiTheme="majorHAnsi" w:hAnsiTheme="majorHAnsi" w:cs="Open Sans"/>
          <w:i/>
          <w:iCs/>
        </w:rPr>
        <w:t xml:space="preserve">There are many factors that will determine if/when housing units get built (e.g., developer interest, developer financing, building costs, economic development, public funding). An evaluation of point-in-time workforce housing needs should </w:t>
      </w:r>
      <w:proofErr w:type="gramStart"/>
      <w:r w:rsidRPr="00B20ED9">
        <w:rPr>
          <w:rFonts w:asciiTheme="majorHAnsi" w:hAnsiTheme="majorHAnsi" w:cs="Open Sans"/>
          <w:i/>
          <w:iCs/>
        </w:rPr>
        <w:t>take into account</w:t>
      </w:r>
      <w:proofErr w:type="gramEnd"/>
      <w:r w:rsidRPr="00B20ED9">
        <w:rPr>
          <w:rFonts w:asciiTheme="majorHAnsi" w:hAnsiTheme="majorHAnsi" w:cs="Open Sans"/>
          <w:i/>
          <w:iCs/>
        </w:rPr>
        <w:t xml:space="preserve"> actual housing unit production as well as wait lists, current vacancy rates, changes in job growth, and local economic conditions.</w:t>
      </w:r>
    </w:p>
    <w:p w14:paraId="4897B978" w14:textId="2623C20B" w:rsidR="00F556DA" w:rsidRPr="00C64BA4" w:rsidRDefault="00F556DA" w:rsidP="00206C45">
      <w:pPr>
        <w:spacing w:line="300" w:lineRule="auto"/>
        <w:rPr>
          <w:rFonts w:eastAsia="Tw Cen MT" w:cs="Tw Cen MT"/>
          <w:highlight w:val="yellow"/>
        </w:rPr>
      </w:pPr>
      <w:r w:rsidRPr="00C64BA4">
        <w:rPr>
          <w:rFonts w:eastAsia="Tw Cen MT" w:cs="Tw Cen MT"/>
          <w:highlight w:val="yellow"/>
        </w:rPr>
        <w:br w:type="page"/>
      </w:r>
    </w:p>
    <w:p w14:paraId="138FFA4B" w14:textId="1DC96273" w:rsidR="00763798" w:rsidRPr="00C64BA4" w:rsidRDefault="469D04E7" w:rsidP="00206C45">
      <w:pPr>
        <w:pStyle w:val="Heading1"/>
        <w:spacing w:line="300" w:lineRule="auto"/>
      </w:pPr>
      <w:bookmarkStart w:id="200" w:name="_Toc940707876"/>
      <w:bookmarkStart w:id="201" w:name="_Toc4679578"/>
      <w:bookmarkStart w:id="202" w:name="_Toc128137984"/>
      <w:bookmarkStart w:id="203" w:name="_Hlk123072452"/>
      <w:r w:rsidRPr="00C64BA4">
        <w:lastRenderedPageBreak/>
        <w:t xml:space="preserve">Section VI </w:t>
      </w:r>
      <w:r w:rsidR="4138FF66" w:rsidRPr="00C64BA4">
        <w:t>–</w:t>
      </w:r>
      <w:r w:rsidRPr="00C64BA4">
        <w:t xml:space="preserve"> </w:t>
      </w:r>
      <w:r w:rsidR="4138FF66" w:rsidRPr="00C64BA4">
        <w:t>Housing Choices</w:t>
      </w:r>
      <w:r w:rsidR="006068D7">
        <w:t>,</w:t>
      </w:r>
      <w:r w:rsidR="4138FF66" w:rsidRPr="00C64BA4">
        <w:t xml:space="preserve"> Opportunities</w:t>
      </w:r>
      <w:bookmarkEnd w:id="200"/>
      <w:bookmarkEnd w:id="201"/>
      <w:r w:rsidR="006068D7">
        <w:t xml:space="preserve"> AND BARRIERS</w:t>
      </w:r>
      <w:bookmarkEnd w:id="202"/>
    </w:p>
    <w:bookmarkEnd w:id="203"/>
    <w:p w14:paraId="0E0CD05D" w14:textId="655E0458" w:rsidR="00763798" w:rsidRPr="00C64BA4" w:rsidRDefault="004B5BE2" w:rsidP="00206C45">
      <w:pPr>
        <w:pStyle w:val="Body"/>
        <w:spacing w:line="300" w:lineRule="auto"/>
      </w:pPr>
      <w:r w:rsidRPr="00C64BA4">
        <w:t>This section addresses some of the common factors that impact housing choice and opportunity, such as land use regulations (zoning, subdivision regulations).  It also discusses opportunities as well as barriers to housing</w:t>
      </w:r>
      <w:r w:rsidR="00F8249C" w:rsidRPr="00C64BA4">
        <w:t>, reviews the fair housing law, and describes an approach to defining so-called “areas of opportunity” for housing choice.</w:t>
      </w:r>
    </w:p>
    <w:p w14:paraId="28334C36" w14:textId="572C8A4D" w:rsidR="008521BA" w:rsidRPr="00C64BA4" w:rsidRDefault="5A55324A" w:rsidP="00206C45">
      <w:pPr>
        <w:pStyle w:val="Heading2"/>
        <w:spacing w:line="300" w:lineRule="auto"/>
      </w:pPr>
      <w:bookmarkStart w:id="204" w:name="_Toc325242197"/>
      <w:bookmarkStart w:id="205" w:name="_Toc22944478"/>
      <w:bookmarkStart w:id="206" w:name="_Toc128137985"/>
      <w:r w:rsidRPr="00C64BA4">
        <w:t>Land Use Regulations and Other Controls</w:t>
      </w:r>
      <w:bookmarkEnd w:id="204"/>
      <w:bookmarkEnd w:id="205"/>
      <w:bookmarkEnd w:id="206"/>
    </w:p>
    <w:p w14:paraId="6F71097C" w14:textId="711489A5" w:rsidR="00211980" w:rsidRPr="00366ACF" w:rsidRDefault="26368F58" w:rsidP="00206C45">
      <w:pPr>
        <w:spacing w:line="300" w:lineRule="auto"/>
      </w:pPr>
      <w:r w:rsidRPr="00366ACF">
        <w:t xml:space="preserve">Ideally, regulations are a means to guide development toward a vision of how residents and business owners want to see their community grow.  The creation of regulations, the impetus behind regulatory changes and adoptions are often the result of Master Plan recommendations, stakeholders wanting a change, or reactions to development.  Some want more restrictive regulations, others want more flexibility, and a few want no regulations.  </w:t>
      </w:r>
    </w:p>
    <w:p w14:paraId="35E95ECF" w14:textId="31497F72" w:rsidR="00211980" w:rsidRPr="00366ACF" w:rsidRDefault="130DC06E" w:rsidP="00206C45">
      <w:pPr>
        <w:spacing w:line="300" w:lineRule="auto"/>
      </w:pPr>
      <w:r w:rsidRPr="00366ACF">
        <w:t xml:space="preserve">New Hampshire </w:t>
      </w:r>
      <w:r w:rsidR="4028C5B6" w:rsidRPr="00366ACF">
        <w:t xml:space="preserve">communities cover </w:t>
      </w:r>
      <w:r w:rsidR="5FA2BBD5" w:rsidRPr="00366ACF">
        <w:t xml:space="preserve">this </w:t>
      </w:r>
      <w:r w:rsidR="4028C5B6" w:rsidRPr="00366ACF">
        <w:t xml:space="preserve">wide spectrum of regulatory </w:t>
      </w:r>
      <w:r w:rsidR="1A7F6090" w:rsidRPr="00366ACF">
        <w:t>guidance</w:t>
      </w:r>
      <w:r w:rsidRPr="00366ACF">
        <w:t>: communities that fear the restrictions of zoning</w:t>
      </w:r>
      <w:r w:rsidR="283BC374" w:rsidRPr="00366ACF">
        <w:t xml:space="preserve"> and </w:t>
      </w:r>
      <w:r w:rsidR="5986B2F7" w:rsidRPr="00366ACF">
        <w:t>have no zoning or regulations</w:t>
      </w:r>
      <w:r w:rsidRPr="00366ACF">
        <w:t xml:space="preserve"> and others that see zoning as a mechanism to </w:t>
      </w:r>
      <w:r w:rsidR="53176EF0" w:rsidRPr="00366ACF">
        <w:t xml:space="preserve">limit </w:t>
      </w:r>
      <w:r w:rsidR="162507DF" w:rsidRPr="00366ACF">
        <w:t xml:space="preserve">most </w:t>
      </w:r>
      <w:r w:rsidR="53176EF0" w:rsidRPr="00366ACF">
        <w:t>development.</w:t>
      </w:r>
      <w:r w:rsidR="597A2386" w:rsidRPr="00366ACF">
        <w:t xml:space="preserve">  In the SNHPC region, conversations with </w:t>
      </w:r>
      <w:r w:rsidR="5065832E" w:rsidRPr="00366ACF">
        <w:t xml:space="preserve">community </w:t>
      </w:r>
      <w:r w:rsidR="597A2386" w:rsidRPr="00366ACF">
        <w:t xml:space="preserve">planners </w:t>
      </w:r>
      <w:r w:rsidR="1F8BB98F" w:rsidRPr="00366ACF">
        <w:t xml:space="preserve">about land use regulations often </w:t>
      </w:r>
      <w:r w:rsidR="6D964964" w:rsidRPr="00366ACF">
        <w:t xml:space="preserve">revolve around the desire for innovative ideas, </w:t>
      </w:r>
      <w:r w:rsidR="7B6E7135" w:rsidRPr="00366ACF">
        <w:t xml:space="preserve">concerns about regulation interpretations, and motivation to </w:t>
      </w:r>
      <w:r w:rsidR="475D6FDF" w:rsidRPr="00366ACF">
        <w:t>improve relationships between the development community and land use boards.</w:t>
      </w:r>
    </w:p>
    <w:p w14:paraId="70688A95" w14:textId="4E07DF02" w:rsidR="00211980" w:rsidRPr="00366ACF" w:rsidRDefault="79DEFCAC" w:rsidP="00206C45">
      <w:pPr>
        <w:spacing w:line="300" w:lineRule="auto"/>
      </w:pPr>
      <w:r w:rsidRPr="00366ACF">
        <w:t>According to SNHPC’s 201</w:t>
      </w:r>
      <w:r w:rsidR="2426E34C" w:rsidRPr="00366ACF">
        <w:t>7</w:t>
      </w:r>
      <w:r w:rsidRPr="00366ACF">
        <w:t xml:space="preserve"> Developer</w:t>
      </w:r>
      <w:r w:rsidR="163A167F" w:rsidRPr="00366ACF">
        <w:t>s’</w:t>
      </w:r>
      <w:r w:rsidRPr="00366ACF">
        <w:t xml:space="preserve"> Survey</w:t>
      </w:r>
      <w:r w:rsidR="0B7F1772" w:rsidRPr="00366ACF">
        <w:t xml:space="preserve">, </w:t>
      </w:r>
      <w:r w:rsidR="008E54C1" w:rsidRPr="00366ACF">
        <w:t>most</w:t>
      </w:r>
      <w:r w:rsidR="0B7F1772" w:rsidRPr="00366ACF">
        <w:t xml:space="preserve"> participants saw the need for more diverse housing.  When asked</w:t>
      </w:r>
      <w:r w:rsidRPr="00366ACF">
        <w:t xml:space="preserve"> why more diverse housing </w:t>
      </w:r>
      <w:r w:rsidR="1E046739" w:rsidRPr="00366ACF">
        <w:t>wasn’t being built</w:t>
      </w:r>
      <w:r w:rsidR="005D3B46">
        <w:t>,</w:t>
      </w:r>
      <w:r w:rsidR="1E046739" w:rsidRPr="00366ACF">
        <w:t xml:space="preserve"> including age-friendly housing, the number one response was zoning</w:t>
      </w:r>
      <w:r w:rsidR="0DB3E170" w:rsidRPr="00366ACF">
        <w:t xml:space="preserve"> </w:t>
      </w:r>
      <w:r w:rsidR="741D9344" w:rsidRPr="00366ACF">
        <w:t>restrictions</w:t>
      </w:r>
      <w:r w:rsidR="1E046739" w:rsidRPr="00366ACF">
        <w:t xml:space="preserve">.  Typically, developers </w:t>
      </w:r>
      <w:r w:rsidR="270547D7" w:rsidRPr="00366ACF">
        <w:t xml:space="preserve">consider </w:t>
      </w:r>
      <w:r w:rsidR="5F7A4F2E" w:rsidRPr="00366ACF">
        <w:t>l</w:t>
      </w:r>
      <w:r w:rsidR="5AC52CE4" w:rsidRPr="00366ACF">
        <w:t xml:space="preserve">ocal land use </w:t>
      </w:r>
      <w:r w:rsidR="71C36491" w:rsidRPr="00366ACF">
        <w:t>regulations as</w:t>
      </w:r>
      <w:r w:rsidR="5AC52CE4" w:rsidRPr="00366ACF">
        <w:t xml:space="preserve"> a barrier to housing and a reason for increased housing costs. </w:t>
      </w:r>
      <w:r w:rsidR="11D4F3B7" w:rsidRPr="00366ACF">
        <w:t xml:space="preserve"> </w:t>
      </w:r>
      <w:r w:rsidR="5AC52CE4" w:rsidRPr="00366ACF">
        <w:t>As a blanket statement, this is not always applicable</w:t>
      </w:r>
      <w:r w:rsidR="364AAE05" w:rsidRPr="00366ACF">
        <w:t xml:space="preserve"> or fair as</w:t>
      </w:r>
      <w:r w:rsidR="5AC52CE4" w:rsidRPr="00366ACF">
        <w:t xml:space="preserve"> </w:t>
      </w:r>
      <w:r w:rsidR="788A8A85" w:rsidRPr="00366ACF">
        <w:t>there are</w:t>
      </w:r>
      <w:r w:rsidR="159D209E" w:rsidRPr="00366ACF">
        <w:t xml:space="preserve"> communities in New Hampshire that</w:t>
      </w:r>
      <w:r w:rsidR="5AC52CE4" w:rsidRPr="00366ACF">
        <w:t xml:space="preserve"> have no local land use regulations and still struggle with affordable housing costs. </w:t>
      </w:r>
      <w:r w:rsidR="33104646" w:rsidRPr="00366ACF">
        <w:t xml:space="preserve"> Also</w:t>
      </w:r>
      <w:r w:rsidR="069DF05B" w:rsidRPr="00366ACF">
        <w:t>,</w:t>
      </w:r>
      <w:r w:rsidR="33104646" w:rsidRPr="00366ACF">
        <w:t xml:space="preserve"> there are many </w:t>
      </w:r>
      <w:r w:rsidR="2A77AC67" w:rsidRPr="00366ACF">
        <w:t>land use</w:t>
      </w:r>
      <w:r w:rsidR="33104646" w:rsidRPr="00366ACF">
        <w:t xml:space="preserve"> boards that are very flexible and often compromise with devel</w:t>
      </w:r>
      <w:r w:rsidR="2AF4AE2B" w:rsidRPr="00366ACF">
        <w:t xml:space="preserve">opers in guiding plans through the development process.  </w:t>
      </w:r>
      <w:r w:rsidR="34947B02" w:rsidRPr="00366ACF">
        <w:t xml:space="preserve">Still, </w:t>
      </w:r>
      <w:r w:rsidR="5AC52CE4" w:rsidRPr="00366ACF">
        <w:t xml:space="preserve">land use regulation standards and processes can create </w:t>
      </w:r>
      <w:r w:rsidR="386D3D79" w:rsidRPr="00366ACF">
        <w:t>roadblocks,</w:t>
      </w:r>
      <w:r w:rsidR="5AC52CE4" w:rsidRPr="00366ACF">
        <w:t xml:space="preserve"> costs</w:t>
      </w:r>
      <w:r w:rsidR="6BDF910D" w:rsidRPr="00366ACF">
        <w:t>,</w:t>
      </w:r>
      <w:r w:rsidR="5AC52CE4" w:rsidRPr="00366ACF">
        <w:t xml:space="preserve"> and delays. </w:t>
      </w:r>
    </w:p>
    <w:p w14:paraId="0FD06E39" w14:textId="77777777" w:rsidR="00366ACF" w:rsidRDefault="4CBB22C0" w:rsidP="00206C45">
      <w:pPr>
        <w:keepNext/>
        <w:spacing w:after="0" w:line="300" w:lineRule="auto"/>
      </w:pPr>
      <w:r w:rsidRPr="00C64BA4">
        <w:rPr>
          <w:noProof/>
        </w:rPr>
        <w:lastRenderedPageBreak/>
        <w:drawing>
          <wp:inline distT="0" distB="0" distL="0" distR="0" wp14:anchorId="7D932099" wp14:editId="3A062A77">
            <wp:extent cx="4572000" cy="3429000"/>
            <wp:effectExtent l="0" t="0" r="0" b="0"/>
            <wp:docPr id="473851136" name="Picture 47385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482D2785" w14:textId="76A6DAA5" w:rsidR="00211980" w:rsidRPr="00C64BA4" w:rsidRDefault="00366ACF" w:rsidP="00206C45">
      <w:pPr>
        <w:pStyle w:val="Caption"/>
        <w:spacing w:line="300" w:lineRule="auto"/>
      </w:pPr>
      <w:bookmarkStart w:id="207" w:name="_Toc128137879"/>
      <w:r>
        <w:t xml:space="preserve">Figure </w:t>
      </w:r>
      <w:r w:rsidR="0062538A">
        <w:fldChar w:fldCharType="begin"/>
      </w:r>
      <w:r w:rsidR="0062538A">
        <w:instrText xml:space="preserve"> SEQ Figure \* ARABIC </w:instrText>
      </w:r>
      <w:r w:rsidR="0062538A">
        <w:fldChar w:fldCharType="separate"/>
      </w:r>
      <w:r w:rsidR="00E75682">
        <w:rPr>
          <w:noProof/>
        </w:rPr>
        <w:t>20</w:t>
      </w:r>
      <w:r w:rsidR="0062538A">
        <w:rPr>
          <w:noProof/>
        </w:rPr>
        <w:fldChar w:fldCharType="end"/>
      </w:r>
      <w:r>
        <w:t>: Home-Building Industry Survey Result</w:t>
      </w:r>
      <w:bookmarkEnd w:id="207"/>
    </w:p>
    <w:p w14:paraId="73EAD919" w14:textId="0E670A0B" w:rsidR="00211980" w:rsidRPr="00366ACF" w:rsidRDefault="31C8889C" w:rsidP="00206C45">
      <w:pPr>
        <w:spacing w:line="300" w:lineRule="auto"/>
      </w:pPr>
      <w:r w:rsidRPr="00366ACF">
        <w:t>T</w:t>
      </w:r>
      <w:r w:rsidR="64C19DCF" w:rsidRPr="00366ACF">
        <w:t xml:space="preserve">he challenge to New Hampshire and the SNHPC region </w:t>
      </w:r>
      <w:r w:rsidR="1681E250" w:rsidRPr="00366ACF">
        <w:t>is to</w:t>
      </w:r>
      <w:r w:rsidR="5AC52CE4" w:rsidRPr="00366ACF">
        <w:t xml:space="preserve"> produce</w:t>
      </w:r>
      <w:r w:rsidR="633D790F" w:rsidRPr="00366ACF">
        <w:t xml:space="preserve"> the homes needed for its present </w:t>
      </w:r>
      <w:r w:rsidR="0F32FB3E" w:rsidRPr="00366ACF">
        <w:t>population and</w:t>
      </w:r>
      <w:r w:rsidR="5AC52CE4" w:rsidRPr="00366ACF">
        <w:t xml:space="preserve"> </w:t>
      </w:r>
      <w:r w:rsidR="6E654B04" w:rsidRPr="00366ACF">
        <w:t xml:space="preserve">coming to terms with </w:t>
      </w:r>
      <w:proofErr w:type="gramStart"/>
      <w:r w:rsidR="5AC52CE4" w:rsidRPr="00366ACF">
        <w:t xml:space="preserve">whether </w:t>
      </w:r>
      <w:r w:rsidR="7AD366E0" w:rsidRPr="00366ACF">
        <w:t>or not</w:t>
      </w:r>
      <w:proofErr w:type="gramEnd"/>
      <w:r w:rsidR="7AD366E0" w:rsidRPr="00366ACF">
        <w:t xml:space="preserve"> </w:t>
      </w:r>
      <w:r w:rsidR="5AC52CE4" w:rsidRPr="00366ACF">
        <w:t>local land use regulations will support the emerging demographics of housing need and demands including aging in place for senior homeowners. The traditional housing model presumes that different housing types, sizes and prices should be keyed to various life stages, with ownership progressing toward larger or more expensive units over time. But a new paradigm is emerging that calls for more efficient floor plans</w:t>
      </w:r>
      <w:r w:rsidR="202D0E84" w:rsidRPr="00366ACF">
        <w:t>, more manageable,</w:t>
      </w:r>
      <w:r w:rsidR="5AC52CE4" w:rsidRPr="00366ACF">
        <w:t xml:space="preserve"> and more </w:t>
      </w:r>
      <w:r w:rsidR="004B5BE2" w:rsidRPr="00366ACF">
        <w:t>affordable units</w:t>
      </w:r>
      <w:r w:rsidR="5AC52CE4" w:rsidRPr="00366ACF">
        <w:t xml:space="preserve"> that can accommodate virtually any occupant regardless of age or dis</w:t>
      </w:r>
      <w:r w:rsidR="74A5C780" w:rsidRPr="00366ACF">
        <w:t>/</w:t>
      </w:r>
      <w:r w:rsidR="5AC52CE4" w:rsidRPr="00366ACF">
        <w:t xml:space="preserve">ability. </w:t>
      </w:r>
    </w:p>
    <w:p w14:paraId="3BC2DBD4" w14:textId="32CEC96D" w:rsidR="0D03FAC1" w:rsidRPr="00C64BA4" w:rsidRDefault="28C3BBE5" w:rsidP="00206C45">
      <w:pPr>
        <w:spacing w:line="300" w:lineRule="auto"/>
      </w:pPr>
      <w:r w:rsidRPr="00366ACF">
        <w:t xml:space="preserve">With consideration </w:t>
      </w:r>
      <w:r w:rsidR="656CCD98" w:rsidRPr="00366ACF">
        <w:t>of</w:t>
      </w:r>
      <w:r w:rsidRPr="00366ACF">
        <w:t xml:space="preserve"> the requirement</w:t>
      </w:r>
      <w:r w:rsidR="6CC5C201" w:rsidRPr="00366ACF">
        <w:t xml:space="preserve"> </w:t>
      </w:r>
      <w:r w:rsidR="5AC52CE4" w:rsidRPr="00366ACF">
        <w:t xml:space="preserve">that every community provide </w:t>
      </w:r>
      <w:r w:rsidR="000E6746">
        <w:t>“</w:t>
      </w:r>
      <w:r w:rsidR="5AC52CE4" w:rsidRPr="00366ACF">
        <w:t>reasonable and realistic opportunities for the development of workforce housing</w:t>
      </w:r>
      <w:r w:rsidR="005F70E2">
        <w:t>”</w:t>
      </w:r>
      <w:r w:rsidR="5AC52CE4" w:rsidRPr="00366ACF">
        <w:t xml:space="preserve"> (NH RSA 674:58-61)</w:t>
      </w:r>
      <w:r w:rsidR="0E7894C9" w:rsidRPr="00366ACF">
        <w:t xml:space="preserve">, each community is </w:t>
      </w:r>
      <w:r w:rsidR="0D5690BF" w:rsidRPr="00366ACF">
        <w:t>challenged to</w:t>
      </w:r>
      <w:r w:rsidR="5AC52CE4" w:rsidRPr="00366ACF">
        <w:t xml:space="preserve"> meet the intent of these state requirements, to ensure that businesses have adequate home options for employees, residents are safely housed, and land and infrastructure are used efficiently.</w:t>
      </w:r>
    </w:p>
    <w:p w14:paraId="4DAF5C50" w14:textId="2D244656" w:rsidR="00DF6748" w:rsidRPr="00C64BA4" w:rsidRDefault="16C0BE27" w:rsidP="00206C45">
      <w:pPr>
        <w:pStyle w:val="Heading3"/>
        <w:spacing w:line="300" w:lineRule="auto"/>
      </w:pPr>
      <w:bookmarkStart w:id="208" w:name="_Toc559416001"/>
      <w:bookmarkStart w:id="209" w:name="_Toc1899763304"/>
      <w:bookmarkStart w:id="210" w:name="_Toc128137986"/>
      <w:r w:rsidRPr="00C64BA4">
        <w:t>Exclusionary Zoning Practices</w:t>
      </w:r>
      <w:bookmarkEnd w:id="208"/>
      <w:bookmarkEnd w:id="209"/>
      <w:bookmarkEnd w:id="210"/>
    </w:p>
    <w:p w14:paraId="7F600B86" w14:textId="4DFA63FF" w:rsidR="00366ACF" w:rsidRDefault="00733E26" w:rsidP="00A801D2">
      <w:pPr>
        <w:spacing w:line="300" w:lineRule="auto"/>
      </w:pPr>
      <w:r w:rsidRPr="00C64BA4">
        <w:t xml:space="preserve">The dictionary definition of exclusionary zoning is zoning that intentionally excludes certain types of land uses for the purposes of regulating racial and economic diversity.  The most obvious example of this is the single-family home district, in which no other housing types are permitted.  These types of policies tend to reduce or limit a community’s total housing supply, which results in higher housing costs.  Along with the restrictive housing types, large(r) lot sizes also contribute to limiting housing choice to certain populations. </w:t>
      </w:r>
    </w:p>
    <w:p w14:paraId="7619A153" w14:textId="77777777" w:rsidR="00A801D2" w:rsidRDefault="00423EF3" w:rsidP="00A801D2">
      <w:pPr>
        <w:pStyle w:val="Body"/>
        <w:keepNext/>
        <w:spacing w:line="300" w:lineRule="auto"/>
      </w:pPr>
      <w:r w:rsidRPr="00C64BA4">
        <w:rPr>
          <w:noProof/>
        </w:rPr>
        <w:lastRenderedPageBreak/>
        <w:drawing>
          <wp:inline distT="0" distB="0" distL="0" distR="0" wp14:anchorId="3D65A578" wp14:editId="6B54261F">
            <wp:extent cx="5943600" cy="3145790"/>
            <wp:effectExtent l="0" t="0" r="0" b="0"/>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3145790"/>
                    </a:xfrm>
                    <a:prstGeom prst="rect">
                      <a:avLst/>
                    </a:prstGeom>
                    <a:noFill/>
                    <a:ln>
                      <a:noFill/>
                    </a:ln>
                  </pic:spPr>
                </pic:pic>
              </a:graphicData>
            </a:graphic>
          </wp:inline>
        </w:drawing>
      </w:r>
    </w:p>
    <w:p w14:paraId="71D48455" w14:textId="4C989EA2" w:rsidR="00903827" w:rsidRPr="00C64BA4" w:rsidRDefault="00A801D2" w:rsidP="00A801D2">
      <w:pPr>
        <w:pStyle w:val="Caption"/>
        <w:jc w:val="both"/>
      </w:pPr>
      <w:bookmarkStart w:id="211" w:name="_Toc128137880"/>
      <w:r>
        <w:t xml:space="preserve">Figure </w:t>
      </w:r>
      <w:r w:rsidR="0062538A">
        <w:fldChar w:fldCharType="begin"/>
      </w:r>
      <w:r w:rsidR="0062538A">
        <w:instrText xml:space="preserve"> SEQ Figure \* ARABIC </w:instrText>
      </w:r>
      <w:r w:rsidR="0062538A">
        <w:fldChar w:fldCharType="separate"/>
      </w:r>
      <w:r w:rsidR="00E75682">
        <w:rPr>
          <w:noProof/>
        </w:rPr>
        <w:t>21</w:t>
      </w:r>
      <w:r w:rsidR="0062538A">
        <w:rPr>
          <w:noProof/>
        </w:rPr>
        <w:fldChar w:fldCharType="end"/>
      </w:r>
      <w:r>
        <w:t xml:space="preserve">: </w:t>
      </w:r>
      <w:r w:rsidR="004B4401" w:rsidRPr="004B4401">
        <w:t xml:space="preserve">Title VI/EJ Population Concentrations </w:t>
      </w:r>
      <w:r w:rsidR="004B4401">
        <w:t>for</w:t>
      </w:r>
      <w:r w:rsidR="004B4401" w:rsidRPr="004B4401">
        <w:t xml:space="preserve"> SNHPC Census Tract</w:t>
      </w:r>
      <w:r w:rsidR="004B4401">
        <w:t>s</w:t>
      </w:r>
      <w:bookmarkEnd w:id="211"/>
    </w:p>
    <w:p w14:paraId="0E1D2A2C" w14:textId="03E05387" w:rsidR="00871AED" w:rsidRDefault="00871AED" w:rsidP="00206C45">
      <w:pPr>
        <w:spacing w:line="300" w:lineRule="auto"/>
        <w:jc w:val="both"/>
      </w:pPr>
      <w:r w:rsidRPr="00C64BA4">
        <w:t xml:space="preserve">Typical zoning in the SNHPC region regulates use, density, height, coverage, and setbacks of development. These are important factors to regulate for any sized community. </w:t>
      </w:r>
      <w:r w:rsidR="00822121">
        <w:t>Regulating these factors</w:t>
      </w:r>
      <w:r w:rsidRPr="00C64BA4">
        <w:t xml:space="preserve"> may ensure adequate light and air quality, reduce traffic congestion, and maintain a sense of rural community – a value shared by many communities in the SNHPC region. Additionally, regulating density helps communities control capital planning for necessary facilities and utilities. </w:t>
      </w:r>
    </w:p>
    <w:p w14:paraId="0FE799AD" w14:textId="4ACCC2DB" w:rsidR="00871AED" w:rsidRDefault="00871AED" w:rsidP="00206C45">
      <w:pPr>
        <w:spacing w:line="300" w:lineRule="auto"/>
        <w:jc w:val="both"/>
      </w:pPr>
      <w:r>
        <w:t xml:space="preserve">Regulating density can also have unintended consequences, typically impacting lower-income populations. </w:t>
      </w:r>
      <w:r w:rsidR="00B8393C">
        <w:t>Typically, l</w:t>
      </w:r>
      <w:r>
        <w:t xml:space="preserve">arger plots of land have a higher purchase price value than smaller lots. Likewise, single-family homes on larger plots of land have a higher purchase price than those on smaller lots in most cases in the SNHPC region. When examining single-family parcels throughout the region, certain socio-economic trends become more visible. </w:t>
      </w:r>
      <w:r w:rsidR="00271988">
        <w:t>For example, there are</w:t>
      </w:r>
      <w:r>
        <w:t xml:space="preserve"> </w:t>
      </w:r>
      <w:r w:rsidR="00BD0EF2">
        <w:t>fewer</w:t>
      </w:r>
      <w:r>
        <w:t xml:space="preserve"> minority individuals living in single-family homes on larger plots of land. Poverty is more concentrated in single-family homes on smaller lots than on larger ones. Generally, it is less likely that minority populations are living in single-family homes. Similarly, populations living in single-family homes are less likely to be living in poverty. </w:t>
      </w:r>
    </w:p>
    <w:p w14:paraId="42FF4476" w14:textId="757207F5" w:rsidR="00871AED" w:rsidRDefault="00871AED" w:rsidP="00206C45">
      <w:pPr>
        <w:spacing w:line="300" w:lineRule="auto"/>
        <w:jc w:val="both"/>
      </w:pPr>
      <w:r>
        <w:t xml:space="preserve">These trends may seem obvious. Smaller lots of land are more affordable than larger lots. A multi-family unit is typically more affordable than purchasing a single-family home.  It would make sense that lower-income populations would be living within their </w:t>
      </w:r>
      <w:r w:rsidR="00717BB6">
        <w:t xml:space="preserve">financial </w:t>
      </w:r>
      <w:r>
        <w:t xml:space="preserve">means. However, more rigid single-family oriented zoning can increase barriers to developing a variety of housing options for all income levels, resulting in concentrated areas of lower-income housing and poverty. </w:t>
      </w:r>
    </w:p>
    <w:p w14:paraId="3013CB81" w14:textId="77777777" w:rsidR="00871AED" w:rsidRPr="004C1469" w:rsidRDefault="00871AED" w:rsidP="00206C45">
      <w:pPr>
        <w:pStyle w:val="Heading4"/>
        <w:spacing w:line="300" w:lineRule="auto"/>
      </w:pPr>
      <w:r w:rsidRPr="004C1469">
        <w:t>Impact on Affordability</w:t>
      </w:r>
    </w:p>
    <w:p w14:paraId="0272E05F" w14:textId="098D5341" w:rsidR="00871AED" w:rsidRPr="00C64BA4" w:rsidRDefault="00871AED" w:rsidP="00206C45">
      <w:pPr>
        <w:spacing w:line="300" w:lineRule="auto"/>
        <w:jc w:val="both"/>
      </w:pPr>
      <w:r w:rsidRPr="00C64BA4">
        <w:t>Looking at the relationship between parcel size for single-family homes and their ultimate value</w:t>
      </w:r>
      <w:r w:rsidR="00584F87">
        <w:t>, c</w:t>
      </w:r>
      <w:r w:rsidR="00584F87" w:rsidRPr="00C64BA4">
        <w:t xml:space="preserve">ost </w:t>
      </w:r>
      <w:r w:rsidRPr="00C64BA4">
        <w:t xml:space="preserve">quickly grow with small increases in parcel size and then level off. This is less true for communities with fewer than 10,000 residents. The effect has a significant influence on home value, and subsequently affordability. This evaluation doesn’t include how the age of the structure plays into all this, but age, parcel size, and property value are all related. </w:t>
      </w:r>
      <w:r w:rsidRPr="002B2278">
        <w:t xml:space="preserve">See Appendix </w:t>
      </w:r>
      <w:r w:rsidR="002B2278" w:rsidRPr="002B2278">
        <w:t>C</w:t>
      </w:r>
      <w:r w:rsidRPr="002B2278">
        <w:t xml:space="preserve"> for additional </w:t>
      </w:r>
      <w:r w:rsidR="00584F87">
        <w:t xml:space="preserve">information. </w:t>
      </w:r>
    </w:p>
    <w:p w14:paraId="0C163B16" w14:textId="77777777" w:rsidR="00871AED" w:rsidRPr="00C64BA4" w:rsidRDefault="00871AED" w:rsidP="00206C45">
      <w:pPr>
        <w:pStyle w:val="ListParagraph"/>
        <w:numPr>
          <w:ilvl w:val="0"/>
          <w:numId w:val="18"/>
        </w:numPr>
        <w:spacing w:after="0" w:line="300" w:lineRule="auto"/>
        <w:contextualSpacing w:val="0"/>
        <w:jc w:val="both"/>
      </w:pPr>
      <w:r w:rsidRPr="00C64BA4">
        <w:lastRenderedPageBreak/>
        <w:t>Regional-wide, a single-family home of 1-acre costs around double that of a home on 1/10 of an acre or less, or an increase of $175,000.</w:t>
      </w:r>
    </w:p>
    <w:p w14:paraId="4BE572AA" w14:textId="77777777" w:rsidR="00871AED" w:rsidRPr="00C64BA4" w:rsidRDefault="00871AED" w:rsidP="00206C45">
      <w:pPr>
        <w:pStyle w:val="ListParagraph"/>
        <w:numPr>
          <w:ilvl w:val="0"/>
          <w:numId w:val="18"/>
        </w:numPr>
        <w:spacing w:after="0" w:line="300" w:lineRule="auto"/>
        <w:contextualSpacing w:val="0"/>
        <w:jc w:val="both"/>
      </w:pPr>
      <w:r w:rsidRPr="00C64BA4">
        <w:t>In Manchester, a single-family home on half an acre costs 50% more than of a home on 1/10 of an acre or less, an increase of around $80,000</w:t>
      </w:r>
    </w:p>
    <w:p w14:paraId="3C6CD304" w14:textId="77777777" w:rsidR="00871AED" w:rsidRPr="00C64BA4" w:rsidRDefault="00871AED" w:rsidP="00206C45">
      <w:pPr>
        <w:pStyle w:val="ListParagraph"/>
        <w:numPr>
          <w:ilvl w:val="0"/>
          <w:numId w:val="18"/>
        </w:numPr>
        <w:spacing w:after="0" w:line="300" w:lineRule="auto"/>
        <w:contextualSpacing w:val="0"/>
        <w:jc w:val="both"/>
      </w:pPr>
      <w:r w:rsidRPr="00C64BA4">
        <w:t>In SNHPC towns with more than 10,000 residents, a single-family home on 1.5-acres costs about 70% more than a home on a quarter acre or less, an increase of around $180,000.</w:t>
      </w:r>
    </w:p>
    <w:p w14:paraId="35E82741" w14:textId="77777777" w:rsidR="00871AED" w:rsidRPr="00C64BA4" w:rsidRDefault="00871AED" w:rsidP="00206C45">
      <w:pPr>
        <w:pStyle w:val="ListParagraph"/>
        <w:numPr>
          <w:ilvl w:val="0"/>
          <w:numId w:val="18"/>
        </w:numPr>
        <w:spacing w:after="0" w:line="300" w:lineRule="auto"/>
        <w:contextualSpacing w:val="0"/>
        <w:jc w:val="both"/>
      </w:pPr>
      <w:r w:rsidRPr="00C64BA4">
        <w:t xml:space="preserve">In SNHPC towns with less than 10,000 residents, a single-family home on 2-acres costs around 25% more than a home on half an </w:t>
      </w:r>
      <w:proofErr w:type="gramStart"/>
      <w:r w:rsidRPr="00C64BA4">
        <w:t>acre, and</w:t>
      </w:r>
      <w:proofErr w:type="gramEnd"/>
      <w:r w:rsidRPr="00C64BA4">
        <w:t xml:space="preserve"> increase of around $65,000.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871AED" w:rsidRPr="00C64BA4" w14:paraId="76F77DC3" w14:textId="77777777" w:rsidTr="008C44A2">
        <w:tc>
          <w:tcPr>
            <w:tcW w:w="9360" w:type="dxa"/>
          </w:tcPr>
          <w:p w14:paraId="2636CA8C" w14:textId="77777777" w:rsidR="00871AED" w:rsidRDefault="00871AED" w:rsidP="00206C45">
            <w:pPr>
              <w:pStyle w:val="Body"/>
              <w:keepNext/>
              <w:spacing w:line="300" w:lineRule="auto"/>
            </w:pPr>
            <w:r w:rsidRPr="00C64BA4">
              <w:rPr>
                <w:noProof/>
              </w:rPr>
              <w:drawing>
                <wp:inline distT="0" distB="0" distL="0" distR="0" wp14:anchorId="1B5E31C0" wp14:editId="442961E3">
                  <wp:extent cx="5219345" cy="3126715"/>
                  <wp:effectExtent l="0" t="0" r="635" b="0"/>
                  <wp:docPr id="29" name="Chart 29">
                    <a:extLst xmlns:a="http://schemas.openxmlformats.org/drawingml/2006/main">
                      <a:ext uri="{FF2B5EF4-FFF2-40B4-BE49-F238E27FC236}">
                        <a16:creationId xmlns:a16="http://schemas.microsoft.com/office/drawing/2014/main" id="{EA3EBEC0-C89A-4931-8229-8469BFC34D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F051FD9" w14:textId="0A206546" w:rsidR="00871AED" w:rsidRPr="00C64BA4" w:rsidRDefault="00871AED" w:rsidP="00206C45">
            <w:pPr>
              <w:pStyle w:val="Caption"/>
              <w:spacing w:line="300" w:lineRule="auto"/>
              <w:jc w:val="both"/>
            </w:pPr>
            <w:bookmarkStart w:id="212" w:name="_Toc128137881"/>
            <w:r>
              <w:t xml:space="preserve">Figure </w:t>
            </w:r>
            <w:r w:rsidR="0062538A">
              <w:fldChar w:fldCharType="begin"/>
            </w:r>
            <w:r w:rsidR="0062538A">
              <w:instrText xml:space="preserve"> SEQ Figure \* ARABIC </w:instrText>
            </w:r>
            <w:r w:rsidR="0062538A">
              <w:fldChar w:fldCharType="separate"/>
            </w:r>
            <w:r w:rsidR="00E75682">
              <w:rPr>
                <w:noProof/>
              </w:rPr>
              <w:t>22</w:t>
            </w:r>
            <w:r w:rsidR="0062538A">
              <w:rPr>
                <w:noProof/>
              </w:rPr>
              <w:fldChar w:fldCharType="end"/>
            </w:r>
            <w:r>
              <w:t xml:space="preserve">: </w:t>
            </w:r>
            <w:r w:rsidR="00320626" w:rsidRPr="00320626">
              <w:t>Average Property Value by Acreage Decile for SNHPC Single-Family Homes</w:t>
            </w:r>
            <w:bookmarkEnd w:id="212"/>
          </w:p>
          <w:p w14:paraId="22D21BDC" w14:textId="77777777" w:rsidR="00871AED" w:rsidRDefault="00871AED" w:rsidP="00206C45">
            <w:pPr>
              <w:spacing w:line="300" w:lineRule="auto"/>
              <w:rPr>
                <w:rStyle w:val="cf01"/>
                <w:rFonts w:asciiTheme="minorHAnsi" w:hAnsiTheme="minorHAnsi"/>
                <w:sz w:val="20"/>
                <w:szCs w:val="20"/>
              </w:rPr>
            </w:pPr>
            <w:bookmarkStart w:id="213" w:name="_Hlk122593138"/>
            <w:r w:rsidRPr="00C64BA4">
              <w:rPr>
                <w:rStyle w:val="cf01"/>
                <w:rFonts w:asciiTheme="minorHAnsi" w:hAnsiTheme="minorHAnsi"/>
                <w:sz w:val="20"/>
                <w:szCs w:val="20"/>
              </w:rPr>
              <w:t>Reflects 2020 appraised values. Does not include property data from Candia.</w:t>
            </w:r>
            <w:r w:rsidRPr="00C64BA4">
              <w:rPr>
                <w:rStyle w:val="cf01"/>
                <w:rFonts w:asciiTheme="minorHAnsi" w:hAnsiTheme="minorHAnsi"/>
                <w:sz w:val="20"/>
                <w:szCs w:val="20"/>
              </w:rPr>
              <w:br/>
              <w:t xml:space="preserve">Source: </w:t>
            </w:r>
            <w:r w:rsidRPr="00320626">
              <w:rPr>
                <w:rStyle w:val="cf01"/>
                <w:rFonts w:asciiTheme="minorHAnsi" w:hAnsiTheme="minorHAnsi"/>
                <w:sz w:val="20"/>
                <w:szCs w:val="20"/>
              </w:rPr>
              <w:t>NH</w:t>
            </w:r>
            <w:r w:rsidRPr="00C64BA4">
              <w:rPr>
                <w:rStyle w:val="cf01"/>
                <w:rFonts w:asciiTheme="minorHAnsi" w:hAnsiTheme="minorHAnsi"/>
                <w:sz w:val="20"/>
                <w:szCs w:val="20"/>
              </w:rPr>
              <w:t xml:space="preserve"> Department of Revenue</w:t>
            </w:r>
            <w:bookmarkEnd w:id="213"/>
          </w:p>
          <w:p w14:paraId="22A38A25" w14:textId="274F2884" w:rsidR="008C44A2" w:rsidRPr="00C64BA4" w:rsidRDefault="008C44A2" w:rsidP="00206C45">
            <w:pPr>
              <w:spacing w:line="300" w:lineRule="auto"/>
              <w:rPr>
                <w:rFonts w:cs="Segoe UI"/>
                <w:sz w:val="20"/>
                <w:szCs w:val="20"/>
              </w:rPr>
            </w:pPr>
          </w:p>
        </w:tc>
      </w:tr>
      <w:tr w:rsidR="008C44A2" w14:paraId="116C078C" w14:textId="77777777" w:rsidTr="008C44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60" w:type="dxa"/>
          </w:tcPr>
          <w:p w14:paraId="07382EE7" w14:textId="77777777" w:rsidR="008C44A2" w:rsidRPr="008C44A2" w:rsidRDefault="008C44A2" w:rsidP="00210D57">
            <w:pPr>
              <w:pStyle w:val="Body"/>
              <w:spacing w:line="300" w:lineRule="auto"/>
              <w:jc w:val="left"/>
              <w:rPr>
                <w:sz w:val="28"/>
                <w:szCs w:val="28"/>
              </w:rPr>
            </w:pPr>
            <w:r w:rsidRPr="008C44A2">
              <w:rPr>
                <w:i/>
                <w:iCs/>
                <w:sz w:val="28"/>
                <w:szCs w:val="28"/>
              </w:rPr>
              <w:t>“Extensive research has found that compact development patterns, higher density, mixed uses, and other characteristics of smart growth development can reduce the costs of providing public infrastructure and delivering services. Many communities with conventional low-density, single-use development patterns are financially burdened by the cost of maintaining, and ultimately replacing, their existing infrastructure given the tax revenue this development generates.”</w:t>
            </w:r>
            <w:r w:rsidRPr="00320626">
              <w:rPr>
                <w:i/>
                <w:iCs/>
                <w:vertAlign w:val="superscript"/>
              </w:rPr>
              <w:footnoteReference w:id="53"/>
            </w:r>
          </w:p>
        </w:tc>
      </w:tr>
    </w:tbl>
    <w:p w14:paraId="0FA09741" w14:textId="77777777" w:rsidR="00871AED" w:rsidRDefault="00871AED" w:rsidP="00206C45">
      <w:pPr>
        <w:spacing w:line="300" w:lineRule="auto"/>
      </w:pPr>
    </w:p>
    <w:p w14:paraId="1ED7645E" w14:textId="77777777" w:rsidR="00871AED" w:rsidRDefault="00871AED" w:rsidP="00206C45">
      <w:pPr>
        <w:spacing w:line="300" w:lineRule="auto"/>
      </w:pPr>
      <w:r w:rsidRPr="00C64BA4">
        <w:rPr>
          <w:noProof/>
        </w:rPr>
        <w:lastRenderedPageBreak/>
        <w:drawing>
          <wp:inline distT="0" distB="0" distL="0" distR="0" wp14:anchorId="369CF7FC" wp14:editId="69008D18">
            <wp:extent cx="4391025" cy="5124450"/>
            <wp:effectExtent l="0" t="0" r="0" b="0"/>
            <wp:docPr id="21" name="Chart 21">
              <a:extLst xmlns:a="http://schemas.openxmlformats.org/drawingml/2006/main">
                <a:ext uri="{FF2B5EF4-FFF2-40B4-BE49-F238E27FC236}">
                  <a16:creationId xmlns:a16="http://schemas.microsoft.com/office/drawing/2014/main" id="{8CC5D7C8-AACD-4826-8544-9B0194CBA7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8323620" w14:textId="10AE306E" w:rsidR="00871AED" w:rsidRPr="00C64BA4" w:rsidRDefault="00871AED" w:rsidP="00206C45">
      <w:pPr>
        <w:pStyle w:val="Caption"/>
        <w:spacing w:line="300" w:lineRule="auto"/>
      </w:pPr>
      <w:bookmarkStart w:id="214" w:name="_Toc128137882"/>
      <w:r>
        <w:t xml:space="preserve">Figure </w:t>
      </w:r>
      <w:r w:rsidR="0062538A">
        <w:fldChar w:fldCharType="begin"/>
      </w:r>
      <w:r w:rsidR="0062538A">
        <w:instrText xml:space="preserve"> SEQ Figure \* ARABIC </w:instrText>
      </w:r>
      <w:r w:rsidR="0062538A">
        <w:fldChar w:fldCharType="separate"/>
      </w:r>
      <w:r w:rsidR="00E75682">
        <w:rPr>
          <w:noProof/>
        </w:rPr>
        <w:t>23</w:t>
      </w:r>
      <w:r w:rsidR="0062538A">
        <w:rPr>
          <w:noProof/>
        </w:rPr>
        <w:fldChar w:fldCharType="end"/>
      </w:r>
      <w:r>
        <w:t>: Derry Single-Family Homes: Value per Acre</w:t>
      </w:r>
      <w:bookmarkEnd w:id="214"/>
    </w:p>
    <w:p w14:paraId="5F9E3D43" w14:textId="443079F8" w:rsidR="59F36BA3" w:rsidRPr="00A26341" w:rsidRDefault="00871AED" w:rsidP="00A17D67">
      <w:pPr>
        <w:pStyle w:val="Body"/>
        <w:spacing w:line="300" w:lineRule="auto"/>
      </w:pPr>
      <w:r w:rsidRPr="00C64BA4">
        <w:t>For half a century, studies by federal and state governments, academics, consultants, think tanks, and advocacy groups have consistently found that urban and suburban sprawl is more expensive for governments to build and maintain compared to higher density development and fares far worse in generating enough tax revenue to cover its expenses.</w:t>
      </w:r>
      <w:r w:rsidR="006B2A32" w:rsidRPr="00C64BA4">
        <w:rPr>
          <w:rStyle w:val="FootnoteReference"/>
        </w:rPr>
        <w:footnoteReference w:id="54"/>
      </w:r>
    </w:p>
    <w:p w14:paraId="57100F1B" w14:textId="52B25DA2" w:rsidR="00920122" w:rsidRPr="004C1469" w:rsidRDefault="00920122" w:rsidP="00206C45">
      <w:pPr>
        <w:pStyle w:val="Heading3"/>
        <w:spacing w:line="300" w:lineRule="auto"/>
      </w:pPr>
      <w:bookmarkStart w:id="215" w:name="_Toc128137987"/>
      <w:r w:rsidRPr="004C1469">
        <w:lastRenderedPageBreak/>
        <w:t>Review of Local Land Use Practices</w:t>
      </w:r>
      <w:bookmarkEnd w:id="215"/>
    </w:p>
    <w:p w14:paraId="1E2070DA" w14:textId="2FFA1308" w:rsidR="00920122" w:rsidRPr="00C64BA4" w:rsidRDefault="00697E9E" w:rsidP="00206C45">
      <w:pPr>
        <w:pStyle w:val="Body"/>
        <w:spacing w:line="300" w:lineRule="auto"/>
      </w:pPr>
      <w:r w:rsidRPr="00C64BA4">
        <w:t xml:space="preserve">The following descriptions highlight zoning practices found in the SNHPC region. While not all-encompassing, these categories are the </w:t>
      </w:r>
      <w:proofErr w:type="gramStart"/>
      <w:r w:rsidRPr="00C64BA4">
        <w:t>most commonly found</w:t>
      </w:r>
      <w:proofErr w:type="gramEnd"/>
      <w:r w:rsidRPr="00C64BA4">
        <w:t xml:space="preserve"> districts and practices throughout the region.</w:t>
      </w:r>
    </w:p>
    <w:p w14:paraId="498705D8" w14:textId="7B2F7D6B" w:rsidR="00697E9E" w:rsidRPr="00C64BA4" w:rsidRDefault="00697E9E" w:rsidP="00206C45">
      <w:pPr>
        <w:pStyle w:val="Heading5"/>
        <w:spacing w:line="300" w:lineRule="auto"/>
      </w:pPr>
      <w:r w:rsidRPr="00C64BA4">
        <w:t>Residential</w:t>
      </w:r>
    </w:p>
    <w:p w14:paraId="67EB6CD4" w14:textId="01D75D74" w:rsidR="00697E9E" w:rsidRPr="00251F36" w:rsidRDefault="00697E9E" w:rsidP="00206C45">
      <w:pPr>
        <w:pStyle w:val="Body"/>
        <w:spacing w:line="300" w:lineRule="auto"/>
      </w:pPr>
      <w:r w:rsidRPr="00251F36">
        <w:rPr>
          <w:u w:val="single"/>
        </w:rPr>
        <w:t>Rural, Agriculture Residential</w:t>
      </w:r>
    </w:p>
    <w:p w14:paraId="0B5E4391" w14:textId="77777777" w:rsidR="00697E9E" w:rsidRPr="00C64BA4" w:rsidRDefault="00697E9E" w:rsidP="00206C45">
      <w:pPr>
        <w:pStyle w:val="Body"/>
        <w:spacing w:line="300" w:lineRule="auto"/>
      </w:pPr>
      <w:r w:rsidRPr="00251F36">
        <w:t xml:space="preserve">This zoning category includes agricultural uses, such as scattered farmland and related activities, and low-density residential development, primarily single-family. In comparing the existing land use patterns and zoning ordinances within the region, an overall density or minimum lot size of </w:t>
      </w:r>
      <w:r w:rsidRPr="00C64BA4">
        <w:t>three or more</w:t>
      </w:r>
      <w:r w:rsidRPr="00251F36">
        <w:t xml:space="preserve"> acres</w:t>
      </w:r>
      <w:r w:rsidRPr="00C64BA4">
        <w:t xml:space="preserve"> is typical in these areas.</w:t>
      </w:r>
    </w:p>
    <w:p w14:paraId="15596CB6" w14:textId="77777777" w:rsidR="00697E9E" w:rsidRPr="00C64BA4" w:rsidRDefault="00697E9E" w:rsidP="00206C45">
      <w:pPr>
        <w:spacing w:line="300" w:lineRule="auto"/>
        <w:jc w:val="both"/>
        <w:rPr>
          <w:bCs/>
          <w:u w:val="single"/>
        </w:rPr>
      </w:pPr>
      <w:r w:rsidRPr="00C64BA4">
        <w:rPr>
          <w:bCs/>
          <w:u w:val="single"/>
        </w:rPr>
        <w:t>Low Density Residential</w:t>
      </w:r>
    </w:p>
    <w:p w14:paraId="2383BCFE" w14:textId="77777777" w:rsidR="00903744" w:rsidRPr="00C64BA4" w:rsidRDefault="00903744" w:rsidP="00206C45">
      <w:pPr>
        <w:spacing w:line="300" w:lineRule="auto"/>
        <w:jc w:val="both"/>
      </w:pPr>
      <w:r w:rsidRPr="00C64BA4">
        <w:t>This land use category includes low density, single family residential with an overall density or minimum lot size of one to two acres of residential uses. This density is common throughout the communities in the region.</w:t>
      </w:r>
    </w:p>
    <w:p w14:paraId="58E2F0FF" w14:textId="77777777" w:rsidR="00697E9E" w:rsidRPr="00251F36" w:rsidRDefault="00697E9E" w:rsidP="00206C45">
      <w:pPr>
        <w:spacing w:line="300" w:lineRule="auto"/>
        <w:jc w:val="both"/>
        <w:rPr>
          <w:u w:val="single"/>
        </w:rPr>
      </w:pPr>
      <w:r w:rsidRPr="00251F36">
        <w:rPr>
          <w:u w:val="single"/>
        </w:rPr>
        <w:t xml:space="preserve">Medium Density Residential </w:t>
      </w:r>
    </w:p>
    <w:p w14:paraId="1F93E4CE" w14:textId="77777777" w:rsidR="0021177A" w:rsidRPr="0021177A" w:rsidRDefault="00903744" w:rsidP="00206C45">
      <w:pPr>
        <w:spacing w:line="300" w:lineRule="auto"/>
        <w:jc w:val="both"/>
      </w:pPr>
      <w:r w:rsidRPr="00C64BA4">
        <w:t xml:space="preserve">Medium density residential refers to lot sizes ranging from one-half acre to one acre in size.  This type of development can include both detached and attached single-family, </w:t>
      </w:r>
      <w:proofErr w:type="gramStart"/>
      <w:r w:rsidRPr="00C64BA4">
        <w:t>duplex</w:t>
      </w:r>
      <w:proofErr w:type="gramEnd"/>
      <w:r w:rsidRPr="00C64BA4">
        <w:t xml:space="preserve"> and multi-family development.  Most medium density residential </w:t>
      </w:r>
      <w:proofErr w:type="gramStart"/>
      <w:r w:rsidRPr="00C64BA4">
        <w:t>is located in</w:t>
      </w:r>
      <w:proofErr w:type="gramEnd"/>
      <w:r w:rsidRPr="00C64BA4">
        <w:t xml:space="preserve"> the communities and land surrounding I-93 and Manchester.  Limited medium density residential is found within Manchester, but outside the I-93 a</w:t>
      </w:r>
      <w:r w:rsidRPr="0021177A">
        <w:t>nd 293 loops.</w:t>
      </w:r>
    </w:p>
    <w:p w14:paraId="7C723EBC" w14:textId="24DF24CF" w:rsidR="00903744" w:rsidRPr="00C64BA4" w:rsidRDefault="00903744" w:rsidP="00206C45">
      <w:pPr>
        <w:spacing w:line="300" w:lineRule="auto"/>
        <w:jc w:val="both"/>
        <w:rPr>
          <w:u w:val="single"/>
        </w:rPr>
      </w:pPr>
      <w:r w:rsidRPr="0021177A">
        <w:rPr>
          <w:u w:val="single"/>
        </w:rPr>
        <w:t>Medium Density Urban Residential</w:t>
      </w:r>
    </w:p>
    <w:p w14:paraId="75818477" w14:textId="6ADCD07D" w:rsidR="00697E9E" w:rsidRPr="00C64BA4" w:rsidRDefault="00903744" w:rsidP="00206C45">
      <w:pPr>
        <w:spacing w:line="300" w:lineRule="auto"/>
        <w:jc w:val="both"/>
      </w:pPr>
      <w:r w:rsidRPr="00C64BA4">
        <w:t>Located primarily within the City of Manchester this land use category consists of and provides for a higher medium urban residential density than typically found in surrounding communities.</w:t>
      </w:r>
    </w:p>
    <w:p w14:paraId="04C3BD86" w14:textId="77777777" w:rsidR="00697E9E" w:rsidRPr="00251F36" w:rsidRDefault="00697E9E" w:rsidP="00206C45">
      <w:pPr>
        <w:spacing w:line="300" w:lineRule="auto"/>
        <w:jc w:val="both"/>
        <w:rPr>
          <w:u w:val="single"/>
        </w:rPr>
      </w:pPr>
      <w:r w:rsidRPr="00251F36">
        <w:rPr>
          <w:u w:val="single"/>
        </w:rPr>
        <w:t>Medium-High Density Residential</w:t>
      </w:r>
    </w:p>
    <w:p w14:paraId="1659E36A" w14:textId="6D83EDD7" w:rsidR="00697E9E" w:rsidRPr="00C64BA4" w:rsidRDefault="00903744" w:rsidP="00206C45">
      <w:pPr>
        <w:spacing w:line="300" w:lineRule="auto"/>
        <w:jc w:val="both"/>
      </w:pPr>
      <w:r w:rsidRPr="00C64BA4">
        <w:t xml:space="preserve">Medium-High density residential includes both detached and attached single-family, </w:t>
      </w:r>
      <w:proofErr w:type="gramStart"/>
      <w:r w:rsidRPr="00C64BA4">
        <w:t>duplex</w:t>
      </w:r>
      <w:proofErr w:type="gramEnd"/>
      <w:r w:rsidRPr="00C64BA4">
        <w:t xml:space="preserve"> and multi-family development much like Medium Density Residential development.  However, lot sizes are typically less than one-half acre.  Medium-High density residential is restricted to areas that have access to municipal water and sewer systems.  This land use classification is primarily located in more densely populated communities such as Bedford, Derry, </w:t>
      </w:r>
      <w:proofErr w:type="gramStart"/>
      <w:r w:rsidRPr="00C64BA4">
        <w:t>Hooksett</w:t>
      </w:r>
      <w:proofErr w:type="gramEnd"/>
      <w:r w:rsidRPr="00C64BA4">
        <w:t xml:space="preserve"> and Londonderry.</w:t>
      </w:r>
      <w:r w:rsidR="00697E9E" w:rsidRPr="00C64BA4">
        <w:t xml:space="preserve">  </w:t>
      </w:r>
    </w:p>
    <w:p w14:paraId="11761288" w14:textId="77777777" w:rsidR="00697E9E" w:rsidRPr="00251F36" w:rsidRDefault="00697E9E" w:rsidP="0021177A">
      <w:pPr>
        <w:keepNext/>
        <w:keepLines/>
        <w:spacing w:line="300" w:lineRule="auto"/>
        <w:jc w:val="both"/>
        <w:rPr>
          <w:u w:val="single"/>
        </w:rPr>
      </w:pPr>
      <w:r w:rsidRPr="00251F36">
        <w:rPr>
          <w:u w:val="single"/>
        </w:rPr>
        <w:lastRenderedPageBreak/>
        <w:t xml:space="preserve">High Urban Density Residential </w:t>
      </w:r>
    </w:p>
    <w:p w14:paraId="2F7966A5" w14:textId="3B24F66E" w:rsidR="00697E9E" w:rsidRPr="00C64BA4" w:rsidRDefault="00903744" w:rsidP="0021177A">
      <w:pPr>
        <w:keepNext/>
        <w:keepLines/>
        <w:spacing w:line="300" w:lineRule="auto"/>
        <w:jc w:val="both"/>
      </w:pPr>
      <w:r w:rsidRPr="00C64BA4">
        <w:t>Located primarily within the City of Manchester this land use category consists of and provides for a higher density urban residential development than typically found in surrounding communities.</w:t>
      </w:r>
    </w:p>
    <w:p w14:paraId="5F638B9A" w14:textId="77777777" w:rsidR="00697E9E" w:rsidRPr="00251F36" w:rsidRDefault="00697E9E" w:rsidP="00206C45">
      <w:pPr>
        <w:spacing w:line="300" w:lineRule="auto"/>
        <w:jc w:val="both"/>
        <w:rPr>
          <w:u w:val="single"/>
        </w:rPr>
      </w:pPr>
      <w:r w:rsidRPr="00251F36">
        <w:rPr>
          <w:u w:val="single"/>
        </w:rPr>
        <w:t>Manufactured Housing Zone</w:t>
      </w:r>
    </w:p>
    <w:p w14:paraId="2FA81A43" w14:textId="34FA61A2" w:rsidR="00697E9E" w:rsidRPr="00C64BA4" w:rsidRDefault="00697E9E" w:rsidP="00206C45">
      <w:pPr>
        <w:spacing w:line="300" w:lineRule="auto"/>
        <w:jc w:val="both"/>
      </w:pPr>
      <w:r w:rsidRPr="00C64BA4">
        <w:t xml:space="preserve">A Manufactured Housing zone includes trailers or mobile homes as defined in RSA 674:31. Manufactured housing is also often allowed by Conditional Use throughout </w:t>
      </w:r>
      <w:r w:rsidR="00903744" w:rsidRPr="00C64BA4">
        <w:t>some communities</w:t>
      </w:r>
      <w:r w:rsidRPr="00C64BA4">
        <w:t>.</w:t>
      </w:r>
    </w:p>
    <w:p w14:paraId="3E28D09B" w14:textId="44A88CAA" w:rsidR="00697E9E" w:rsidRPr="00C64BA4" w:rsidRDefault="00903744" w:rsidP="00206C45">
      <w:pPr>
        <w:pStyle w:val="Heading5"/>
        <w:spacing w:line="300" w:lineRule="auto"/>
      </w:pPr>
      <w:r w:rsidRPr="00C64BA4">
        <w:t>Commercial</w:t>
      </w:r>
    </w:p>
    <w:p w14:paraId="6D395D8E" w14:textId="38667FB8" w:rsidR="00903744" w:rsidRPr="00C64BA4" w:rsidRDefault="00903744" w:rsidP="00206C45">
      <w:pPr>
        <w:spacing w:line="300" w:lineRule="auto"/>
        <w:rPr>
          <w:u w:val="single"/>
        </w:rPr>
      </w:pPr>
      <w:r w:rsidRPr="00C64BA4">
        <w:rPr>
          <w:u w:val="single"/>
        </w:rPr>
        <w:t>Commercial</w:t>
      </w:r>
    </w:p>
    <w:p w14:paraId="6D8074FD" w14:textId="77777777" w:rsidR="004E2F56" w:rsidRPr="00C64BA4" w:rsidRDefault="004E2F56" w:rsidP="00206C45">
      <w:pPr>
        <w:spacing w:line="300" w:lineRule="auto"/>
      </w:pPr>
      <w:r w:rsidRPr="00C64BA4">
        <w:t xml:space="preserve">This generalized designation includes all types of commercial and business land uses ranging from neighborhood and limited commercial areas to more intensive highway commercial corridors and shopping centers.  All communities in the region have some area designated as commercial.  Generally, areas identified are near municipal centers or along major corridors. </w:t>
      </w:r>
    </w:p>
    <w:p w14:paraId="68DDBE34" w14:textId="056ACE7E" w:rsidR="00903744" w:rsidRPr="00C64BA4" w:rsidRDefault="00903744" w:rsidP="00206C45">
      <w:pPr>
        <w:spacing w:line="300" w:lineRule="auto"/>
        <w:rPr>
          <w:u w:val="single"/>
        </w:rPr>
      </w:pPr>
      <w:r w:rsidRPr="00C64BA4">
        <w:rPr>
          <w:u w:val="single"/>
        </w:rPr>
        <w:t>Central Business District</w:t>
      </w:r>
    </w:p>
    <w:p w14:paraId="1DD6B5E5" w14:textId="5A865701" w:rsidR="00903744" w:rsidRPr="00C64BA4" w:rsidRDefault="00903744" w:rsidP="00206C45">
      <w:pPr>
        <w:spacing w:line="300" w:lineRule="auto"/>
        <w:jc w:val="both"/>
      </w:pPr>
      <w:r w:rsidRPr="00C64BA4">
        <w:t xml:space="preserve">This zone represents larger areas that include a mix of office and commercial, most notably located within the hub/core of the municipality. Often these areas are also served by higher density housing. </w:t>
      </w:r>
    </w:p>
    <w:p w14:paraId="34BC5A00" w14:textId="1C6E398F" w:rsidR="00903744" w:rsidRPr="00C64BA4" w:rsidRDefault="004E2F56" w:rsidP="00206C45">
      <w:pPr>
        <w:pStyle w:val="Heading5"/>
        <w:spacing w:line="300" w:lineRule="auto"/>
      </w:pPr>
      <w:r w:rsidRPr="00C64BA4">
        <w:t>Industrial</w:t>
      </w:r>
    </w:p>
    <w:p w14:paraId="2B714CAF" w14:textId="2C14AA05" w:rsidR="00F8249C" w:rsidRPr="00C64BA4" w:rsidRDefault="00F8249C" w:rsidP="00206C45">
      <w:pPr>
        <w:spacing w:line="300" w:lineRule="auto"/>
        <w:jc w:val="both"/>
      </w:pPr>
      <w:r w:rsidRPr="00C64BA4">
        <w:t>An industrial district is one that is designated for higher impact uses, such as manufacturing</w:t>
      </w:r>
      <w:r w:rsidR="002217E1" w:rsidRPr="00C64BA4">
        <w:t xml:space="preserve">, </w:t>
      </w:r>
      <w:proofErr w:type="gramStart"/>
      <w:r w:rsidR="002217E1" w:rsidRPr="00C64BA4">
        <w:t>warehousing</w:t>
      </w:r>
      <w:proofErr w:type="gramEnd"/>
      <w:r w:rsidR="002217E1" w:rsidRPr="00C64BA4">
        <w:t xml:space="preserve"> and storage.  Since these kinds of uses tend to have greater impacts in terms of heavy vehicle traffic, </w:t>
      </w:r>
      <w:proofErr w:type="gramStart"/>
      <w:r w:rsidR="002217E1" w:rsidRPr="00C64BA4">
        <w:t>noise</w:t>
      </w:r>
      <w:proofErr w:type="gramEnd"/>
      <w:r w:rsidR="002217E1" w:rsidRPr="00C64BA4">
        <w:t xml:space="preserve"> or light pollution, they are often located away from residential areas or a downtown.</w:t>
      </w:r>
    </w:p>
    <w:p w14:paraId="4BA2EC27" w14:textId="0670AB89" w:rsidR="004E2F56" w:rsidRPr="00C64BA4" w:rsidRDefault="004E2F56" w:rsidP="00206C45">
      <w:pPr>
        <w:pStyle w:val="Heading5"/>
        <w:spacing w:line="300" w:lineRule="auto"/>
      </w:pPr>
      <w:r w:rsidRPr="00C64BA4">
        <w:t>Mixed-Use</w:t>
      </w:r>
    </w:p>
    <w:p w14:paraId="71DA7C86" w14:textId="5F0E59D5" w:rsidR="002217E1" w:rsidRPr="00C64BA4" w:rsidRDefault="002217E1" w:rsidP="00206C45">
      <w:pPr>
        <w:spacing w:line="300" w:lineRule="auto"/>
        <w:jc w:val="both"/>
      </w:pPr>
      <w:r w:rsidRPr="00C64BA4">
        <w:t>A mixed-use district is one that would allow different types of land uses on a lot or in a building – for example, residential and some scale of commercial or business use.  This approach is contrary to the conventional Euclidian zoning, whose primary tenet was to separate land uses because certain uses were deemed to be incompatible with one another.  At one time, this was true, when industry was loud and dirty and did not make for a desirable neighbor to homes.  Today, however, with appropriate performance standards in place, there are many non-residential uses that can exist in a residential area without being disruptive.</w:t>
      </w:r>
    </w:p>
    <w:p w14:paraId="2AC5AFF8" w14:textId="2EB1B0DB" w:rsidR="004E2F56" w:rsidRPr="00C64BA4" w:rsidRDefault="004E2F56" w:rsidP="00206C45">
      <w:pPr>
        <w:pStyle w:val="Heading5"/>
        <w:spacing w:line="300" w:lineRule="auto"/>
      </w:pPr>
      <w:r w:rsidRPr="00C64BA4">
        <w:t>Village/Neighborhood Centers</w:t>
      </w:r>
    </w:p>
    <w:p w14:paraId="34DCCEA5" w14:textId="3ECBDDA1" w:rsidR="002217E1" w:rsidRPr="00C64BA4" w:rsidRDefault="002217E1" w:rsidP="00206C45">
      <w:pPr>
        <w:spacing w:line="300" w:lineRule="auto"/>
        <w:jc w:val="both"/>
      </w:pPr>
      <w:r w:rsidRPr="00C64BA4">
        <w:t xml:space="preserve">A Village District or Neighborhood Center is </w:t>
      </w:r>
      <w:proofErr w:type="gramStart"/>
      <w:r w:rsidRPr="00C64BA4">
        <w:t>similar to</w:t>
      </w:r>
      <w:proofErr w:type="gramEnd"/>
      <w:r w:rsidRPr="00C64BA4">
        <w:t xml:space="preserve"> a Central Business District but on a smaller</w:t>
      </w:r>
      <w:r w:rsidR="008F0525" w:rsidRPr="00C64BA4">
        <w:t xml:space="preserve"> scale.  A typical New England village will contain a mix of residential and non-residential uses (e.g., retail, personal services, church, school, post office) that can accommodate a smaller population than a Central Business District would serve.  A Neighborhood Center also applies to </w:t>
      </w:r>
      <w:r w:rsidR="00FB5CF1" w:rsidRPr="00C64BA4">
        <w:t xml:space="preserve">a </w:t>
      </w:r>
      <w:r w:rsidR="005F7D50" w:rsidRPr="00C64BA4">
        <w:t>node</w:t>
      </w:r>
      <w:r w:rsidR="00FB5CF1" w:rsidRPr="00C64BA4">
        <w:t xml:space="preserve"> that will contain some mix of uses, although typically fewer non-residential uses than a Village.  </w:t>
      </w:r>
    </w:p>
    <w:p w14:paraId="5F808DE0" w14:textId="4AF85B8B" w:rsidR="004E2F56" w:rsidRPr="00C64BA4" w:rsidRDefault="004E2F56" w:rsidP="00206C45">
      <w:pPr>
        <w:pStyle w:val="Heading5"/>
        <w:spacing w:line="300" w:lineRule="auto"/>
      </w:pPr>
      <w:r w:rsidRPr="00C64BA4">
        <w:t>Conservation</w:t>
      </w:r>
    </w:p>
    <w:p w14:paraId="51F4000D" w14:textId="13D04AAD" w:rsidR="00903744" w:rsidRPr="00C64BA4" w:rsidRDefault="00FB5CF1" w:rsidP="00206C45">
      <w:pPr>
        <w:spacing w:line="300" w:lineRule="auto"/>
        <w:jc w:val="both"/>
      </w:pPr>
      <w:r w:rsidRPr="00C64BA4">
        <w:t>A Conservation District intends to do what the name implies: conserve land.  Such a district will include land that is already under some sort of conservation easement or ownership</w:t>
      </w:r>
      <w:r w:rsidR="00AF0663">
        <w:t>.</w:t>
      </w:r>
      <w:r w:rsidRPr="00C64BA4">
        <w:t xml:space="preserve"> </w:t>
      </w:r>
      <w:r w:rsidR="00AF0663">
        <w:t>I</w:t>
      </w:r>
      <w:r w:rsidRPr="00C64BA4">
        <w:t>n addition, the ordinance may also allow subdivision and other development, but with stricter controls in place than for other districts.</w:t>
      </w:r>
      <w:r w:rsidR="00A26341" w:rsidRPr="00C64BA4">
        <w:t xml:space="preserve"> </w:t>
      </w:r>
    </w:p>
    <w:p w14:paraId="5D962034" w14:textId="660B3953" w:rsidR="00920122" w:rsidRPr="00C64BA4" w:rsidRDefault="00920122" w:rsidP="00206C45">
      <w:pPr>
        <w:pStyle w:val="Heading4"/>
        <w:spacing w:line="300" w:lineRule="auto"/>
      </w:pPr>
      <w:r w:rsidRPr="00C64BA4">
        <w:lastRenderedPageBreak/>
        <w:t>NH Office of Planning and Development Land Use Survey</w:t>
      </w:r>
    </w:p>
    <w:p w14:paraId="6798415A" w14:textId="118AB1CF" w:rsidR="00920122" w:rsidRPr="00C64BA4" w:rsidRDefault="1FEE002C" w:rsidP="00206C45">
      <w:pPr>
        <w:pStyle w:val="Body"/>
        <w:spacing w:line="300" w:lineRule="auto"/>
      </w:pPr>
      <w:r w:rsidRPr="00C64BA4">
        <w:t xml:space="preserve">The New Hampshire Office of </w:t>
      </w:r>
      <w:r w:rsidR="53D0E7F0" w:rsidRPr="00C64BA4">
        <w:t>Planning and Development</w:t>
      </w:r>
      <w:r w:rsidR="4DE31761" w:rsidRPr="00C64BA4">
        <w:t xml:space="preserve"> acts as the state repository for all local land use regulations including master plans, zoning ordinances, historic district ordinances, capital improvement plans, building codes, subdivision regulations, historic district regulations, and site plan review regulations. </w:t>
      </w:r>
      <w:r w:rsidR="08B44AE0" w:rsidRPr="00C64BA4">
        <w:t xml:space="preserve">RSA 675:9 also authorizes OSI to conduct an annual survey of all municipalities </w:t>
      </w:r>
      <w:proofErr w:type="gramStart"/>
      <w:r w:rsidR="08B44AE0" w:rsidRPr="00C64BA4">
        <w:t>in order to</w:t>
      </w:r>
      <w:proofErr w:type="gramEnd"/>
      <w:r w:rsidR="08B44AE0" w:rsidRPr="00C64BA4">
        <w:t xml:space="preserve"> collect information pertaining to new and/or amended land use ordinances.</w:t>
      </w:r>
      <w:r w:rsidR="61C6A71A" w:rsidRPr="00C64BA4">
        <w:t xml:space="preserve"> </w:t>
      </w:r>
    </w:p>
    <w:p w14:paraId="3121A056" w14:textId="5311D801" w:rsidR="563C26FB" w:rsidRPr="00C64BA4" w:rsidRDefault="61C6A71A" w:rsidP="00206C45">
      <w:pPr>
        <w:pStyle w:val="Body"/>
        <w:spacing w:line="300" w:lineRule="auto"/>
      </w:pPr>
      <w:r w:rsidRPr="00C64BA4">
        <w:t>In 20</w:t>
      </w:r>
      <w:r w:rsidR="0CC87CC7" w:rsidRPr="00C64BA4">
        <w:t>20</w:t>
      </w:r>
      <w:r w:rsidRPr="00C64BA4">
        <w:t xml:space="preserve">, NH </w:t>
      </w:r>
      <w:r w:rsidR="5141305C" w:rsidRPr="00C64BA4">
        <w:t>OPD</w:t>
      </w:r>
      <w:r w:rsidRPr="00C64BA4">
        <w:t xml:space="preserve"> published findings from </w:t>
      </w:r>
      <w:r w:rsidRPr="00227C6E">
        <w:t>the annual survey</w:t>
      </w:r>
      <w:r w:rsidRPr="00C64BA4">
        <w:t xml:space="preserve"> of </w:t>
      </w:r>
      <w:hyperlink r:id="rId70" w:history="1">
        <w:r w:rsidRPr="00227C6E">
          <w:rPr>
            <w:rStyle w:val="Hyperlink"/>
            <w:color w:val="auto"/>
            <w:u w:val="none"/>
          </w:rPr>
          <w:t xml:space="preserve">234 </w:t>
        </w:r>
        <w:r w:rsidR="02DDB6AC" w:rsidRPr="00227C6E">
          <w:rPr>
            <w:rStyle w:val="Hyperlink"/>
            <w:color w:val="auto"/>
            <w:u w:val="none"/>
          </w:rPr>
          <w:t>municipalities</w:t>
        </w:r>
        <w:r w:rsidRPr="00227C6E">
          <w:rPr>
            <w:rStyle w:val="Hyperlink"/>
            <w:color w:val="auto"/>
            <w:u w:val="none"/>
          </w:rPr>
          <w:t xml:space="preserve"> across New Hampshire. </w:t>
        </w:r>
      </w:hyperlink>
      <w:r w:rsidR="00585711">
        <w:rPr>
          <w:rStyle w:val="FootnoteReference"/>
        </w:rPr>
        <w:footnoteReference w:id="55"/>
      </w:r>
    </w:p>
    <w:p w14:paraId="093D74C1" w14:textId="5BD7BCAD" w:rsidR="00DF6748" w:rsidRPr="00C64BA4" w:rsidRDefault="192F52F6" w:rsidP="00206C45">
      <w:pPr>
        <w:pStyle w:val="Heading3"/>
        <w:spacing w:line="300" w:lineRule="auto"/>
      </w:pPr>
      <w:bookmarkStart w:id="216" w:name="_Toc113165612"/>
      <w:bookmarkStart w:id="217" w:name="_Toc474928408"/>
      <w:bookmarkStart w:id="218" w:name="_Toc128137988"/>
      <w:r w:rsidRPr="00C64BA4">
        <w:t>Attitudes towards Growth</w:t>
      </w:r>
      <w:bookmarkEnd w:id="216"/>
      <w:bookmarkEnd w:id="217"/>
      <w:r w:rsidR="00920122" w:rsidRPr="00C64BA4">
        <w:rPr>
          <w:noProof/>
        </w:rPr>
        <w:drawing>
          <wp:anchor distT="0" distB="0" distL="114300" distR="114300" simplePos="0" relativeHeight="251645952" behindDoc="0" locked="0" layoutInCell="1" allowOverlap="1" wp14:anchorId="3EEBC640" wp14:editId="7CCB9C99">
            <wp:simplePos x="0" y="0"/>
            <wp:positionH relativeFrom="column">
              <wp:align>right</wp:align>
            </wp:positionH>
            <wp:positionV relativeFrom="paragraph">
              <wp:posOffset>0</wp:posOffset>
            </wp:positionV>
            <wp:extent cx="2018577" cy="1462357"/>
            <wp:effectExtent l="0" t="0" r="0" b="0"/>
            <wp:wrapSquare wrapText="bothSides"/>
            <wp:docPr id="1898950131" name="Picture 189895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rcRect l="17342" t="29054" r="9909" b="18243"/>
                    <a:stretch>
                      <a:fillRect/>
                    </a:stretch>
                  </pic:blipFill>
                  <pic:spPr>
                    <a:xfrm>
                      <a:off x="0" y="0"/>
                      <a:ext cx="2018577" cy="1462357"/>
                    </a:xfrm>
                    <a:prstGeom prst="rect">
                      <a:avLst/>
                    </a:prstGeom>
                  </pic:spPr>
                </pic:pic>
              </a:graphicData>
            </a:graphic>
            <wp14:sizeRelH relativeFrom="page">
              <wp14:pctWidth>0</wp14:pctWidth>
            </wp14:sizeRelH>
            <wp14:sizeRelV relativeFrom="page">
              <wp14:pctHeight>0</wp14:pctHeight>
            </wp14:sizeRelV>
          </wp:anchor>
        </w:drawing>
      </w:r>
      <w:bookmarkEnd w:id="218"/>
    </w:p>
    <w:p w14:paraId="4FAEACCE" w14:textId="1935436D" w:rsidR="365ADE5D" w:rsidRPr="00C64BA4" w:rsidRDefault="376D50E2" w:rsidP="00206C45">
      <w:pPr>
        <w:pStyle w:val="Body"/>
        <w:spacing w:line="300" w:lineRule="auto"/>
        <w:rPr>
          <w:highlight w:val="yellow"/>
        </w:rPr>
      </w:pPr>
      <w:r w:rsidRPr="00C64BA4">
        <w:t xml:space="preserve">Attitudes towards growth vary significantly throughout the region. The range of attitudes can be bookended by progressive attitudes on one end and conservative on the other.  Those that tend to be on the progressive side are typically open to innovative housing solutions and developing diversity in housing stock. To the extreme, this bookend would be at home with no or fewer regulations, building whatever and wherever. Those on the conservative side tend to be protective about their community changing, preferring minimal growth and typically similar styled homes with those existing in the community. To the extreme, this bookend could be considered exclusionary with a preference to no growth at all.  </w:t>
      </w:r>
      <w:r w:rsidR="5A872E2C" w:rsidRPr="00DC7226">
        <w:t>Although these two extremes exist, typically, planning in the region tends to fall in the middle, with land use boards working</w:t>
      </w:r>
      <w:r w:rsidR="75C11FFB" w:rsidRPr="00DC7226">
        <w:t xml:space="preserve"> with developers to guide growth that is reasonable and reflective of the values of the communities.  </w:t>
      </w:r>
      <w:r w:rsidR="53B6E0A2" w:rsidRPr="00DC7226">
        <w:t xml:space="preserve">Depending on the </w:t>
      </w:r>
      <w:r w:rsidR="3DF8CA36" w:rsidRPr="00DC7226">
        <w:t>attitudes of</w:t>
      </w:r>
      <w:r w:rsidR="42A1520C" w:rsidRPr="00DC7226">
        <w:t xml:space="preserve"> the land use boards, their opinions on growth </w:t>
      </w:r>
      <w:r w:rsidRPr="00DC7226">
        <w:t>are often reflected in policies</w:t>
      </w:r>
      <w:r w:rsidR="2B49392C" w:rsidRPr="00DC7226">
        <w:t xml:space="preserve"> and</w:t>
      </w:r>
      <w:r w:rsidRPr="00DC7226">
        <w:t xml:space="preserve"> </w:t>
      </w:r>
      <w:r w:rsidR="006A6894" w:rsidRPr="00DC7226">
        <w:t>regulations,</w:t>
      </w:r>
      <w:r w:rsidRPr="00DC7226">
        <w:t xml:space="preserve"> and even in how land use boards work with builders and developers in guiding applications through the development process.</w:t>
      </w:r>
    </w:p>
    <w:p w14:paraId="408AF16D" w14:textId="17CF1285" w:rsidR="365ADE5D" w:rsidRPr="00C64BA4" w:rsidRDefault="00020479" w:rsidP="00206C45">
      <w:pPr>
        <w:pStyle w:val="Body"/>
        <w:spacing w:line="300" w:lineRule="auto"/>
      </w:pPr>
      <w:r>
        <w:t xml:space="preserve">WHAT WE HEARD, THOUGHTS ON HOUSING:  </w:t>
      </w:r>
      <w:r w:rsidR="192F52F6" w:rsidRPr="00C64BA4">
        <w:t xml:space="preserve">In April 2022, SNHPC staff met virtually with Town Administrators, Planning and Zoning board representatives, health/welfare departments and community organizations to collect input on various housing topics. Representatives from the City of Manchester reported that the attitude toward housing development is generally positive. The Planning Board is very receptive and responsive, and </w:t>
      </w:r>
      <w:proofErr w:type="gramStart"/>
      <w:r w:rsidR="192F52F6" w:rsidRPr="00C64BA4">
        <w:t>the majority of</w:t>
      </w:r>
      <w:proofErr w:type="gramEnd"/>
      <w:r w:rsidR="192F52F6" w:rsidRPr="00C64BA4">
        <w:t xml:space="preserve"> people speaking publicly on housing are advocating for more housing and more affordable housing and support the necessary policy changes. There is high demand for </w:t>
      </w:r>
      <w:proofErr w:type="gramStart"/>
      <w:r w:rsidR="192F52F6" w:rsidRPr="00C64BA4">
        <w:t>any and all</w:t>
      </w:r>
      <w:proofErr w:type="gramEnd"/>
      <w:r w:rsidR="192F52F6" w:rsidRPr="00C64BA4">
        <w:t xml:space="preserve"> types of housing in the city. This echo</w:t>
      </w:r>
      <w:r w:rsidR="00D925D5">
        <w:t>e</w:t>
      </w:r>
      <w:r w:rsidR="192F52F6" w:rsidRPr="00C64BA4">
        <w:t xml:space="preserve">s the sentiments from Manchester Planning staff at the Town Planners Focus Group Meeting held in March 2022. The </w:t>
      </w:r>
      <w:r w:rsidR="00D925D5">
        <w:t>c</w:t>
      </w:r>
      <w:r w:rsidR="192F52F6" w:rsidRPr="00C64BA4">
        <w:t>ity has been collecting community input on housing as part of their 2021 Master Plan and the Manchester Zoning Ordinance revision and update.</w:t>
      </w:r>
    </w:p>
    <w:p w14:paraId="2F2E5790" w14:textId="04A045D0" w:rsidR="365ADE5D" w:rsidRDefault="192F52F6" w:rsidP="00206C45">
      <w:pPr>
        <w:pStyle w:val="Body"/>
        <w:spacing w:line="300" w:lineRule="auto"/>
      </w:pPr>
      <w:r w:rsidRPr="00C64BA4">
        <w:t xml:space="preserve">NeighborWorks® Southern New Hampshire is a nonprofit organization that provides access to quality housing services, revitalizes </w:t>
      </w:r>
      <w:proofErr w:type="gramStart"/>
      <w:r w:rsidRPr="00C64BA4">
        <w:t>neighborhoods</w:t>
      </w:r>
      <w:proofErr w:type="gramEnd"/>
      <w:r w:rsidRPr="00C64BA4">
        <w:t xml:space="preserve"> and supports opportunities for personal empowerment. In working in the region, they have experienced a lot of NIMBY-ism (Not </w:t>
      </w:r>
      <w:proofErr w:type="gramStart"/>
      <w:r w:rsidRPr="00C64BA4">
        <w:t>In</w:t>
      </w:r>
      <w:proofErr w:type="gramEnd"/>
      <w:r w:rsidRPr="00C64BA4">
        <w:t xml:space="preserve"> My Backyard) regarding density and housing diversity.</w:t>
      </w:r>
    </w:p>
    <w:p w14:paraId="13A2E421" w14:textId="77777777" w:rsidR="00A17D67" w:rsidRPr="00C64BA4" w:rsidRDefault="00A17D67" w:rsidP="00206C45">
      <w:pPr>
        <w:pStyle w:val="Body"/>
        <w:spacing w:line="300" w:lineRule="auto"/>
      </w:pPr>
    </w:p>
    <w:tbl>
      <w:tblPr>
        <w:tblStyle w:val="TableGrid"/>
        <w:tblpPr w:leftFromText="180" w:rightFromText="180" w:vertAnchor="text" w:tblpY="1"/>
        <w:tblOverlap w:val="never"/>
        <w:tblW w:w="0" w:type="auto"/>
        <w:tblLook w:val="04A0" w:firstRow="1" w:lastRow="0" w:firstColumn="1" w:lastColumn="0" w:noHBand="0" w:noVBand="1"/>
      </w:tblPr>
      <w:tblGrid>
        <w:gridCol w:w="3348"/>
      </w:tblGrid>
      <w:tr w:rsidR="00062A6F" w:rsidRPr="00DC7226" w14:paraId="1D03CD28" w14:textId="77777777" w:rsidTr="00A17D67">
        <w:trPr>
          <w:cantSplit/>
        </w:trPr>
        <w:tc>
          <w:tcPr>
            <w:tcW w:w="3348" w:type="dxa"/>
            <w:tcBorders>
              <w:top w:val="single" w:sz="12" w:space="0" w:color="B6CEFF" w:themeColor="text2" w:themeTint="33"/>
              <w:left w:val="single" w:sz="12" w:space="0" w:color="B6CEFF" w:themeColor="text2" w:themeTint="33"/>
              <w:bottom w:val="single" w:sz="12" w:space="0" w:color="B6CEFF" w:themeColor="text2" w:themeTint="33"/>
              <w:right w:val="single" w:sz="12" w:space="0" w:color="B6CEFF" w:themeColor="text2" w:themeTint="33"/>
            </w:tcBorders>
          </w:tcPr>
          <w:p w14:paraId="0CDD3340" w14:textId="0E97BF37" w:rsidR="00062A6F" w:rsidRPr="00DC7226" w:rsidRDefault="00062A6F" w:rsidP="00206C45">
            <w:pPr>
              <w:pStyle w:val="Body"/>
              <w:spacing w:line="300" w:lineRule="auto"/>
              <w:jc w:val="left"/>
              <w:rPr>
                <w:i/>
                <w:iCs/>
                <w:sz w:val="28"/>
                <w:szCs w:val="28"/>
                <w:vertAlign w:val="superscript"/>
              </w:rPr>
            </w:pPr>
            <w:r w:rsidRPr="00DC7226">
              <w:rPr>
                <w:i/>
                <w:iCs/>
                <w:sz w:val="28"/>
                <w:szCs w:val="28"/>
              </w:rPr>
              <w:t>“</w:t>
            </w:r>
            <w:proofErr w:type="gramStart"/>
            <w:r w:rsidRPr="00DC7226">
              <w:rPr>
                <w:i/>
                <w:iCs/>
                <w:sz w:val="28"/>
                <w:szCs w:val="28"/>
              </w:rPr>
              <w:t>common</w:t>
            </w:r>
            <w:proofErr w:type="gramEnd"/>
            <w:r w:rsidRPr="00DC7226">
              <w:rPr>
                <w:i/>
                <w:iCs/>
                <w:sz w:val="28"/>
                <w:szCs w:val="28"/>
              </w:rPr>
              <w:t xml:space="preserve"> perceptions are that high density residential development does not contribute sufficiently to the cost of</w:t>
            </w:r>
            <w:r w:rsidRPr="00DC7226">
              <w:rPr>
                <w:i/>
                <w:iCs/>
                <w:color w:val="6F309F"/>
                <w:sz w:val="28"/>
                <w:szCs w:val="28"/>
              </w:rPr>
              <w:t xml:space="preserve"> </w:t>
            </w:r>
            <w:r w:rsidRPr="00DC7226">
              <w:rPr>
                <w:i/>
                <w:iCs/>
                <w:sz w:val="28"/>
                <w:szCs w:val="28"/>
              </w:rPr>
              <w:t>schools, yet research shows such development actually subsidizes low density single family detached development.”</w:t>
            </w:r>
            <w:r w:rsidR="00585711" w:rsidRPr="00DC7226">
              <w:rPr>
                <w:rStyle w:val="FootnoteReference"/>
                <w:i/>
                <w:iCs/>
                <w:sz w:val="28"/>
                <w:szCs w:val="28"/>
              </w:rPr>
              <w:footnoteReference w:id="56"/>
            </w:r>
          </w:p>
        </w:tc>
      </w:tr>
    </w:tbl>
    <w:p w14:paraId="4B9F6273" w14:textId="06787489" w:rsidR="365ADE5D" w:rsidRPr="00C64BA4" w:rsidRDefault="192F52F6" w:rsidP="00206C45">
      <w:pPr>
        <w:pStyle w:val="Body"/>
        <w:spacing w:line="300" w:lineRule="auto"/>
      </w:pPr>
      <w:r w:rsidRPr="00DC7226">
        <w:t>In some of SNHPC’s more medium</w:t>
      </w:r>
      <w:r w:rsidR="00D925D5" w:rsidRPr="00DC7226">
        <w:t>-</w:t>
      </w:r>
      <w:r w:rsidRPr="00DC7226">
        <w:t>sized communities, participants in the SNHPC housing focus groups shared that many residents don’t want additional development, they want the community to remain as is and s</w:t>
      </w:r>
      <w:r w:rsidR="00D925D5" w:rsidRPr="00DC7226">
        <w:t>ee</w:t>
      </w:r>
      <w:r w:rsidRPr="00DC7226">
        <w:t xml:space="preserve"> workforce housing as an unwanted entity. These residents were worried about impacts to schools, the possible need for larger school districts, and the snowball effect of school and business growth resulting in more traffic. In some smaller towns, the public perception is that growth and density would change the character of the community.</w:t>
      </w:r>
    </w:p>
    <w:p w14:paraId="76B0F4C2" w14:textId="0D83CB35" w:rsidR="5F5195FF" w:rsidRPr="00C64BA4" w:rsidRDefault="192F52F6" w:rsidP="00206C45">
      <w:pPr>
        <w:pStyle w:val="Body"/>
        <w:spacing w:line="300" w:lineRule="auto"/>
      </w:pPr>
      <w:r w:rsidRPr="00C64BA4">
        <w:t>Still, many participants in the housing focus groups, despite the size of community they lived in</w:t>
      </w:r>
      <w:r w:rsidR="00D925D5">
        <w:t>,</w:t>
      </w:r>
      <w:r w:rsidRPr="00C64BA4">
        <w:t xml:space="preserve"> shared in a common concern about the lack of options for those wanting to rent or buy their first home or those who want to age within their community but want to downsize.</w:t>
      </w:r>
    </w:p>
    <w:p w14:paraId="15DC6857" w14:textId="0DF5035A" w:rsidR="6E9488CC" w:rsidRPr="00C64BA4" w:rsidRDefault="00857D75" w:rsidP="00206C45">
      <w:pPr>
        <w:pStyle w:val="Body"/>
        <w:spacing w:line="300" w:lineRule="auto"/>
        <w:rPr>
          <w:lang w:val="en"/>
        </w:rPr>
      </w:pPr>
      <w:r>
        <w:rPr>
          <w:rFonts w:eastAsia="Tw Cen MT" w:cs="Tw Cen MT"/>
          <w:lang w:val="en"/>
        </w:rPr>
        <w:t>During the spring of 2022, multiple</w:t>
      </w:r>
      <w:r w:rsidR="6F96B14E" w:rsidRPr="00C64BA4">
        <w:rPr>
          <w:rFonts w:eastAsia="Tw Cen MT" w:cs="Tw Cen MT"/>
          <w:lang w:val="en"/>
        </w:rPr>
        <w:t xml:space="preserve"> surveys were developed </w:t>
      </w:r>
      <w:r>
        <w:rPr>
          <w:rFonts w:eastAsia="Tw Cen MT" w:cs="Tw Cen MT"/>
          <w:lang w:val="en"/>
        </w:rPr>
        <w:t xml:space="preserve">by the regional planning commissions and their partners to provide common questions about housing to many different groups.  The strategy was to coordinate the effort so that a comparison of regions could be made.  These surveys </w:t>
      </w:r>
      <w:r w:rsidR="6F96B14E" w:rsidRPr="00C64BA4">
        <w:rPr>
          <w:rFonts w:eastAsia="Tw Cen MT" w:cs="Tw Cen MT"/>
          <w:lang w:val="en"/>
        </w:rPr>
        <w:t xml:space="preserve">were distributed statewide. </w:t>
      </w:r>
      <w:r w:rsidR="6F96B14E" w:rsidRPr="00C64BA4">
        <w:rPr>
          <w:lang w:val="en"/>
        </w:rPr>
        <w:t xml:space="preserve">Themes from </w:t>
      </w:r>
      <w:r>
        <w:rPr>
          <w:lang w:val="en"/>
        </w:rPr>
        <w:t xml:space="preserve">the </w:t>
      </w:r>
      <w:proofErr w:type="gramStart"/>
      <w:r>
        <w:rPr>
          <w:lang w:val="en"/>
        </w:rPr>
        <w:t>general public</w:t>
      </w:r>
      <w:proofErr w:type="gramEnd"/>
      <w:r>
        <w:rPr>
          <w:lang w:val="en"/>
        </w:rPr>
        <w:t xml:space="preserve"> survey </w:t>
      </w:r>
      <w:r w:rsidR="6F96B14E" w:rsidRPr="00C64BA4">
        <w:rPr>
          <w:lang w:val="en"/>
        </w:rPr>
        <w:t>include</w:t>
      </w:r>
      <w:r>
        <w:rPr>
          <w:lang w:val="en"/>
        </w:rPr>
        <w:t>d the following</w:t>
      </w:r>
      <w:r w:rsidR="6F96B14E" w:rsidRPr="00C64BA4">
        <w:rPr>
          <w:lang w:val="en"/>
        </w:rPr>
        <w:t xml:space="preserve">: </w:t>
      </w:r>
    </w:p>
    <w:p w14:paraId="1268C993" w14:textId="63E47105" w:rsidR="6F96B14E" w:rsidRPr="00C64BA4" w:rsidRDefault="6F96B14E" w:rsidP="00206C45">
      <w:pPr>
        <w:pStyle w:val="Body"/>
        <w:numPr>
          <w:ilvl w:val="0"/>
          <w:numId w:val="4"/>
        </w:numPr>
        <w:spacing w:line="300" w:lineRule="auto"/>
        <w:rPr>
          <w:lang w:val="en"/>
        </w:rPr>
      </w:pPr>
      <w:r w:rsidRPr="00C64BA4">
        <w:rPr>
          <w:lang w:val="en"/>
        </w:rPr>
        <w:t xml:space="preserve">When choosing a neighborhood, top priorities are price and area </w:t>
      </w:r>
      <w:proofErr w:type="gramStart"/>
      <w:r w:rsidRPr="00C64BA4">
        <w:rPr>
          <w:lang w:val="en"/>
        </w:rPr>
        <w:t>safety</w:t>
      </w:r>
      <w:proofErr w:type="gramEnd"/>
    </w:p>
    <w:p w14:paraId="5570B3BF" w14:textId="34372EFE" w:rsidR="6F96B14E" w:rsidRPr="00C64BA4" w:rsidRDefault="6F96B14E" w:rsidP="00206C45">
      <w:pPr>
        <w:pStyle w:val="Body"/>
        <w:numPr>
          <w:ilvl w:val="0"/>
          <w:numId w:val="4"/>
        </w:numPr>
        <w:spacing w:line="300" w:lineRule="auto"/>
        <w:rPr>
          <w:lang w:val="en"/>
        </w:rPr>
      </w:pPr>
      <w:r w:rsidRPr="00C64BA4">
        <w:rPr>
          <w:rFonts w:eastAsia="Tw Cen MT" w:cs="Tw Cen MT"/>
          <w:lang w:val="en"/>
        </w:rPr>
        <w:t>82% of respondents "agreed" (46%) or "strongly agreed" (36%) that more moderate</w:t>
      </w:r>
      <w:r w:rsidR="004A7B36">
        <w:rPr>
          <w:rFonts w:eastAsia="Tw Cen MT" w:cs="Tw Cen MT"/>
          <w:lang w:val="en"/>
        </w:rPr>
        <w:t>-</w:t>
      </w:r>
      <w:r w:rsidRPr="00C64BA4">
        <w:rPr>
          <w:rFonts w:eastAsia="Tw Cen MT" w:cs="Tw Cen MT"/>
          <w:lang w:val="en"/>
        </w:rPr>
        <w:t xml:space="preserve">income housing is </w:t>
      </w:r>
      <w:proofErr w:type="gramStart"/>
      <w:r w:rsidRPr="00C64BA4">
        <w:rPr>
          <w:rFonts w:eastAsia="Tw Cen MT" w:cs="Tw Cen MT"/>
          <w:lang w:val="en"/>
        </w:rPr>
        <w:t>needed</w:t>
      </w:r>
      <w:proofErr w:type="gramEnd"/>
    </w:p>
    <w:p w14:paraId="4512A1E2" w14:textId="4412892F" w:rsidR="6F96B14E" w:rsidRPr="00C64BA4" w:rsidRDefault="6F96B14E" w:rsidP="00206C45">
      <w:pPr>
        <w:pStyle w:val="Body"/>
        <w:numPr>
          <w:ilvl w:val="0"/>
          <w:numId w:val="4"/>
        </w:numPr>
        <w:spacing w:line="300" w:lineRule="auto"/>
        <w:rPr>
          <w:rFonts w:eastAsia="Tw Cen MT" w:cs="Tw Cen MT"/>
          <w:lang w:val="en"/>
        </w:rPr>
      </w:pPr>
      <w:r w:rsidRPr="00C64BA4">
        <w:rPr>
          <w:rFonts w:eastAsia="Tw Cen MT" w:cs="Tw Cen MT"/>
          <w:lang w:val="en"/>
        </w:rPr>
        <w:t xml:space="preserve">64% of respondents "agreed" (25%) or "strongly agree" (39%) that more low-income housing units </w:t>
      </w:r>
      <w:r w:rsidR="004A7B36">
        <w:rPr>
          <w:rFonts w:eastAsia="Tw Cen MT" w:cs="Tw Cen MT"/>
          <w:lang w:val="en"/>
        </w:rPr>
        <w:t>is</w:t>
      </w:r>
      <w:r w:rsidR="004A7B36" w:rsidRPr="00C64BA4">
        <w:rPr>
          <w:rFonts w:eastAsia="Tw Cen MT" w:cs="Tw Cen MT"/>
          <w:lang w:val="en"/>
        </w:rPr>
        <w:t xml:space="preserve"> </w:t>
      </w:r>
      <w:proofErr w:type="gramStart"/>
      <w:r w:rsidRPr="00C64BA4">
        <w:rPr>
          <w:rFonts w:eastAsia="Tw Cen MT" w:cs="Tw Cen MT"/>
          <w:lang w:val="en"/>
        </w:rPr>
        <w:t>needed</w:t>
      </w:r>
      <w:proofErr w:type="gramEnd"/>
    </w:p>
    <w:p w14:paraId="3D7CAACF" w14:textId="1625B1C9" w:rsidR="6F96B14E" w:rsidRPr="00C64BA4" w:rsidRDefault="6F96B14E" w:rsidP="00206C45">
      <w:pPr>
        <w:pStyle w:val="Body"/>
        <w:numPr>
          <w:ilvl w:val="0"/>
          <w:numId w:val="4"/>
        </w:numPr>
        <w:spacing w:line="300" w:lineRule="auto"/>
        <w:rPr>
          <w:lang w:val="en"/>
        </w:rPr>
      </w:pPr>
      <w:r w:rsidRPr="00C64BA4">
        <w:rPr>
          <w:rFonts w:eastAsia="Tw Cen MT" w:cs="Tw Cen MT"/>
          <w:lang w:val="en"/>
        </w:rPr>
        <w:t xml:space="preserve">63% "agreed" (27%) or "strongly agreed" (36%) more rental housing is </w:t>
      </w:r>
      <w:proofErr w:type="gramStart"/>
      <w:r w:rsidRPr="00C64BA4">
        <w:rPr>
          <w:rFonts w:eastAsia="Tw Cen MT" w:cs="Tw Cen MT"/>
          <w:lang w:val="en"/>
        </w:rPr>
        <w:t>needed</w:t>
      </w:r>
      <w:proofErr w:type="gramEnd"/>
    </w:p>
    <w:p w14:paraId="591FD8FB" w14:textId="3F221A1A" w:rsidR="6F96B14E" w:rsidRPr="00C64BA4" w:rsidRDefault="6F96B14E" w:rsidP="00206C45">
      <w:pPr>
        <w:pStyle w:val="Body"/>
        <w:numPr>
          <w:ilvl w:val="0"/>
          <w:numId w:val="4"/>
        </w:numPr>
        <w:spacing w:line="300" w:lineRule="auto"/>
        <w:rPr>
          <w:rFonts w:eastAsia="Tw Cen MT" w:cs="Tw Cen MT"/>
          <w:lang w:val="en"/>
        </w:rPr>
      </w:pPr>
      <w:r w:rsidRPr="00C64BA4">
        <w:rPr>
          <w:rFonts w:eastAsia="Tw Cen MT" w:cs="Tw Cen MT"/>
          <w:lang w:val="en"/>
        </w:rPr>
        <w:t xml:space="preserve">62% "agreed" (31%) or "strongly agreed" (31%) that more senior housing is </w:t>
      </w:r>
      <w:proofErr w:type="gramStart"/>
      <w:r w:rsidRPr="00C64BA4">
        <w:rPr>
          <w:rFonts w:eastAsia="Tw Cen MT" w:cs="Tw Cen MT"/>
          <w:lang w:val="en"/>
        </w:rPr>
        <w:t>needed</w:t>
      </w:r>
      <w:proofErr w:type="gramEnd"/>
    </w:p>
    <w:p w14:paraId="77A8AACE" w14:textId="1A50261F" w:rsidR="6F96B14E" w:rsidRPr="00C64BA4" w:rsidRDefault="6F96B14E" w:rsidP="00206C45">
      <w:pPr>
        <w:pStyle w:val="Body"/>
        <w:numPr>
          <w:ilvl w:val="0"/>
          <w:numId w:val="4"/>
        </w:numPr>
        <w:spacing w:line="300" w:lineRule="auto"/>
        <w:rPr>
          <w:rFonts w:eastAsia="Tw Cen MT" w:cs="Tw Cen MT"/>
          <w:lang w:val="en"/>
        </w:rPr>
      </w:pPr>
      <w:r w:rsidRPr="00C64BA4">
        <w:rPr>
          <w:rFonts w:eastAsia="Tw Cen MT" w:cs="Tw Cen MT"/>
          <w:lang w:val="en"/>
        </w:rPr>
        <w:t xml:space="preserve">62% of respondents "disagreed" (29%) or "strongly disagreed" (33%) that additional high end housing units are </w:t>
      </w:r>
      <w:proofErr w:type="gramStart"/>
      <w:r w:rsidRPr="00C64BA4">
        <w:rPr>
          <w:rFonts w:eastAsia="Tw Cen MT" w:cs="Tw Cen MT"/>
          <w:lang w:val="en"/>
        </w:rPr>
        <w:t>needed</w:t>
      </w:r>
      <w:proofErr w:type="gramEnd"/>
    </w:p>
    <w:p w14:paraId="2CD32868" w14:textId="5285692F" w:rsidR="6F96B14E" w:rsidRPr="00C64BA4" w:rsidRDefault="6F96B14E" w:rsidP="0021177A">
      <w:pPr>
        <w:pStyle w:val="Body"/>
        <w:keepNext/>
        <w:keepLines/>
        <w:numPr>
          <w:ilvl w:val="0"/>
          <w:numId w:val="4"/>
        </w:numPr>
        <w:spacing w:line="300" w:lineRule="auto"/>
        <w:rPr>
          <w:rFonts w:eastAsia="Tw Cen MT" w:cs="Tw Cen MT"/>
          <w:lang w:val="en"/>
        </w:rPr>
      </w:pPr>
      <w:r w:rsidRPr="00C64BA4">
        <w:rPr>
          <w:rFonts w:eastAsia="Tw Cen MT" w:cs="Tw Cen MT"/>
          <w:lang w:val="en"/>
        </w:rPr>
        <w:lastRenderedPageBreak/>
        <w:t xml:space="preserve">An open-ended question in the </w:t>
      </w:r>
      <w:proofErr w:type="gramStart"/>
      <w:r w:rsidRPr="00C64BA4">
        <w:rPr>
          <w:rFonts w:eastAsia="Tw Cen MT" w:cs="Tw Cen MT"/>
          <w:lang w:val="en"/>
        </w:rPr>
        <w:t>general public</w:t>
      </w:r>
      <w:proofErr w:type="gramEnd"/>
      <w:r w:rsidRPr="00C64BA4">
        <w:rPr>
          <w:rFonts w:eastAsia="Tw Cen MT" w:cs="Tw Cen MT"/>
          <w:lang w:val="en"/>
        </w:rPr>
        <w:t xml:space="preserve"> survey asked</w:t>
      </w:r>
      <w:r w:rsidR="004A7B36">
        <w:rPr>
          <w:rFonts w:eastAsia="Tw Cen MT" w:cs="Tw Cen MT"/>
          <w:lang w:val="en"/>
        </w:rPr>
        <w:t>,</w:t>
      </w:r>
      <w:r w:rsidRPr="00C64BA4">
        <w:rPr>
          <w:rFonts w:eastAsia="Tw Cen MT" w:cs="Tw Cen MT"/>
          <w:lang w:val="en"/>
        </w:rPr>
        <w:t xml:space="preserve"> “What desires/goals do you have for housing in the future?”. The responses were categorized by theme. Top 5:</w:t>
      </w:r>
    </w:p>
    <w:p w14:paraId="323FD06D" w14:textId="56BE93F9" w:rsidR="6F96B14E" w:rsidRPr="00C64BA4" w:rsidRDefault="6F96B14E" w:rsidP="0021177A">
      <w:pPr>
        <w:pStyle w:val="Body"/>
        <w:keepNext/>
        <w:keepLines/>
        <w:numPr>
          <w:ilvl w:val="1"/>
          <w:numId w:val="4"/>
        </w:numPr>
        <w:spacing w:line="300" w:lineRule="auto"/>
        <w:rPr>
          <w:rFonts w:eastAsia="Tw Cen MT" w:cs="Tw Cen MT"/>
          <w:lang w:val="en"/>
        </w:rPr>
      </w:pPr>
      <w:r w:rsidRPr="00C64BA4">
        <w:rPr>
          <w:rFonts w:eastAsia="Tw Cen MT" w:cs="Tw Cen MT"/>
          <w:lang w:val="en"/>
        </w:rPr>
        <w:t>Small or downsize (20.7%)</w:t>
      </w:r>
    </w:p>
    <w:p w14:paraId="5DFA6EB6" w14:textId="7C3370EB" w:rsidR="6F96B14E" w:rsidRPr="00C64BA4" w:rsidRDefault="6F96B14E" w:rsidP="0021177A">
      <w:pPr>
        <w:pStyle w:val="Body"/>
        <w:keepNext/>
        <w:keepLines/>
        <w:numPr>
          <w:ilvl w:val="1"/>
          <w:numId w:val="4"/>
        </w:numPr>
        <w:spacing w:line="300" w:lineRule="auto"/>
        <w:rPr>
          <w:rFonts w:eastAsia="Tw Cen MT" w:cs="Tw Cen MT"/>
          <w:lang w:val="en"/>
        </w:rPr>
      </w:pPr>
      <w:r w:rsidRPr="00C64BA4">
        <w:rPr>
          <w:rFonts w:eastAsia="Tw Cen MT" w:cs="Tw Cen MT"/>
          <w:lang w:val="en"/>
        </w:rPr>
        <w:t>Affordable or efficient (12.8%)</w:t>
      </w:r>
    </w:p>
    <w:p w14:paraId="739BE53D" w14:textId="753E0BD5" w:rsidR="6F96B14E" w:rsidRPr="00C64BA4" w:rsidRDefault="6F96B14E" w:rsidP="0021177A">
      <w:pPr>
        <w:pStyle w:val="Body"/>
        <w:keepNext/>
        <w:keepLines/>
        <w:numPr>
          <w:ilvl w:val="1"/>
          <w:numId w:val="4"/>
        </w:numPr>
        <w:spacing w:line="300" w:lineRule="auto"/>
        <w:rPr>
          <w:rFonts w:eastAsia="Tw Cen MT" w:cs="Tw Cen MT"/>
          <w:lang w:val="en"/>
        </w:rPr>
      </w:pPr>
      <w:r w:rsidRPr="00C64BA4">
        <w:rPr>
          <w:rFonts w:eastAsia="Tw Cen MT" w:cs="Tw Cen MT"/>
          <w:lang w:val="en"/>
        </w:rPr>
        <w:t xml:space="preserve">Bigger or </w:t>
      </w:r>
      <w:r w:rsidR="004A7B36">
        <w:rPr>
          <w:rFonts w:eastAsia="Tw Cen MT" w:cs="Tw Cen MT"/>
          <w:lang w:val="en"/>
        </w:rPr>
        <w:t xml:space="preserve">more </w:t>
      </w:r>
      <w:r w:rsidRPr="00C64BA4">
        <w:rPr>
          <w:rFonts w:eastAsia="Tw Cen MT" w:cs="Tw Cen MT"/>
          <w:lang w:val="en"/>
        </w:rPr>
        <w:t>land (9.8%)</w:t>
      </w:r>
    </w:p>
    <w:p w14:paraId="3ACA9854" w14:textId="37EFFAB4" w:rsidR="6F96B14E" w:rsidRPr="00C64BA4" w:rsidRDefault="6F96B14E" w:rsidP="0021177A">
      <w:pPr>
        <w:pStyle w:val="Body"/>
        <w:keepNext/>
        <w:keepLines/>
        <w:numPr>
          <w:ilvl w:val="1"/>
          <w:numId w:val="4"/>
        </w:numPr>
        <w:spacing w:line="300" w:lineRule="auto"/>
        <w:rPr>
          <w:rFonts w:eastAsia="Tw Cen MT" w:cs="Tw Cen MT"/>
          <w:lang w:val="en"/>
        </w:rPr>
      </w:pPr>
      <w:r w:rsidRPr="00C64BA4">
        <w:rPr>
          <w:rFonts w:eastAsia="Tw Cen MT" w:cs="Tw Cen MT"/>
          <w:lang w:val="en"/>
        </w:rPr>
        <w:t>Home ownership (9.2%)</w:t>
      </w:r>
    </w:p>
    <w:p w14:paraId="74E6C48B" w14:textId="5878BD82" w:rsidR="6F96B14E" w:rsidRPr="00C64BA4" w:rsidRDefault="6F96B14E" w:rsidP="0021177A">
      <w:pPr>
        <w:pStyle w:val="Body"/>
        <w:keepNext/>
        <w:keepLines/>
        <w:numPr>
          <w:ilvl w:val="1"/>
          <w:numId w:val="4"/>
        </w:numPr>
        <w:spacing w:line="300" w:lineRule="auto"/>
        <w:rPr>
          <w:rFonts w:eastAsia="Tw Cen MT" w:cs="Tw Cen MT"/>
          <w:lang w:val="en"/>
        </w:rPr>
      </w:pPr>
      <w:r w:rsidRPr="00C64BA4">
        <w:rPr>
          <w:rFonts w:eastAsia="Tw Cen MT" w:cs="Tw Cen MT"/>
          <w:lang w:val="en"/>
        </w:rPr>
        <w:t>Unknown or none (8.1%)</w:t>
      </w:r>
    </w:p>
    <w:p w14:paraId="4530D678" w14:textId="086091AF" w:rsidR="6F96B14E" w:rsidRPr="00C64BA4" w:rsidRDefault="6F96B14E" w:rsidP="00206C45">
      <w:pPr>
        <w:spacing w:line="300" w:lineRule="auto"/>
        <w:rPr>
          <w:rFonts w:eastAsia="Tw Cen MT" w:cs="Tw Cen MT"/>
          <w:lang w:val="en"/>
        </w:rPr>
      </w:pPr>
      <w:r w:rsidRPr="00C64BA4">
        <w:rPr>
          <w:rFonts w:eastAsia="Tw Cen MT" w:cs="Tw Cen MT"/>
          <w:lang w:val="en"/>
        </w:rPr>
        <w:t xml:space="preserve">Comments from the City of Manchester municipal focus group meeting </w:t>
      </w:r>
      <w:r w:rsidR="00C24C0B">
        <w:rPr>
          <w:rFonts w:eastAsia="Tw Cen MT" w:cs="Tw Cen MT"/>
          <w:lang w:val="en"/>
        </w:rPr>
        <w:t>indicated</w:t>
      </w:r>
      <w:r w:rsidRPr="00C64BA4">
        <w:rPr>
          <w:rFonts w:eastAsia="Tw Cen MT" w:cs="Tw Cen MT"/>
          <w:lang w:val="en"/>
        </w:rPr>
        <w:t xml:space="preserve"> there is an appetite for every type of housing in the city including affordable, multi-family and single family (including small, single</w:t>
      </w:r>
      <w:r w:rsidR="00C24C0B">
        <w:rPr>
          <w:rFonts w:eastAsia="Tw Cen MT" w:cs="Tw Cen MT"/>
          <w:lang w:val="en"/>
        </w:rPr>
        <w:t>-</w:t>
      </w:r>
      <w:r w:rsidRPr="00C64BA4">
        <w:rPr>
          <w:rFonts w:eastAsia="Tw Cen MT" w:cs="Tw Cen MT"/>
          <w:lang w:val="en"/>
        </w:rPr>
        <w:t>story units).</w:t>
      </w:r>
    </w:p>
    <w:p w14:paraId="1D2563FC" w14:textId="6E4E603F" w:rsidR="11852E85" w:rsidRPr="00A26341" w:rsidRDefault="6F96B14E" w:rsidP="00206C45">
      <w:pPr>
        <w:spacing w:line="300" w:lineRule="auto"/>
        <w:rPr>
          <w:lang w:val="en"/>
        </w:rPr>
      </w:pPr>
      <w:r w:rsidRPr="00C64BA4">
        <w:rPr>
          <w:rFonts w:eastAsia="Tw Cen MT" w:cs="Tw Cen MT"/>
          <w:lang w:val="en"/>
        </w:rPr>
        <w:t xml:space="preserve">The </w:t>
      </w:r>
      <w:proofErr w:type="gramStart"/>
      <w:r w:rsidRPr="00C64BA4">
        <w:rPr>
          <w:rFonts w:eastAsia="Tw Cen MT" w:cs="Tw Cen MT"/>
          <w:lang w:val="en"/>
        </w:rPr>
        <w:t>small town</w:t>
      </w:r>
      <w:proofErr w:type="gramEnd"/>
      <w:r w:rsidRPr="00C64BA4">
        <w:rPr>
          <w:rFonts w:eastAsia="Tw Cen MT" w:cs="Tw Cen MT"/>
          <w:lang w:val="en"/>
        </w:rPr>
        <w:t xml:space="preserve"> municipal focus group meeting participants noted the community has expressed a desire or need for affordable apartments and small single family homes (anything from tiny homes to starter homes). Many community representatives at the medium town municipal focus group meeting noted that community residents are opposed to workforce housing, density increases or new housing.</w:t>
      </w:r>
    </w:p>
    <w:p w14:paraId="2739C9D3" w14:textId="1BF89ABB" w:rsidR="00920122" w:rsidRPr="00C64BA4" w:rsidRDefault="192F52F6" w:rsidP="00206C45">
      <w:pPr>
        <w:pStyle w:val="Heading3"/>
        <w:spacing w:line="300" w:lineRule="auto"/>
      </w:pPr>
      <w:bookmarkStart w:id="219" w:name="_Toc278037274"/>
      <w:bookmarkStart w:id="220" w:name="_Toc1651518379"/>
      <w:bookmarkStart w:id="221" w:name="_Toc128137989"/>
      <w:r w:rsidRPr="00C64BA4">
        <w:t>Innovative Policies &amp; Techniques</w:t>
      </w:r>
      <w:bookmarkEnd w:id="219"/>
      <w:bookmarkEnd w:id="220"/>
      <w:bookmarkEnd w:id="221"/>
    </w:p>
    <w:p w14:paraId="688D3749" w14:textId="363A43BA" w:rsidR="0030642C" w:rsidRPr="00C64BA4" w:rsidRDefault="55D419FA" w:rsidP="00206C45">
      <w:pPr>
        <w:pStyle w:val="Body"/>
        <w:spacing w:line="300" w:lineRule="auto"/>
      </w:pPr>
      <w:r w:rsidRPr="00C64BA4">
        <w:t xml:space="preserve">The State of New Hampshire, through RSA 674:21, grants municipalities the authority to implement various zoning techniques, known as Innovative Land use Controls.  These techniques are intended to provide additional opportunities for housing creation that goes beyond conventional zoning.  These are described briefly </w:t>
      </w:r>
      <w:r w:rsidR="005E4CB4">
        <w:t>in the following section</w:t>
      </w:r>
      <w:r w:rsidRPr="00C64BA4">
        <w:t>, along with other techniques not described in RSA 674:21.</w:t>
      </w:r>
    </w:p>
    <w:p w14:paraId="715D6B6B" w14:textId="24C77E32" w:rsidR="0030642C" w:rsidRPr="00C64BA4" w:rsidRDefault="55D419FA" w:rsidP="00206C45">
      <w:pPr>
        <w:pStyle w:val="Heading4"/>
        <w:spacing w:line="300" w:lineRule="auto"/>
      </w:pPr>
      <w:r w:rsidRPr="00C64BA4">
        <w:t>Inclusionary Zoning</w:t>
      </w:r>
    </w:p>
    <w:p w14:paraId="286D0B57" w14:textId="20D5C749" w:rsidR="0030642C" w:rsidRPr="00C64BA4" w:rsidRDefault="1FCC36DF" w:rsidP="00206C45">
      <w:pPr>
        <w:pStyle w:val="Body"/>
        <w:spacing w:line="300" w:lineRule="auto"/>
      </w:pPr>
      <w:r w:rsidRPr="00C64BA4">
        <w:t xml:space="preserve">Inclusionary zoning is a means of encouraging private developers to provide housing for moderate, low-, and very low-income households. Inclusionary housing functions by granting zoning exemptions and density bonuses to developers that permit them to build at a higher density if a portion of the proposed development is reserved for elderly, handicapped, or moderate and lower-income households. </w:t>
      </w:r>
    </w:p>
    <w:p w14:paraId="4D4297DD" w14:textId="154C3D21" w:rsidR="0030642C" w:rsidRPr="00C64BA4" w:rsidRDefault="192F52F6" w:rsidP="00206C45">
      <w:pPr>
        <w:pStyle w:val="Body"/>
        <w:spacing w:line="300" w:lineRule="auto"/>
      </w:pPr>
      <w:r w:rsidRPr="00C64BA4">
        <w:t xml:space="preserve">There are some challenges regarding the acceptance and use of inclusionary housing development. Some municipalities may encounter resistance when proposing zoning changes to provide density bonuses. While there are many who see the need for more diversity in housing, there are some who fear inclusionary housing. Stigmas against low-income housing are often based in the belief that their own housing values may be diminished or worse, that this housing will result in additional crime. Understanding that residents of moderate and lower income often include many of the service providers communities need to thrive can help balance, recenter, and minimize this argument. </w:t>
      </w:r>
    </w:p>
    <w:p w14:paraId="513FBA12" w14:textId="0F1DDAD0" w:rsidR="0030642C" w:rsidRPr="00C64BA4" w:rsidRDefault="192F52F6" w:rsidP="00206C45">
      <w:pPr>
        <w:pStyle w:val="Body"/>
        <w:spacing w:line="300" w:lineRule="auto"/>
      </w:pPr>
      <w:r w:rsidRPr="00C64BA4">
        <w:t xml:space="preserve">Another challenge related to inclusionary housing development is in their administration. Although municipalities have the responsibility of ensuring that below-market units remain at target levels, the maintenance, </w:t>
      </w:r>
      <w:proofErr w:type="gramStart"/>
      <w:r w:rsidRPr="00C64BA4">
        <w:t>management</w:t>
      </w:r>
      <w:proofErr w:type="gramEnd"/>
      <w:r w:rsidRPr="00C64BA4">
        <w:t xml:space="preserve"> and marketing of the units remains a private responsibility. A local housing authority, community development department, or planning department may be involved in tracking and monitoring these units.  Local ordinances usually include a provision requiring that below-market units, whether rental or owner-occupied, remain at below market levels for a fixed period, such as 10 to 99 years.  </w:t>
      </w:r>
    </w:p>
    <w:p w14:paraId="3AAB4FAF" w14:textId="754014AD" w:rsidR="0030642C" w:rsidRPr="00C64BA4" w:rsidRDefault="192F52F6" w:rsidP="00206C45">
      <w:pPr>
        <w:pStyle w:val="Body"/>
        <w:spacing w:line="300" w:lineRule="auto"/>
      </w:pPr>
      <w:r w:rsidRPr="00C64BA4">
        <w:lastRenderedPageBreak/>
        <w:t xml:space="preserve">Despite these challenges, there are several benefits associated with inclusionary housing. First, the investment made by a developer in creating housing will include both market rate and inclusionary housing. As the developer and his investment team, they will want to </w:t>
      </w:r>
      <w:r w:rsidR="004B1FE1" w:rsidRPr="00C64BA4">
        <w:t>maximize on</w:t>
      </w:r>
      <w:r w:rsidRPr="00C64BA4">
        <w:t xml:space="preserve"> the return of their investment.  To do so, they will certainly create housing that will appeal to all income levels.  Furthermore, they will ensure that the required management of any needed policies will be set in place to ensure safeguards are followed. An additional advantage is the housing needs of most family types, including various age and income groups, can be accommodated within a single residential development.</w:t>
      </w:r>
    </w:p>
    <w:p w14:paraId="1219AB9A" w14:textId="77777777" w:rsidR="00B00620" w:rsidRPr="00C64BA4" w:rsidRDefault="00B00620" w:rsidP="00206C45">
      <w:pPr>
        <w:pStyle w:val="Heading4"/>
        <w:spacing w:line="300" w:lineRule="auto"/>
      </w:pPr>
      <w:r w:rsidRPr="00C64BA4">
        <w:t>Community Highlight on Innovative Zoning:</w:t>
      </w:r>
    </w:p>
    <w:p w14:paraId="7DD8EDE9" w14:textId="77777777" w:rsidR="00B00620" w:rsidRPr="00C64BA4" w:rsidRDefault="00B00620" w:rsidP="00206C45">
      <w:pPr>
        <w:spacing w:line="300" w:lineRule="auto"/>
        <w:ind w:left="1260" w:right="1350"/>
        <w:jc w:val="center"/>
      </w:pPr>
      <w:r w:rsidRPr="00C64BA4">
        <w:t xml:space="preserve">From Open Space to Universal Design: Southern NH Planning Commission (SNHPC) Helps Chester Takes Steps to Diversify its </w:t>
      </w:r>
      <w:proofErr w:type="gramStart"/>
      <w:r w:rsidRPr="00C64BA4">
        <w:t>Housing</w:t>
      </w:r>
      <w:proofErr w:type="gramEnd"/>
    </w:p>
    <w:p w14:paraId="615490E3" w14:textId="4E590BE4" w:rsidR="00B00620" w:rsidRPr="00C64BA4" w:rsidRDefault="00B00620" w:rsidP="00206C45">
      <w:pPr>
        <w:pStyle w:val="Body"/>
        <w:spacing w:line="300" w:lineRule="auto"/>
      </w:pPr>
      <w:r w:rsidRPr="00C64BA4">
        <w:t>In 2017, SNHPC started their Age-Friendly Pilot Program, which aimed to work with communities on specific goals and projects related to age-friendly planning. Community champions from the rural town of Chester had shared their frustration with the housing being built in the community: W</w:t>
      </w:r>
      <w:r w:rsidRPr="00A26341">
        <w:t>hy was so much of the new construction “McMansion” style housing</w:t>
      </w:r>
      <w:r w:rsidRPr="00C64BA4">
        <w:t>? From early on, Chester’s Town Planner was interested in creating zoning allowances that would result in smaller homes that would appeal to older residents looking to downsize and to younger residents looking to buy their first home out of college.</w:t>
      </w:r>
    </w:p>
    <w:p w14:paraId="39FED58D" w14:textId="3AE68164" w:rsidR="00B00620" w:rsidRPr="00C64BA4" w:rsidRDefault="00B00620" w:rsidP="00206C45">
      <w:pPr>
        <w:pStyle w:val="Body"/>
        <w:spacing w:line="300" w:lineRule="auto"/>
      </w:pPr>
      <w:r w:rsidRPr="00C64BA4">
        <w:rPr>
          <w:noProof/>
        </w:rPr>
        <mc:AlternateContent>
          <mc:Choice Requires="wpg">
            <w:drawing>
              <wp:anchor distT="45720" distB="45720" distL="182880" distR="182880" simplePos="0" relativeHeight="251672576" behindDoc="0" locked="0" layoutInCell="1" allowOverlap="1" wp14:anchorId="620558B2" wp14:editId="0228A29F">
                <wp:simplePos x="0" y="0"/>
                <wp:positionH relativeFrom="margin">
                  <wp:posOffset>3992245</wp:posOffset>
                </wp:positionH>
                <wp:positionV relativeFrom="margin">
                  <wp:posOffset>2485390</wp:posOffset>
                </wp:positionV>
                <wp:extent cx="2393315" cy="1534160"/>
                <wp:effectExtent l="0" t="0" r="6985" b="8890"/>
                <wp:wrapSquare wrapText="bothSides"/>
                <wp:docPr id="198" name="Group 198"/>
                <wp:cNvGraphicFramePr/>
                <a:graphic xmlns:a="http://schemas.openxmlformats.org/drawingml/2006/main">
                  <a:graphicData uri="http://schemas.microsoft.com/office/word/2010/wordprocessingGroup">
                    <wpg:wgp>
                      <wpg:cNvGrpSpPr/>
                      <wpg:grpSpPr>
                        <a:xfrm>
                          <a:off x="0" y="0"/>
                          <a:ext cx="2393315" cy="1534160"/>
                          <a:chOff x="0" y="0"/>
                          <a:chExt cx="3567448" cy="1255031"/>
                        </a:xfrm>
                      </wpg:grpSpPr>
                      <wps:wsp>
                        <wps:cNvPr id="199" name="Rectangle 199"/>
                        <wps:cNvSpPr/>
                        <wps:spPr>
                          <a:xfrm>
                            <a:off x="0" y="0"/>
                            <a:ext cx="3567448" cy="45119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4DD7CC" w14:textId="517FD3F5" w:rsidR="00B00620" w:rsidRDefault="00B00620" w:rsidP="00B00620">
                              <w:pPr>
                                <w:jc w:val="center"/>
                                <w:rPr>
                                  <w:rFonts w:asciiTheme="majorHAnsi" w:hAnsiTheme="majorHAnsi"/>
                                  <w:color w:val="FFFFFF" w:themeColor="background1"/>
                                  <w:sz w:val="24"/>
                                  <w:szCs w:val="28"/>
                                </w:rPr>
                              </w:pPr>
                              <w:r>
                                <w:rPr>
                                  <w:rFonts w:asciiTheme="majorHAnsi" w:hAnsiTheme="majorHAnsi"/>
                                  <w:color w:val="FFFFFF" w:themeColor="background1"/>
                                  <w:sz w:val="24"/>
                                  <w:szCs w:val="28"/>
                                </w:rPr>
                                <w:t>What is an Age- Friendly Neighborhood</w:t>
                              </w:r>
                              <w:r w:rsidR="0065045F">
                                <w:rPr>
                                  <w:rFonts w:asciiTheme="majorHAnsi" w:hAnsiTheme="majorHAnsi"/>
                                  <w:color w:val="FFFFFF" w:themeColor="background1"/>
                                  <w:sz w:val="24"/>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154078" y="408730"/>
                            <a:ext cx="3342299" cy="8463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56451D" w14:textId="77777777" w:rsidR="00B00620" w:rsidRDefault="00B00620" w:rsidP="00B00620">
                              <w:pPr>
                                <w:spacing w:after="0" w:line="240" w:lineRule="auto"/>
                              </w:pPr>
                              <w:r>
                                <w:rPr>
                                  <w:i/>
                                  <w:iCs/>
                                </w:rPr>
                                <w:t>“…a</w:t>
                              </w:r>
                              <w:r w:rsidRPr="0057640C">
                                <w:rPr>
                                  <w:i/>
                                  <w:iCs/>
                                </w:rPr>
                                <w:t>ge-friendly neighborhoods are envisioned to consist of smaller, affordable, low-maintenance homes for all people regardless of age, ability, or disability</w:t>
                              </w:r>
                              <w:r w:rsidRPr="0057640C">
                                <w:t>.</w:t>
                              </w:r>
                              <w:r>
                                <w:t>”</w:t>
                              </w:r>
                            </w:p>
                            <w:p w14:paraId="42A60BA1" w14:textId="77777777" w:rsidR="00B00620" w:rsidRDefault="00B00620" w:rsidP="00B00620">
                              <w:pPr>
                                <w:rPr>
                                  <w:caps/>
                                  <w:color w:val="69B220"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0558B2" id="Group 198" o:spid="_x0000_s1032" style="position:absolute;left:0;text-align:left;margin-left:314.35pt;margin-top:195.7pt;width:188.45pt;height:120.8pt;z-index:251672576;mso-wrap-distance-left:14.4pt;mso-wrap-distance-top:3.6pt;mso-wrap-distance-right:14.4pt;mso-wrap-distance-bottom:3.6pt;mso-position-horizontal-relative:margin;mso-position-vertical-relative:margin;mso-width-relative:margin;mso-height-relative:margin" coordsize="35674,1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">
                <v:rect id="Rectangle 199" o:spid="_x0000_s1033" style="position:absolute;width:35674;height:4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" fillcolor="#69b220 [3204]" stroked="f" strokeweight="1.5pt">
                  <v:textbox>
                    <w:txbxContent>
                      <w:p w14:paraId="234DD7CC" w14:textId="517FD3F5" w:rsidR="00B00620" w:rsidRDefault="00B00620" w:rsidP="00B00620">
                        <w:pPr>
                          <w:jc w:val="center"/>
                          <w:rPr>
                            <w:rFonts w:asciiTheme="majorHAnsi" w:hAnsiTheme="majorHAnsi"/>
                            <w:color w:val="FFFFFF" w:themeColor="background1"/>
                            <w:sz w:val="24"/>
                            <w:szCs w:val="28"/>
                          </w:rPr>
                        </w:pPr>
                        <w:r>
                          <w:rPr>
                            <w:rFonts w:asciiTheme="majorHAnsi" w:hAnsiTheme="majorHAnsi"/>
                            <w:color w:val="FFFFFF" w:themeColor="background1"/>
                            <w:sz w:val="24"/>
                            <w:szCs w:val="28"/>
                          </w:rPr>
                          <w:t>What is an Age- Friendly Neighborhood</w:t>
                        </w:r>
                        <w:r w:rsidR="0065045F">
                          <w:rPr>
                            <w:rFonts w:asciiTheme="majorHAnsi" w:hAnsiTheme="majorHAnsi"/>
                            <w:color w:val="FFFFFF" w:themeColor="background1"/>
                            <w:sz w:val="24"/>
                            <w:szCs w:val="28"/>
                          </w:rPr>
                          <w:t>?</w:t>
                        </w:r>
                      </w:p>
                    </w:txbxContent>
                  </v:textbox>
                </v:rect>
                <v:shape id="Text Box 200" o:spid="_x0000_s1034" type="#_x0000_t202" style="position:absolute;left:1540;top:4087;width:33423;height:8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256451D" w14:textId="77777777" w:rsidR="00B00620" w:rsidRDefault="00B00620" w:rsidP="00B00620">
                        <w:pPr>
                          <w:spacing w:after="0" w:line="240" w:lineRule="auto"/>
                        </w:pPr>
                        <w:r>
                          <w:rPr>
                            <w:i/>
                            <w:iCs/>
                          </w:rPr>
                          <w:t>“…a</w:t>
                        </w:r>
                        <w:r w:rsidRPr="0057640C">
                          <w:rPr>
                            <w:i/>
                            <w:iCs/>
                          </w:rPr>
                          <w:t>ge-friendly neighborhoods are envisioned to consist of smaller, affordable, low-maintenance homes for all people regardless of age, ability, or disability</w:t>
                        </w:r>
                        <w:r w:rsidRPr="0057640C">
                          <w:t>.</w:t>
                        </w:r>
                        <w:r>
                          <w:t>”</w:t>
                        </w:r>
                      </w:p>
                      <w:p w14:paraId="42A60BA1" w14:textId="77777777" w:rsidR="00B00620" w:rsidRDefault="00B00620" w:rsidP="00B00620">
                        <w:pPr>
                          <w:rPr>
                            <w:caps/>
                            <w:color w:val="69B220" w:themeColor="accent1"/>
                            <w:sz w:val="26"/>
                            <w:szCs w:val="26"/>
                          </w:rPr>
                        </w:pPr>
                      </w:p>
                    </w:txbxContent>
                  </v:textbox>
                </v:shape>
                <w10:wrap type="square" anchorx="margin" anchory="margin"/>
              </v:group>
            </w:pict>
          </mc:Fallback>
        </mc:AlternateContent>
      </w:r>
      <w:r w:rsidRPr="00C64BA4">
        <w:t xml:space="preserve">Taking advantage of SNHPC’s Age-Friendly Pilot Program, the project would focus in on better understanding the type of housing that the community wanted and to create innovative regulations to allow for age-friendly housing. Over the course of two years, SNHPC staff conducted surveys, held a community forum, and hosted several public meetings with town staff, planning board representatives, local developers, Chester residents, and a local senior citizen group. Ultimately, through the hard work of the stakeholder group, age-friendly housing regulations were drafted and incorporated into Chester’s Open Space regulations.  In May of 2019, the town officially adopted the regulations. </w:t>
      </w:r>
    </w:p>
    <w:p w14:paraId="753B4A17" w14:textId="77777777" w:rsidR="00A26341" w:rsidRDefault="00B00620" w:rsidP="0021177A">
      <w:pPr>
        <w:keepNext/>
        <w:spacing w:after="0" w:line="300" w:lineRule="auto"/>
        <w:jc w:val="center"/>
      </w:pPr>
      <w:r w:rsidRPr="00C64BA4">
        <w:rPr>
          <w:noProof/>
        </w:rPr>
        <w:drawing>
          <wp:inline distT="0" distB="0" distL="0" distR="0" wp14:anchorId="6BF36E33" wp14:editId="74D77C75">
            <wp:extent cx="4246880" cy="2053087"/>
            <wp:effectExtent l="0" t="0" r="1270" b="4445"/>
            <wp:docPr id="24" name="Picture 24"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sitting at tables&#10;&#10;Description automatically generated with medium confidence"/>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46760"/>
                    <a:stretch/>
                  </pic:blipFill>
                  <pic:spPr bwMode="auto">
                    <a:xfrm>
                      <a:off x="0" y="0"/>
                      <a:ext cx="4276066" cy="2067197"/>
                    </a:xfrm>
                    <a:prstGeom prst="rect">
                      <a:avLst/>
                    </a:prstGeom>
                    <a:noFill/>
                    <a:ln>
                      <a:noFill/>
                    </a:ln>
                    <a:extLst>
                      <a:ext uri="{53640926-AAD7-44D8-BBD7-CCE9431645EC}">
                        <a14:shadowObscured xmlns:a14="http://schemas.microsoft.com/office/drawing/2010/main"/>
                      </a:ext>
                    </a:extLst>
                  </pic:spPr>
                </pic:pic>
              </a:graphicData>
            </a:graphic>
          </wp:inline>
        </w:drawing>
      </w:r>
    </w:p>
    <w:p w14:paraId="00535A0B" w14:textId="00FE2DD3" w:rsidR="00B00620" w:rsidRPr="00C64BA4" w:rsidRDefault="00A26341" w:rsidP="00206C45">
      <w:pPr>
        <w:pStyle w:val="Caption"/>
        <w:spacing w:line="300" w:lineRule="auto"/>
      </w:pPr>
      <w:bookmarkStart w:id="222" w:name="_Toc128137883"/>
      <w:r>
        <w:t xml:space="preserve">Figure </w:t>
      </w:r>
      <w:r w:rsidR="0062538A">
        <w:fldChar w:fldCharType="begin"/>
      </w:r>
      <w:r w:rsidR="0062538A">
        <w:instrText xml:space="preserve"> SEQ Figure \* ARABIC </w:instrText>
      </w:r>
      <w:r w:rsidR="0062538A">
        <w:fldChar w:fldCharType="separate"/>
      </w:r>
      <w:r w:rsidR="00E75682">
        <w:rPr>
          <w:noProof/>
        </w:rPr>
        <w:t>24</w:t>
      </w:r>
      <w:r w:rsidR="0062538A">
        <w:rPr>
          <w:noProof/>
        </w:rPr>
        <w:fldChar w:fldCharType="end"/>
      </w:r>
      <w:r>
        <w:t>: Chester Community Forum</w:t>
      </w:r>
      <w:bookmarkEnd w:id="222"/>
    </w:p>
    <w:p w14:paraId="3FDE20CE" w14:textId="25513788" w:rsidR="00B00620" w:rsidRPr="00776588" w:rsidRDefault="00B00620" w:rsidP="00206C45">
      <w:pPr>
        <w:spacing w:line="300" w:lineRule="auto"/>
        <w:rPr>
          <w:rFonts w:eastAsia="Tw Cen MT" w:cs="Tw Cen MT"/>
          <w:lang w:val="en"/>
        </w:rPr>
      </w:pPr>
      <w:r w:rsidRPr="00776588">
        <w:rPr>
          <w:rFonts w:eastAsia="Tw Cen MT" w:cs="Tw Cen MT"/>
          <w:lang w:val="en"/>
        </w:rPr>
        <w:t>The intent of the new regulations was to keep the units smaller and more affordable, ensure the units were built with universally design standards (designed for people with any ability or disability), and encourage multiple cost-saving elements such as shared amenities. Not only did the stakeholder group want to create regulations that would result in lower costs for construction, but</w:t>
      </w:r>
      <w:r w:rsidR="002F01CD">
        <w:rPr>
          <w:rFonts w:eastAsia="Tw Cen MT" w:cs="Tw Cen MT"/>
          <w:lang w:val="en"/>
        </w:rPr>
        <w:t xml:space="preserve"> also</w:t>
      </w:r>
      <w:r w:rsidRPr="00776588">
        <w:rPr>
          <w:rFonts w:eastAsia="Tw Cen MT" w:cs="Tw Cen MT"/>
          <w:lang w:val="en"/>
        </w:rPr>
        <w:t xml:space="preserve"> to minimize the physical burdens of </w:t>
      </w:r>
      <w:r w:rsidRPr="00776588">
        <w:rPr>
          <w:rFonts w:eastAsia="Tw Cen MT" w:cs="Tw Cen MT"/>
          <w:lang w:val="en"/>
        </w:rPr>
        <w:lastRenderedPageBreak/>
        <w:t xml:space="preserve">maintaining a home.  Some of the specific requirements </w:t>
      </w:r>
      <w:proofErr w:type="gramStart"/>
      <w:r w:rsidRPr="00776588">
        <w:rPr>
          <w:rFonts w:eastAsia="Tw Cen MT" w:cs="Tw Cen MT"/>
          <w:lang w:val="en"/>
        </w:rPr>
        <w:t>include:</w:t>
      </w:r>
      <w:proofErr w:type="gramEnd"/>
      <w:r w:rsidRPr="00776588">
        <w:rPr>
          <w:rFonts w:eastAsia="Tw Cen MT" w:cs="Tw Cen MT"/>
          <w:lang w:val="en"/>
        </w:rPr>
        <w:t xml:space="preserve"> increasing density, regulating maximum square footage, requiring accessible widths throughout, and ensuring first-floor main bedroom/baths.  </w:t>
      </w:r>
    </w:p>
    <w:p w14:paraId="7B78BD5B" w14:textId="0191DD72" w:rsidR="00B00620" w:rsidRPr="00776588" w:rsidRDefault="00B00620" w:rsidP="00206C45">
      <w:pPr>
        <w:spacing w:line="300" w:lineRule="auto"/>
        <w:rPr>
          <w:rFonts w:eastAsia="Tw Cen MT" w:cs="Tw Cen MT"/>
          <w:lang w:val="en"/>
        </w:rPr>
      </w:pPr>
      <w:r w:rsidRPr="00776588">
        <w:rPr>
          <w:rFonts w:eastAsia="Tw Cen MT" w:cs="Tw Cen MT"/>
          <w:lang w:val="en"/>
        </w:rPr>
        <w:t xml:space="preserve">The efforts made in Chester were designed to incentivize more affordable and accessible homes keep within reasonable design standards while maintaining the character of the town. It should be noted, Chester homes are typically built on well and septic systems, thereby creating some limitations for density. </w:t>
      </w:r>
    </w:p>
    <w:p w14:paraId="4CC5121B" w14:textId="730A23EC" w:rsidR="00B00620" w:rsidRPr="00C64BA4" w:rsidRDefault="00B00620" w:rsidP="00206C45">
      <w:pPr>
        <w:pStyle w:val="Heading4"/>
        <w:spacing w:line="300" w:lineRule="auto"/>
      </w:pPr>
      <w:r w:rsidRPr="00C64BA4">
        <w:t>Zoning Allowances and Innovative Policies</w:t>
      </w:r>
    </w:p>
    <w:p w14:paraId="7F282D5E" w14:textId="1D8D3208" w:rsidR="0030642C" w:rsidRPr="00C64BA4" w:rsidRDefault="192F52F6" w:rsidP="00206C45">
      <w:pPr>
        <w:pStyle w:val="Heading5"/>
        <w:spacing w:line="300" w:lineRule="auto"/>
      </w:pPr>
      <w:r w:rsidRPr="00C64BA4">
        <w:t>Cluster/Open Space Developments</w:t>
      </w:r>
    </w:p>
    <w:p w14:paraId="1C72274F" w14:textId="2CCE4BB1" w:rsidR="0030642C" w:rsidRPr="00776588" w:rsidRDefault="192F52F6" w:rsidP="00206C45">
      <w:pPr>
        <w:spacing w:line="300" w:lineRule="auto"/>
        <w:rPr>
          <w:rFonts w:eastAsia="Tw Cen MT" w:cs="Tw Cen MT"/>
          <w:lang w:val="en"/>
        </w:rPr>
      </w:pPr>
      <w:r w:rsidRPr="00776588">
        <w:rPr>
          <w:rFonts w:eastAsia="Tw Cen MT" w:cs="Tw Cen MT"/>
          <w:lang w:val="en"/>
        </w:rPr>
        <w:t xml:space="preserve">Cluster housing provisions allow alternative design patterns which group housing units together with reduced lot size, frontage, and setback requirements while committing a percentage of the land to open space.  The individual house lot or private yard area dedicated to each unit is smaller than in conventional developments while the overall density is typically the same. The advantage to this sort of development is that the developer can preserve a significant amount of land and thereby reduce the impact of the development on the environment. How one calculates the density, or number of allowed units is typically through a “yield plan”.  The yield plan identifies the maximum number of conforming building lots that is reasonably achievable under conventional subdivision regulations.   </w:t>
      </w:r>
    </w:p>
    <w:p w14:paraId="29E92B42" w14:textId="3D7574DC" w:rsidR="0030642C" w:rsidRPr="00776588" w:rsidRDefault="192F52F6" w:rsidP="00206C45">
      <w:pPr>
        <w:spacing w:line="300" w:lineRule="auto"/>
        <w:rPr>
          <w:rFonts w:eastAsia="Tw Cen MT" w:cs="Tw Cen MT"/>
          <w:lang w:val="en"/>
        </w:rPr>
      </w:pPr>
      <w:r w:rsidRPr="00776588">
        <w:rPr>
          <w:rFonts w:eastAsia="Tw Cen MT" w:cs="Tw Cen MT"/>
          <w:lang w:val="en"/>
        </w:rPr>
        <w:t>Cluster developments can be designed for single family homes, duplexes, multi-family housing or a mixture of housing types, depending on the specifics of the ordinance. There are many nuances with cluster/open space housing.  For example, most ordinances in the region calculate permitted densities by a formula that subtracts wetlands and steep slopes from the total land area to determine the buildable area, and then divides the remaining land by a minimum area-per-unit requirement. Some also subtract a percentage for allowance to build access roads.  Each community is slightly different, but the outcome usually means smaller and more concentrated lots, less impact, preserved open space, and lower development costs.</w:t>
      </w:r>
    </w:p>
    <w:p w14:paraId="51859386" w14:textId="540181E2" w:rsidR="0030642C" w:rsidRPr="00776588" w:rsidRDefault="192F52F6" w:rsidP="00206C45">
      <w:pPr>
        <w:spacing w:line="300" w:lineRule="auto"/>
        <w:rPr>
          <w:rFonts w:eastAsia="Tw Cen MT" w:cs="Tw Cen MT"/>
          <w:lang w:val="en"/>
        </w:rPr>
      </w:pPr>
      <w:r w:rsidRPr="00776588">
        <w:rPr>
          <w:rFonts w:eastAsia="Tw Cen MT" w:cs="Tw Cen MT"/>
          <w:lang w:val="en"/>
        </w:rPr>
        <w:t xml:space="preserve">The land saved from each individual lot is assembled to create common open space serving the entire development.  Cluster is an ideal way of allowing development to occur with a minimum of disruption to the natural environment and is generally a far more efficient use of land than conventional grid development. Whereas conventional grid developments tend to divide land into numerous individual parcels, cluster development allows large and often contiguous areas to remain open and undeveloped. In this way, wildlife habitats are better preserved, and large areas can be set aside for both active and passive recreational uses. </w:t>
      </w:r>
    </w:p>
    <w:p w14:paraId="44C62C78" w14:textId="3FEFB974" w:rsidR="0030642C" w:rsidRPr="00776588" w:rsidRDefault="192F52F6" w:rsidP="00206C45">
      <w:pPr>
        <w:spacing w:line="300" w:lineRule="auto"/>
        <w:rPr>
          <w:rFonts w:eastAsia="Tw Cen MT" w:cs="Tw Cen MT"/>
          <w:lang w:val="en"/>
        </w:rPr>
      </w:pPr>
      <w:r w:rsidRPr="00776588">
        <w:rPr>
          <w:rFonts w:eastAsia="Tw Cen MT" w:cs="Tw Cen MT"/>
          <w:lang w:val="en"/>
        </w:rPr>
        <w:t xml:space="preserve">Since overall densities are not usually higher than those allowed in the underlying zone, public water and sewer may not be prerequisites for cluster development. Many developments utilize community septic systems or wells. </w:t>
      </w:r>
    </w:p>
    <w:p w14:paraId="530D4F4A" w14:textId="42C508B6" w:rsidR="0030642C" w:rsidRPr="00C64BA4" w:rsidRDefault="192F52F6" w:rsidP="00206C45">
      <w:pPr>
        <w:pStyle w:val="Heading5"/>
        <w:spacing w:line="300" w:lineRule="auto"/>
      </w:pPr>
      <w:r w:rsidRPr="00C64BA4">
        <w:t>Village Plan Alternative Subdivision</w:t>
      </w:r>
    </w:p>
    <w:p w14:paraId="1B712C66" w14:textId="749C9AF0" w:rsidR="0030642C" w:rsidRPr="00C64BA4" w:rsidRDefault="55D419FA" w:rsidP="00206C45">
      <w:pPr>
        <w:pStyle w:val="Body"/>
        <w:spacing w:line="300" w:lineRule="auto"/>
      </w:pPr>
      <w:r w:rsidRPr="00C64BA4">
        <w:t xml:space="preserve">The intent of a village plan alternative subdivision is to promote a more efficient and economical method of land development.  </w:t>
      </w:r>
      <w:proofErr w:type="gramStart"/>
      <w:r w:rsidRPr="00C64BA4">
        <w:t>Similar to</w:t>
      </w:r>
      <w:proofErr w:type="gramEnd"/>
      <w:r w:rsidRPr="00C64BA4">
        <w:t xml:space="preserve"> cluster development, it strives to consolidate physical development to reduce the cost and need for new roads, utilities, and infrastructure while preserving open space when possible. When this approach is used, the entire developed area must be confined to </w:t>
      </w:r>
      <w:r w:rsidR="00ED1C30">
        <w:t>20%</w:t>
      </w:r>
      <w:r w:rsidRPr="00C64BA4">
        <w:t xml:space="preserve"> of the site. A recorded easement shall reserve the remaining land, limiting future construction on the land to farming operations, forest management and conservation uses. </w:t>
      </w:r>
    </w:p>
    <w:p w14:paraId="53F7133B" w14:textId="55496FD5" w:rsidR="0030642C" w:rsidRPr="00C64BA4" w:rsidRDefault="55D419FA" w:rsidP="00206C45">
      <w:pPr>
        <w:pStyle w:val="Body"/>
        <w:spacing w:line="300" w:lineRule="auto"/>
      </w:pPr>
      <w:r w:rsidRPr="00C64BA4">
        <w:lastRenderedPageBreak/>
        <w:t xml:space="preserve">The submission and approval process remains the same as a conventional subdivision. However, the review process is to be expedited. The village plan alternative subdivision must still comply with existing subdivision regulations related to emergency access, fire prevention, and public health and safety codes. Underlying regulations on setbacks, lot sizes, and density do not apply to this type of subdivision. </w:t>
      </w:r>
    </w:p>
    <w:p w14:paraId="4B76B658" w14:textId="1CF5EF9F" w:rsidR="0030642C" w:rsidRPr="00C64BA4" w:rsidRDefault="55D419FA" w:rsidP="00A17D67">
      <w:pPr>
        <w:pStyle w:val="Heading5"/>
        <w:keepNext/>
        <w:keepLines/>
        <w:spacing w:line="300" w:lineRule="auto"/>
      </w:pPr>
      <w:r w:rsidRPr="00C64BA4">
        <w:t>Transfer of Development Rights</w:t>
      </w:r>
    </w:p>
    <w:p w14:paraId="05D60936" w14:textId="28320FB5" w:rsidR="0030642C" w:rsidRPr="00C64BA4" w:rsidRDefault="55D419FA" w:rsidP="00A17D67">
      <w:pPr>
        <w:pStyle w:val="Body"/>
        <w:keepNext/>
        <w:keepLines/>
        <w:spacing w:line="300" w:lineRule="auto"/>
      </w:pPr>
      <w:r w:rsidRPr="00C64BA4">
        <w:t xml:space="preserve">Transfer of Development Rights (TDR) is a technique used to redirect development from undeveloped, natural areas in one part of town to another (usually already developed) part of town.  For example: A parcel in the Rural District is 20+acres in size and under the zoning ordinance, could have as many as 10 single-family homes.  The owner of this parcel sells his right to create these units to someone with a parcel in the town center, allowing this lot to add the 10 units to what is already allowed for it under the zoning ordinance.  </w:t>
      </w:r>
    </w:p>
    <w:p w14:paraId="3B0118C7" w14:textId="54A0732D" w:rsidR="0030642C" w:rsidRPr="00C64BA4" w:rsidRDefault="55D419FA" w:rsidP="00206C45">
      <w:pPr>
        <w:pStyle w:val="Body"/>
        <w:spacing w:line="300" w:lineRule="auto"/>
      </w:pPr>
      <w:r w:rsidRPr="00C64BA4">
        <w:t>This approach allows for the permanent protection of the land that gave up its development rights.  At the same time, it focuses development in an area that is already developed and has existing infrastructure, which contributes to the creation of housing stock without needing additional land.</w:t>
      </w:r>
    </w:p>
    <w:p w14:paraId="0E437713" w14:textId="547BF2ED" w:rsidR="0030642C" w:rsidRPr="00C64BA4" w:rsidRDefault="55D419FA" w:rsidP="00206C45">
      <w:pPr>
        <w:pStyle w:val="Heading5"/>
        <w:spacing w:line="300" w:lineRule="auto"/>
      </w:pPr>
      <w:r w:rsidRPr="00C64BA4">
        <w:t>Accessory Dwelling Units</w:t>
      </w:r>
    </w:p>
    <w:p w14:paraId="1B95663B" w14:textId="22FCC54B" w:rsidR="0030642C" w:rsidRPr="00C64BA4" w:rsidRDefault="192F52F6" w:rsidP="00206C45">
      <w:pPr>
        <w:pStyle w:val="Body"/>
        <w:spacing w:line="300" w:lineRule="auto"/>
      </w:pPr>
      <w:r w:rsidRPr="00C64BA4">
        <w:t xml:space="preserve">Accessory Dwelling Units (ADUs) are independent living units that are accessory to a primary dwelling unit (e.g., single-family home).  Depending on the community's zoning allowances, the unit may be either incorporated into the primary home’s existing structure, attached to it as an addition, incorporated into another existing structure on the property, such as a garage or barn, or built as a new separate structure on the property.  </w:t>
      </w:r>
    </w:p>
    <w:p w14:paraId="1A2B15EB" w14:textId="0FD34277" w:rsidR="0030642C" w:rsidRPr="00C64BA4" w:rsidRDefault="55D419FA" w:rsidP="00206C45">
      <w:pPr>
        <w:pStyle w:val="Body"/>
        <w:spacing w:line="300" w:lineRule="auto"/>
      </w:pPr>
      <w:r w:rsidRPr="00C64BA4">
        <w:t xml:space="preserve">This type of housing is not new, and while some municipalities have included the use in their zoning ordinances, many more did not.  In response to the growing and severe housing shortage in New Hampshire, the NH Legislature codified a law regarding this use in 2017 – RSA 674:  71-73.  This law makes it illegal for any municipality to prohibit outright an ADU.  The municipality may still implement certain restrictions (for example it does not have to allow detached ADUs), but the ordinance must allow the creation of ADUs in any district that permits single-family homes.  </w:t>
      </w:r>
    </w:p>
    <w:p w14:paraId="0A854265" w14:textId="25DE41DA" w:rsidR="0030642C" w:rsidRPr="00C64BA4" w:rsidRDefault="55D419FA" w:rsidP="00206C45">
      <w:pPr>
        <w:pStyle w:val="Heading5"/>
        <w:spacing w:line="300" w:lineRule="auto"/>
      </w:pPr>
      <w:r w:rsidRPr="00C64BA4">
        <w:t>Cottage Courts</w:t>
      </w:r>
    </w:p>
    <w:p w14:paraId="276CD165" w14:textId="6A1B735E" w:rsidR="0030642C" w:rsidRPr="00C64BA4" w:rsidRDefault="192F52F6" w:rsidP="00206C45">
      <w:pPr>
        <w:pStyle w:val="Body"/>
        <w:spacing w:line="300" w:lineRule="auto"/>
      </w:pPr>
      <w:r w:rsidRPr="00C64BA4">
        <w:t xml:space="preserve">A cottage court is a type of housing development that emphasizes small(er) houses – usually less than 1,000 square feet in gross floor area, arranged around a common open space or courtyard.  Unlike clustered/open space development, there is no requirement to set aside a certain amount of open space. Given the </w:t>
      </w:r>
      <w:proofErr w:type="gramStart"/>
      <w:r w:rsidRPr="00C64BA4">
        <w:t>close proximity</w:t>
      </w:r>
      <w:proofErr w:type="gramEnd"/>
      <w:r w:rsidRPr="00C64BA4">
        <w:t xml:space="preserve"> of the houses, this type of development is typically located where municipal water and/or sewer systems are available. If the soil allows, there are circumstances in which a community septic system is utilized.  Cottage Courts </w:t>
      </w:r>
      <w:proofErr w:type="gramStart"/>
      <w:r w:rsidRPr="00C64BA4">
        <w:t>add</w:t>
      </w:r>
      <w:proofErr w:type="gramEnd"/>
      <w:r w:rsidRPr="00C64BA4">
        <w:t xml:space="preserve"> to housing diversity by making smaller and more efficient homes available, typically near a town center.  These units often appeal to smaller households of either younger or older adults who do not have the time, energy, or desire to maintain a yard and prefer the efficiencies of a smaller home.</w:t>
      </w:r>
    </w:p>
    <w:p w14:paraId="323C76CA" w14:textId="5D565FAA" w:rsidR="0030642C" w:rsidRPr="00C64BA4" w:rsidRDefault="192F52F6" w:rsidP="00206C45">
      <w:pPr>
        <w:pStyle w:val="Heading5"/>
        <w:spacing w:line="300" w:lineRule="auto"/>
      </w:pPr>
      <w:r w:rsidRPr="00C64BA4">
        <w:t>Live/Work Units</w:t>
      </w:r>
    </w:p>
    <w:p w14:paraId="5C886A92" w14:textId="13C0674B" w:rsidR="0030642C" w:rsidRPr="00C64BA4" w:rsidRDefault="192F52F6" w:rsidP="00206C45">
      <w:pPr>
        <w:pStyle w:val="Body"/>
        <w:spacing w:line="300" w:lineRule="auto"/>
      </w:pPr>
      <w:r w:rsidRPr="00C64BA4">
        <w:t xml:space="preserve">A live/work unit is simply a contemporary description of a building that is both the residence and the place of business of the owner.  Historically, especially in more urban settings, business owners lived upstairs over the store, or at times in the back of the store.  The advantage of this timeless setup is that the owner can simply “walk to work”, keeping at least one car </w:t>
      </w:r>
      <w:proofErr w:type="gramStart"/>
      <w:r w:rsidRPr="00C64BA4">
        <w:t>off of</w:t>
      </w:r>
      <w:proofErr w:type="gramEnd"/>
      <w:r w:rsidRPr="00C64BA4">
        <w:t xml:space="preserve"> the road network.  Some urban centers, including Manchester</w:t>
      </w:r>
      <w:r w:rsidR="00ED1C30">
        <w:t>,</w:t>
      </w:r>
      <w:r w:rsidRPr="00C64BA4">
        <w:t xml:space="preserve"> have been the home of live/work units and typically they sell out before they are built.    </w:t>
      </w:r>
    </w:p>
    <w:p w14:paraId="2A1281F6" w14:textId="36E88F85" w:rsidR="0030642C" w:rsidRPr="00C64BA4" w:rsidRDefault="192F52F6" w:rsidP="00206C45">
      <w:pPr>
        <w:pStyle w:val="Heading5"/>
        <w:spacing w:line="300" w:lineRule="auto"/>
      </w:pPr>
      <w:r w:rsidRPr="00C64BA4">
        <w:lastRenderedPageBreak/>
        <w:t>Infill Development and Redevelopment</w:t>
      </w:r>
    </w:p>
    <w:p w14:paraId="5A550661" w14:textId="36A9827B" w:rsidR="0030642C" w:rsidRPr="00C64BA4" w:rsidRDefault="192F52F6" w:rsidP="00206C45">
      <w:pPr>
        <w:pStyle w:val="Body"/>
        <w:spacing w:line="300" w:lineRule="auto"/>
      </w:pPr>
      <w:r w:rsidRPr="00C64BA4">
        <w:t xml:space="preserve">Infill means making use of vacant or underutilized parcels in or near a downtown area that has existing water, </w:t>
      </w:r>
      <w:proofErr w:type="gramStart"/>
      <w:r w:rsidRPr="00C64BA4">
        <w:t>sewer</w:t>
      </w:r>
      <w:proofErr w:type="gramEnd"/>
      <w:r w:rsidRPr="00C64BA4">
        <w:t xml:space="preserve"> and road infrastructure.  This approach typically allows smaller homes or even multi-family options, which contributes to increased housing diversity.  Typically, smaller units attract younger adults wanting to purchase a first home and older adults wanting to downsize.</w:t>
      </w:r>
    </w:p>
    <w:p w14:paraId="4D904323" w14:textId="5C0FC0D4" w:rsidR="192F52F6" w:rsidRPr="00C64BA4" w:rsidRDefault="192F52F6" w:rsidP="00206C45">
      <w:pPr>
        <w:pStyle w:val="Body"/>
        <w:spacing w:line="300" w:lineRule="auto"/>
      </w:pPr>
      <w:proofErr w:type="gramStart"/>
      <w:r w:rsidRPr="00C64BA4">
        <w:t>Similar to</w:t>
      </w:r>
      <w:proofErr w:type="gramEnd"/>
      <w:r w:rsidRPr="00C64BA4">
        <w:t xml:space="preserve"> infill, the practice of redeveloping properties that are either underutilized or vacant and turning them into residential units is common across New Hampshire.  This practice often targets old mill buildings, commercial or office buildings, even old school buildings and repurposes them into multi-family units.  This is a very successful method in creating residential units that can be affordable, attractive to young people, and reinvigorate neighborhoods that may have struggled due to former vacancies.</w:t>
      </w:r>
    </w:p>
    <w:p w14:paraId="1A08DCB8" w14:textId="1E8C5D28" w:rsidR="0030642C" w:rsidRPr="00C64BA4" w:rsidRDefault="55D419FA" w:rsidP="00206C45">
      <w:pPr>
        <w:pStyle w:val="Heading5"/>
        <w:spacing w:line="300" w:lineRule="auto"/>
      </w:pPr>
      <w:r w:rsidRPr="00C64BA4">
        <w:t>Reduced Parking Requirements</w:t>
      </w:r>
    </w:p>
    <w:p w14:paraId="35A9BCA9" w14:textId="1FFF8BD1" w:rsidR="0030642C" w:rsidRPr="00C64BA4" w:rsidRDefault="192F52F6" w:rsidP="00206C45">
      <w:pPr>
        <w:pStyle w:val="Body"/>
        <w:spacing w:line="300" w:lineRule="auto"/>
      </w:pPr>
      <w:r w:rsidRPr="00C64BA4">
        <w:t xml:space="preserve">A typical requirement for parking is two spaces per dwelling units, regardless of the size or type of unit. For some time, Planning Boards have supported reducing these standards, as they not only take up a lot of land area with impervious cover, but with smaller households and smaller dwelling units (e.g., ADUs), there is often a reduction in vehicle ownership.  Reducing these requirements can go far to lowering the cost of housing development, reducing the impact of the development on the surrounding environment and neighborhood, and leaving potential green space for future residents.  </w:t>
      </w:r>
    </w:p>
    <w:p w14:paraId="36531DEE" w14:textId="5CCB87B4" w:rsidR="0030642C" w:rsidRPr="00C64BA4" w:rsidRDefault="192F52F6" w:rsidP="00206C45">
      <w:pPr>
        <w:pStyle w:val="Body"/>
        <w:spacing w:line="300" w:lineRule="auto"/>
      </w:pPr>
      <w:r w:rsidRPr="00C64BA4">
        <w:t>Note: Planning Boards can reduce the requirement by putting parking standards in site and subdivision regulations vers</w:t>
      </w:r>
      <w:r w:rsidR="00ED1C30">
        <w:t>u</w:t>
      </w:r>
      <w:r w:rsidRPr="00C64BA4">
        <w:t xml:space="preserve">s in the zoning ordinance.  Another method is to allow the Planning Board to grant a Conditional Use Permit by allowing the developer the option to provide evidence that typical parking standards are unwarranted based on similar residential conditions. </w:t>
      </w:r>
    </w:p>
    <w:p w14:paraId="5B0F39A4" w14:textId="36A554F8" w:rsidR="0030642C" w:rsidRPr="00C64BA4" w:rsidRDefault="55D419FA" w:rsidP="00206C45">
      <w:pPr>
        <w:pStyle w:val="Heading5"/>
        <w:spacing w:line="300" w:lineRule="auto"/>
      </w:pPr>
      <w:r w:rsidRPr="00C64BA4">
        <w:t>Adaptable Road Standards</w:t>
      </w:r>
    </w:p>
    <w:p w14:paraId="77D19338" w14:textId="0C94DC4A" w:rsidR="0030642C" w:rsidRPr="00C64BA4" w:rsidRDefault="192F52F6" w:rsidP="00206C45">
      <w:pPr>
        <w:pStyle w:val="Body"/>
        <w:spacing w:line="300" w:lineRule="auto"/>
      </w:pPr>
      <w:r w:rsidRPr="00C64BA4">
        <w:t xml:space="preserve">Many municipalities in New Hampshire rely on standards for road construction that have been developed by the NH Department of Transportation.  The DOT’s “Minimum Geometric &amp; Structural Guides for Local Roads and Streets” provides recommended widths for rights-of-way, travelled way, and shoulder width that are based on average daily traffic (number of vehicles per day on the road).  The recommended width for a right-of-way is 50 feet for most local roads, and the traveled way width ranges from a minimum of 18 feet to 24 feet.  Thus, </w:t>
      </w:r>
      <w:r w:rsidRPr="00C64BA4">
        <w:rPr>
          <w:i/>
          <w:iCs/>
        </w:rPr>
        <w:t>the minimum</w:t>
      </w:r>
      <w:r w:rsidRPr="00C64BA4">
        <w:t xml:space="preserve"> for a local road with no more than 50 vehicle trips per day is a 50-foot right-of-way with an 18-foot (gravel option) traveled way.  </w:t>
      </w:r>
    </w:p>
    <w:p w14:paraId="4637F3E0" w14:textId="3B1A2398" w:rsidR="0030642C" w:rsidRPr="00C64BA4" w:rsidRDefault="192F52F6" w:rsidP="00206C45">
      <w:pPr>
        <w:pStyle w:val="Body"/>
        <w:spacing w:line="300" w:lineRule="auto"/>
      </w:pPr>
      <w:r w:rsidRPr="00C64BA4">
        <w:t>Common practice is to require the 50-foot right-of-way, even for the less-traveled roads, planning for future development</w:t>
      </w:r>
      <w:r w:rsidR="00ED1C30">
        <w:t>,</w:t>
      </w:r>
      <w:r w:rsidRPr="00C64BA4">
        <w:t xml:space="preserve"> </w:t>
      </w:r>
      <w:r w:rsidR="00ED1C30">
        <w:t>H</w:t>
      </w:r>
      <w:r w:rsidRPr="00C64BA4">
        <w:t xml:space="preserve">owever, many communities will require a traveled way of 24 feet and that the road be paved.  Typically, emergency management prefers a wider roadway to ensure fire trucks, ambulance and other emergency vehicles have plenty of room to maneuver.  Road agents and public works departments have similar preferences due to plows.  </w:t>
      </w:r>
    </w:p>
    <w:p w14:paraId="2376FA46" w14:textId="6C7672BF" w:rsidR="0030642C" w:rsidRPr="00C64BA4" w:rsidRDefault="192F52F6" w:rsidP="00206C45">
      <w:pPr>
        <w:pStyle w:val="Body"/>
        <w:spacing w:line="300" w:lineRule="auto"/>
      </w:pPr>
      <w:r w:rsidRPr="00C64BA4">
        <w:t xml:space="preserve">Still, there are a variety of circumstances where reduced standards are reasonable, such as smaller developments that are under a certain threshold of units, long roadway sections that may just be needed to access the buildable areas, limited space due to lot configuration, and even environmental concerns.  There are advantages to reducing the roadway width such as reduced casts, reduced runoff, allowing space for walking, and typically slowing traffic. </w:t>
      </w:r>
    </w:p>
    <w:p w14:paraId="5CDAFFAD" w14:textId="0F03BE21" w:rsidR="0030642C" w:rsidRPr="00C64BA4" w:rsidRDefault="192F52F6" w:rsidP="0021177A">
      <w:pPr>
        <w:pStyle w:val="Heading5"/>
        <w:keepNext/>
        <w:keepLines/>
        <w:spacing w:line="300" w:lineRule="auto"/>
      </w:pPr>
      <w:r w:rsidRPr="00C64BA4">
        <w:lastRenderedPageBreak/>
        <w:t>Resources</w:t>
      </w:r>
    </w:p>
    <w:p w14:paraId="208A8207" w14:textId="036566C5" w:rsidR="0030642C" w:rsidRPr="00C64BA4" w:rsidRDefault="192F52F6" w:rsidP="0021177A">
      <w:pPr>
        <w:pStyle w:val="Body"/>
        <w:keepNext/>
        <w:keepLines/>
        <w:spacing w:line="300" w:lineRule="auto"/>
      </w:pPr>
      <w:r w:rsidRPr="00C64BA4">
        <w:t xml:space="preserve">In 2008 the NH Department of Environmental Services, in cooperation with the NH Association of Regional Planning Commissions, the NH Office of Energy and Planning, and the NH Municipal Association published “Innovative Land Use Planning Techniques:  A Handbook for Sustainable Development” </w:t>
      </w:r>
      <w:r w:rsidR="00834BD4">
        <w:t xml:space="preserve">which </w:t>
      </w:r>
      <w:r w:rsidRPr="00C64BA4">
        <w:t>provides detailed information on most of the techniques discussed above, as well as a number of others.  The Handbook provides context and legal basis for each technique, as well as a model ordinance, which makes this a valuable resource for planning boards in New Hampshire.</w:t>
      </w:r>
    </w:p>
    <w:p w14:paraId="75A53907" w14:textId="654491CF" w:rsidR="0030642C" w:rsidRPr="00894494" w:rsidRDefault="062BB574" w:rsidP="00206C45">
      <w:pPr>
        <w:pStyle w:val="Heading2"/>
        <w:spacing w:line="300" w:lineRule="auto"/>
      </w:pPr>
      <w:bookmarkStart w:id="223" w:name="_Toc1995092940"/>
      <w:bookmarkStart w:id="224" w:name="_Toc645631440"/>
      <w:bookmarkStart w:id="225" w:name="_Toc128137990"/>
      <w:r w:rsidRPr="00894494">
        <w:t>Workforce and Employment Constraints</w:t>
      </w:r>
      <w:bookmarkEnd w:id="223"/>
      <w:bookmarkEnd w:id="224"/>
      <w:bookmarkEnd w:id="225"/>
    </w:p>
    <w:p w14:paraId="5CECC9E8" w14:textId="5D7316F9" w:rsidR="7F02662A" w:rsidRPr="00C64BA4" w:rsidRDefault="004B1FE1" w:rsidP="00206C45">
      <w:pPr>
        <w:pStyle w:val="Body"/>
        <w:spacing w:line="300" w:lineRule="auto"/>
      </w:pPr>
      <w:r w:rsidRPr="00C64BA4">
        <w:rPr>
          <w:noProof/>
        </w:rPr>
        <mc:AlternateContent>
          <mc:Choice Requires="wps">
            <w:drawing>
              <wp:anchor distT="45720" distB="45720" distL="114300" distR="114300" simplePos="0" relativeHeight="251660288" behindDoc="0" locked="0" layoutInCell="1" allowOverlap="1" wp14:anchorId="4EB154CE" wp14:editId="20D87291">
                <wp:simplePos x="0" y="0"/>
                <wp:positionH relativeFrom="column">
                  <wp:posOffset>1905</wp:posOffset>
                </wp:positionH>
                <wp:positionV relativeFrom="paragraph">
                  <wp:posOffset>735330</wp:posOffset>
                </wp:positionV>
                <wp:extent cx="2360930" cy="1404620"/>
                <wp:effectExtent l="0" t="0" r="2286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0B23BF67" w14:textId="4136C5D7" w:rsidR="004B1FE1" w:rsidRPr="00A17D67" w:rsidRDefault="004B1FE1" w:rsidP="00A17D67">
                            <w:pPr>
                              <w:pStyle w:val="Body"/>
                              <w:spacing w:after="0" w:line="300" w:lineRule="auto"/>
                              <w:jc w:val="left"/>
                              <w:rPr>
                                <w:rFonts w:cstheme="minorHAnsi"/>
                                <w:i/>
                                <w:iCs/>
                                <w:sz w:val="28"/>
                                <w:szCs w:val="28"/>
                              </w:rPr>
                            </w:pPr>
                            <w:r w:rsidRPr="00A17D67">
                              <w:rPr>
                                <w:rFonts w:cstheme="minorHAnsi"/>
                                <w:i/>
                                <w:iCs/>
                                <w:sz w:val="28"/>
                                <w:szCs w:val="28"/>
                              </w:rPr>
                              <w:t xml:space="preserve">65% of respondents described the availability of housing options in or near the area where their business is located as “very limited”. </w:t>
                            </w:r>
                            <w:r w:rsidRPr="00A17D67">
                              <w:rPr>
                                <w:rFonts w:cstheme="minorHAnsi"/>
                                <w:i/>
                                <w:iCs/>
                                <w:sz w:val="28"/>
                                <w:szCs w:val="28"/>
                              </w:rPr>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EB154CE" id="Text Box 2" o:spid="_x0000_s1035" type="#_x0000_t202" style="position:absolute;left:0;text-align:left;margin-left:.15pt;margin-top:57.9pt;width:185.9pt;height:110.6pt;z-index:251660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" fillcolor="white [3201]" strokecolor="#699bff [3205]" strokeweight="1.5pt">
                <v:textbox style="mso-fit-shape-to-text:t">
                  <w:txbxContent>
                    <w:p w14:paraId="0B23BF67" w14:textId="4136C5D7" w:rsidR="004B1FE1" w:rsidRPr="00A17D67" w:rsidRDefault="004B1FE1" w:rsidP="00A17D67">
                      <w:pPr>
                        <w:pStyle w:val="Body"/>
                        <w:spacing w:after="0" w:line="300" w:lineRule="auto"/>
                        <w:jc w:val="left"/>
                        <w:rPr>
                          <w:rFonts w:cstheme="minorHAnsi"/>
                          <w:i/>
                          <w:iCs/>
                          <w:sz w:val="28"/>
                          <w:szCs w:val="28"/>
                        </w:rPr>
                      </w:pPr>
                      <w:r w:rsidRPr="00A17D67">
                        <w:rPr>
                          <w:rFonts w:cstheme="minorHAnsi"/>
                          <w:i/>
                          <w:iCs/>
                          <w:sz w:val="28"/>
                          <w:szCs w:val="28"/>
                        </w:rPr>
                        <w:t xml:space="preserve">65% of respondents described the availability of housing options in or near the area where their business is located as “very limited”. </w:t>
                      </w:r>
                      <w:r w:rsidRPr="00A17D67">
                        <w:rPr>
                          <w:rFonts w:cstheme="minorHAnsi"/>
                          <w:i/>
                          <w:iCs/>
                          <w:sz w:val="28"/>
                          <w:szCs w:val="28"/>
                        </w:rPr>
                        <w:t/>
                      </w:r>
                    </w:p>
                  </w:txbxContent>
                </v:textbox>
                <w10:wrap type="square"/>
              </v:shape>
            </w:pict>
          </mc:Fallback>
        </mc:AlternateContent>
      </w:r>
      <w:r w:rsidR="192F52F6" w:rsidRPr="00C64BA4">
        <w:t xml:space="preserve">To understand the role housing plays in workforce attraction and retention, an Employer Survey was developed by staff from the state’s </w:t>
      </w:r>
      <w:r w:rsidR="00834BD4">
        <w:t>nine</w:t>
      </w:r>
      <w:r w:rsidR="192F52F6" w:rsidRPr="00C64BA4">
        <w:t xml:space="preserve"> regional planning commissions. In addition to social media and newsletters, this survey was shared with over 19,000 Businesses in Good Standing (BIGS) registered with the Secretary of State in the Southern New Hampshire Planning Commission region. 84 individuals provided responses to the Employer survey. </w:t>
      </w:r>
    </w:p>
    <w:p w14:paraId="011E7409" w14:textId="76914AA7" w:rsidR="7F02662A" w:rsidRPr="00C64BA4" w:rsidRDefault="00020479" w:rsidP="00206C45">
      <w:pPr>
        <w:pStyle w:val="Body"/>
        <w:spacing w:line="300" w:lineRule="auto"/>
      </w:pPr>
      <w:r>
        <w:t xml:space="preserve">WHAT WE HEARD: </w:t>
      </w:r>
      <w:r w:rsidR="192F52F6" w:rsidRPr="00C64BA4">
        <w:t xml:space="preserve">During a Municipal Focus Group Meeting in April 2022, representatives from Hooksett acknowledged the need for housing </w:t>
      </w:r>
      <w:proofErr w:type="gramStart"/>
      <w:r w:rsidR="192F52F6" w:rsidRPr="00C64BA4">
        <w:t>as a result of</w:t>
      </w:r>
      <w:proofErr w:type="gramEnd"/>
      <w:r w:rsidR="192F52F6" w:rsidRPr="00C64BA4">
        <w:t xml:space="preserve"> their town’s commercial boom. New businesses need employees, but these employees are unable to afford housing nearby. Despite the need, public perception of new housing (including workforce housing) is generally negative. Concerns over traffic or lower-income end housing bringing in a “bad element” is often raised.</w:t>
      </w:r>
    </w:p>
    <w:p w14:paraId="72A2E4D8" w14:textId="77777777" w:rsidR="004B1FE1" w:rsidRPr="00C64BA4" w:rsidRDefault="004B1FE1" w:rsidP="00206C45">
      <w:pPr>
        <w:pStyle w:val="paragraph"/>
        <w:spacing w:before="0" w:beforeAutospacing="0" w:after="0" w:afterAutospacing="0" w:line="300" w:lineRule="auto"/>
        <w:jc w:val="both"/>
        <w:textAlignment w:val="baseline"/>
        <w:rPr>
          <w:rStyle w:val="eop"/>
          <w:rFonts w:asciiTheme="minorHAnsi" w:hAnsiTheme="minorHAnsi" w:cs="Segoe UI"/>
          <w:sz w:val="22"/>
          <w:szCs w:val="22"/>
        </w:rPr>
      </w:pPr>
      <w:r w:rsidRPr="00C64BA4">
        <w:rPr>
          <w:rStyle w:val="eop"/>
          <w:rFonts w:asciiTheme="minorHAnsi" w:hAnsiTheme="minorHAnsi" w:cs="Segoe UI"/>
          <w:sz w:val="22"/>
          <w:szCs w:val="22"/>
        </w:rPr>
        <w:t>The Employer Survey results showed that only a small percentage of the region’s employees live in the same town/community as they work.</w:t>
      </w:r>
    </w:p>
    <w:p w14:paraId="6E3230CC" w14:textId="77777777" w:rsidR="004B1FE1" w:rsidRPr="00C64BA4" w:rsidRDefault="004B1FE1" w:rsidP="00206C45">
      <w:pPr>
        <w:pStyle w:val="paragraph"/>
        <w:spacing w:before="0" w:beforeAutospacing="0" w:after="0" w:afterAutospacing="0" w:line="300" w:lineRule="auto"/>
        <w:jc w:val="both"/>
        <w:textAlignment w:val="baseline"/>
        <w:rPr>
          <w:rFonts w:asciiTheme="minorHAnsi" w:hAnsiTheme="minorHAnsi"/>
          <w:sz w:val="18"/>
          <w:szCs w:val="18"/>
        </w:rPr>
      </w:pPr>
    </w:p>
    <w:p w14:paraId="3FB7492A" w14:textId="29A39051" w:rsidR="00C82078" w:rsidRDefault="004B1FE1" w:rsidP="00206C45">
      <w:pPr>
        <w:pStyle w:val="paragraph"/>
        <w:numPr>
          <w:ilvl w:val="0"/>
          <w:numId w:val="13"/>
        </w:numPr>
        <w:spacing w:before="0" w:beforeAutospacing="0" w:after="0" w:afterAutospacing="0" w:line="300" w:lineRule="auto"/>
        <w:jc w:val="both"/>
        <w:textAlignment w:val="baseline"/>
        <w:rPr>
          <w:rStyle w:val="normaltextrun"/>
          <w:rFonts w:asciiTheme="minorHAnsi" w:hAnsiTheme="minorHAnsi"/>
        </w:rPr>
      </w:pPr>
      <w:r w:rsidRPr="00C64BA4">
        <w:rPr>
          <w:rStyle w:val="normaltextrun"/>
          <w:rFonts w:asciiTheme="minorHAnsi" w:hAnsiTheme="minorHAnsi" w:cs="Segoe UI"/>
          <w:sz w:val="22"/>
          <w:szCs w:val="22"/>
        </w:rPr>
        <w:t xml:space="preserve">67% of employer survey respondents said that 25% of employees or less live in the same neighborhood/ area as their </w:t>
      </w:r>
      <w:proofErr w:type="gramStart"/>
      <w:r w:rsidRPr="00C64BA4">
        <w:rPr>
          <w:rStyle w:val="normaltextrun"/>
          <w:rFonts w:asciiTheme="minorHAnsi" w:hAnsiTheme="minorHAnsi" w:cs="Segoe UI"/>
          <w:sz w:val="22"/>
          <w:szCs w:val="22"/>
        </w:rPr>
        <w:t>business</w:t>
      </w:r>
      <w:proofErr w:type="gramEnd"/>
    </w:p>
    <w:p w14:paraId="686EF29D" w14:textId="02E44088" w:rsidR="00C82078" w:rsidRDefault="004B1FE1" w:rsidP="00206C45">
      <w:pPr>
        <w:pStyle w:val="paragraph"/>
        <w:numPr>
          <w:ilvl w:val="0"/>
          <w:numId w:val="13"/>
        </w:numPr>
        <w:spacing w:before="0" w:beforeAutospacing="0" w:after="0" w:afterAutospacing="0" w:line="300" w:lineRule="auto"/>
        <w:jc w:val="both"/>
        <w:textAlignment w:val="baseline"/>
        <w:rPr>
          <w:rStyle w:val="normaltextrun"/>
          <w:rFonts w:asciiTheme="minorHAnsi" w:hAnsiTheme="minorHAnsi"/>
        </w:rPr>
      </w:pPr>
      <w:r w:rsidRPr="00C82078">
        <w:rPr>
          <w:rStyle w:val="normaltextrun"/>
          <w:rFonts w:asciiTheme="minorHAnsi" w:hAnsiTheme="minorHAnsi" w:cs="Segoe UI"/>
          <w:sz w:val="22"/>
          <w:szCs w:val="22"/>
        </w:rPr>
        <w:t>66% said that 25% of employees or less live in the same town/</w:t>
      </w:r>
      <w:proofErr w:type="gramStart"/>
      <w:r w:rsidRPr="00C82078">
        <w:rPr>
          <w:rStyle w:val="normaltextrun"/>
          <w:rFonts w:asciiTheme="minorHAnsi" w:hAnsiTheme="minorHAnsi" w:cs="Segoe UI"/>
          <w:sz w:val="22"/>
          <w:szCs w:val="22"/>
        </w:rPr>
        <w:t>city</w:t>
      </w:r>
      <w:proofErr w:type="gramEnd"/>
      <w:r w:rsidRPr="00C82078">
        <w:rPr>
          <w:rStyle w:val="normaltextrun"/>
          <w:rFonts w:asciiTheme="minorHAnsi" w:hAnsiTheme="minorHAnsi" w:cs="Segoe UI"/>
          <w:sz w:val="22"/>
          <w:szCs w:val="22"/>
        </w:rPr>
        <w:t xml:space="preserve"> </w:t>
      </w:r>
    </w:p>
    <w:p w14:paraId="5C0E1E15" w14:textId="098C515D" w:rsidR="00C82078" w:rsidRDefault="004B1FE1" w:rsidP="00206C45">
      <w:pPr>
        <w:pStyle w:val="paragraph"/>
        <w:numPr>
          <w:ilvl w:val="0"/>
          <w:numId w:val="13"/>
        </w:numPr>
        <w:spacing w:before="0" w:beforeAutospacing="0" w:after="0" w:afterAutospacing="0" w:line="300" w:lineRule="auto"/>
        <w:jc w:val="both"/>
        <w:textAlignment w:val="baseline"/>
        <w:rPr>
          <w:rStyle w:val="normaltextrun"/>
          <w:rFonts w:asciiTheme="minorHAnsi" w:hAnsiTheme="minorHAnsi"/>
        </w:rPr>
      </w:pPr>
      <w:r w:rsidRPr="00C82078">
        <w:rPr>
          <w:rStyle w:val="normaltextrun"/>
          <w:rFonts w:asciiTheme="minorHAnsi" w:hAnsiTheme="minorHAnsi" w:cs="Segoe UI"/>
          <w:sz w:val="22"/>
          <w:szCs w:val="22"/>
        </w:rPr>
        <w:t>46% said that 25% of employees or less live in an adjacent town/</w:t>
      </w:r>
      <w:proofErr w:type="gramStart"/>
      <w:r w:rsidRPr="00C82078">
        <w:rPr>
          <w:rStyle w:val="normaltextrun"/>
          <w:rFonts w:asciiTheme="minorHAnsi" w:hAnsiTheme="minorHAnsi" w:cs="Segoe UI"/>
          <w:sz w:val="22"/>
          <w:szCs w:val="22"/>
        </w:rPr>
        <w:t>city</w:t>
      </w:r>
      <w:proofErr w:type="gramEnd"/>
    </w:p>
    <w:p w14:paraId="645CE330" w14:textId="674EACDF" w:rsidR="004B1FE1" w:rsidRPr="00C82078" w:rsidRDefault="004B1FE1" w:rsidP="00206C45">
      <w:pPr>
        <w:pStyle w:val="paragraph"/>
        <w:numPr>
          <w:ilvl w:val="0"/>
          <w:numId w:val="13"/>
        </w:numPr>
        <w:spacing w:before="0" w:beforeAutospacing="0" w:after="0" w:afterAutospacing="0" w:line="300" w:lineRule="auto"/>
        <w:jc w:val="both"/>
        <w:textAlignment w:val="baseline"/>
        <w:rPr>
          <w:rStyle w:val="normaltextrun"/>
          <w:rFonts w:asciiTheme="minorHAnsi" w:hAnsiTheme="minorHAnsi"/>
        </w:rPr>
      </w:pPr>
      <w:r w:rsidRPr="00C82078">
        <w:rPr>
          <w:rStyle w:val="normaltextrun"/>
          <w:rFonts w:asciiTheme="minorHAnsi" w:hAnsiTheme="minorHAnsi" w:cs="Segoe UI"/>
          <w:sz w:val="22"/>
          <w:szCs w:val="22"/>
        </w:rPr>
        <w:t>52% said 25% of employees or less live in a non-adjacent town/</w:t>
      </w:r>
      <w:proofErr w:type="gramStart"/>
      <w:r w:rsidRPr="00C82078">
        <w:rPr>
          <w:rStyle w:val="normaltextrun"/>
          <w:rFonts w:asciiTheme="minorHAnsi" w:hAnsiTheme="minorHAnsi" w:cs="Segoe UI"/>
          <w:sz w:val="22"/>
          <w:szCs w:val="22"/>
        </w:rPr>
        <w:t>city</w:t>
      </w:r>
      <w:proofErr w:type="gramEnd"/>
      <w:r w:rsidRPr="00C82078">
        <w:rPr>
          <w:rStyle w:val="normaltextrun"/>
          <w:rFonts w:asciiTheme="minorHAnsi" w:hAnsiTheme="minorHAnsi" w:cs="Segoe UI"/>
          <w:sz w:val="22"/>
          <w:szCs w:val="22"/>
        </w:rPr>
        <w:t xml:space="preserve"> </w:t>
      </w:r>
    </w:p>
    <w:p w14:paraId="6E9DB92B" w14:textId="5528B7CC" w:rsidR="192F52F6" w:rsidRPr="00C64BA4" w:rsidRDefault="0021177A" w:rsidP="00206C45">
      <w:pPr>
        <w:pStyle w:val="Body"/>
        <w:spacing w:line="300" w:lineRule="auto"/>
      </w:pPr>
      <w:r w:rsidRPr="00C64BA4">
        <w:rPr>
          <w:noProof/>
        </w:rPr>
        <w:drawing>
          <wp:anchor distT="0" distB="0" distL="114300" distR="114300" simplePos="0" relativeHeight="251658240" behindDoc="1" locked="0" layoutInCell="1" allowOverlap="1" wp14:anchorId="2B6AB39A" wp14:editId="4856EA09">
            <wp:simplePos x="0" y="0"/>
            <wp:positionH relativeFrom="margin">
              <wp:posOffset>905989</wp:posOffset>
            </wp:positionH>
            <wp:positionV relativeFrom="paragraph">
              <wp:posOffset>325203</wp:posOffset>
            </wp:positionV>
            <wp:extent cx="1562100" cy="1562100"/>
            <wp:effectExtent l="0" t="0" r="0" b="0"/>
            <wp:wrapTopAndBottom/>
            <wp:docPr id="1" name="Picture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on&#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pic:spPr>
                </pic:pic>
              </a:graphicData>
            </a:graphic>
            <wp14:sizeRelH relativeFrom="page">
              <wp14:pctWidth>0</wp14:pctWidth>
            </wp14:sizeRelH>
            <wp14:sizeRelV relativeFrom="page">
              <wp14:pctHeight>0</wp14:pctHeight>
            </wp14:sizeRelV>
          </wp:anchor>
        </w:drawing>
      </w:r>
      <w:r w:rsidR="009E39A2" w:rsidRPr="00C64BA4">
        <w:rPr>
          <w:rStyle w:val="normaltextrun"/>
          <w:rFonts w:cs="Segoe UI"/>
          <w:noProof/>
        </w:rPr>
        <mc:AlternateContent>
          <mc:Choice Requires="wps">
            <w:drawing>
              <wp:anchor distT="45720" distB="45720" distL="114300" distR="114300" simplePos="0" relativeHeight="251670528" behindDoc="0" locked="0" layoutInCell="1" allowOverlap="1" wp14:anchorId="127C94E2" wp14:editId="5BCE795F">
                <wp:simplePos x="0" y="0"/>
                <wp:positionH relativeFrom="column">
                  <wp:posOffset>3133725</wp:posOffset>
                </wp:positionH>
                <wp:positionV relativeFrom="paragraph">
                  <wp:posOffset>347345</wp:posOffset>
                </wp:positionV>
                <wp:extent cx="2360930" cy="1404620"/>
                <wp:effectExtent l="0" t="0" r="22860" b="18415"/>
                <wp:wrapTopAndBottom/>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71AE8C5F" w14:textId="74C43C55" w:rsidR="004B1FE1" w:rsidRPr="00A17D67" w:rsidRDefault="004B1FE1" w:rsidP="00A17D67">
                            <w:pPr>
                              <w:pStyle w:val="Body"/>
                              <w:spacing w:after="0" w:line="300" w:lineRule="auto"/>
                              <w:jc w:val="left"/>
                              <w:rPr>
                                <w:rFonts w:cstheme="minorHAnsi"/>
                                <w:i/>
                                <w:iCs/>
                                <w:sz w:val="28"/>
                                <w:szCs w:val="28"/>
                              </w:rPr>
                            </w:pPr>
                            <w:r w:rsidRPr="00A17D67">
                              <w:rPr>
                                <w:rFonts w:cstheme="minorHAnsi"/>
                                <w:i/>
                                <w:iCs/>
                                <w:sz w:val="28"/>
                                <w:szCs w:val="28"/>
                              </w:rPr>
                              <w:t xml:space="preserve">In the </w:t>
                            </w:r>
                            <w:r w:rsidRPr="00A17D67">
                              <w:rPr>
                                <w:rFonts w:cstheme="minorHAnsi"/>
                                <w:i/>
                                <w:iCs/>
                                <w:sz w:val="28"/>
                                <w:szCs w:val="28"/>
                              </w:rPr>
                              <w:t>general public survey, the majority of respondents (49%) said that being close to work was a high or very high priority when choosing a neighborhood to live in.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27C94E2" id="_x0000_s1036" type="#_x0000_t202" style="position:absolute;left:0;text-align:left;margin-left:246.75pt;margin-top:27.35pt;width:185.9pt;height:110.6pt;z-index:2516705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" fillcolor="white [3201]" strokecolor="#699bff [3205]" strokeweight="1.5pt">
                <v:textbox style="mso-fit-shape-to-text:t">
                  <w:txbxContent>
                    <w:p w14:paraId="71AE8C5F" w14:textId="74C43C55" w:rsidR="004B1FE1" w:rsidRPr="00A17D67" w:rsidRDefault="004B1FE1" w:rsidP="00A17D67">
                      <w:pPr>
                        <w:pStyle w:val="Body"/>
                        <w:spacing w:after="0" w:line="300" w:lineRule="auto"/>
                        <w:jc w:val="left"/>
                        <w:rPr>
                          <w:rFonts w:cstheme="minorHAnsi"/>
                          <w:i/>
                          <w:iCs/>
                          <w:sz w:val="28"/>
                          <w:szCs w:val="28"/>
                        </w:rPr>
                      </w:pPr>
                      <w:r w:rsidRPr="00A17D67">
                        <w:rPr>
                          <w:rFonts w:cstheme="minorHAnsi"/>
                          <w:i/>
                          <w:iCs/>
                          <w:sz w:val="28"/>
                          <w:szCs w:val="28"/>
                        </w:rPr>
                        <w:t xml:space="preserve">In the </w:t>
                      </w:r>
                      <w:r w:rsidRPr="00A17D67">
                        <w:rPr>
                          <w:rFonts w:cstheme="minorHAnsi"/>
                          <w:i/>
                          <w:iCs/>
                          <w:sz w:val="28"/>
                          <w:szCs w:val="28"/>
                        </w:rPr>
                        <w:t>general public survey, the majority of respondents (49%) said that being close to work was a high or very high priority when choosing a neighborhood to live in.</w:t>
                      </w:r>
                    </w:p>
                  </w:txbxContent>
                </v:textbox>
                <w10:wrap type="topAndBottom"/>
              </v:shape>
            </w:pict>
          </mc:Fallback>
        </mc:AlternateContent>
      </w:r>
    </w:p>
    <w:p w14:paraId="2CB0B4B2" w14:textId="11C092C7" w:rsidR="00E67478" w:rsidRPr="00C64BA4" w:rsidRDefault="4308C91A" w:rsidP="0021177A">
      <w:pPr>
        <w:pStyle w:val="Heading3"/>
        <w:keepNext/>
        <w:keepLines/>
        <w:spacing w:line="300" w:lineRule="auto"/>
      </w:pPr>
      <w:bookmarkStart w:id="226" w:name="_Toc1959288188"/>
      <w:bookmarkStart w:id="227" w:name="_Toc1311480051"/>
      <w:bookmarkStart w:id="228" w:name="_Toc128137991"/>
      <w:r w:rsidRPr="00C64BA4">
        <w:lastRenderedPageBreak/>
        <w:t>Workforce Attraction and Retention</w:t>
      </w:r>
      <w:bookmarkEnd w:id="226"/>
      <w:bookmarkEnd w:id="227"/>
      <w:bookmarkEnd w:id="228"/>
    </w:p>
    <w:p w14:paraId="27EF1EF9" w14:textId="6F1D1A3E" w:rsidR="7F02662A" w:rsidRPr="00C64BA4" w:rsidRDefault="00020479" w:rsidP="0021177A">
      <w:pPr>
        <w:pStyle w:val="Body"/>
        <w:keepNext/>
        <w:keepLines/>
        <w:spacing w:line="300" w:lineRule="auto"/>
      </w:pPr>
      <w:r>
        <w:t xml:space="preserve">WHAT WE HEARD: </w:t>
      </w:r>
      <w:r w:rsidR="192F52F6" w:rsidRPr="00C64BA4">
        <w:t>The employer survey revealed that 62% of respondents believe that a housing supply shortage impacts their ability to attract or keep workers. Additional comments mentioned the added financial hardship placed on employees who need to travel farther to work (high price of gas, vehicle maintenance, childcare, etc.), the struggles of small businesses to pay employees higher wages</w:t>
      </w:r>
      <w:r w:rsidR="00FD0852">
        <w:t>,</w:t>
      </w:r>
      <w:r w:rsidR="192F52F6" w:rsidRPr="00C64BA4">
        <w:t xml:space="preserve"> and poor housing conditions for renters impacting their ability to work consistently. Whether renting or purchasing, availability, cost, and quality of housing were all identified as having a “high impact” on employers’ ability to attract or keep qualified workers.</w:t>
      </w:r>
    </w:p>
    <w:p w14:paraId="12BD69EB" w14:textId="06636F3F" w:rsidR="7F02662A" w:rsidRPr="00C64BA4" w:rsidRDefault="192F52F6" w:rsidP="00206C45">
      <w:pPr>
        <w:pStyle w:val="Body"/>
        <w:spacing w:line="300" w:lineRule="auto"/>
      </w:pPr>
      <w:r w:rsidRPr="00C64BA4">
        <w:t xml:space="preserve">In the employer survey, one employer stated that the lack of affordable housing is leading to “brain drain” or young people leaving the area due to affordability, which will ultimately undermine facets of growth. Another stated “We are in desperate need of skilled tradesmen. Without these workers, growth is not possible”. </w:t>
      </w:r>
    </w:p>
    <w:p w14:paraId="04A37B6F" w14:textId="7E37AF44" w:rsidR="7F02662A" w:rsidRPr="00C64BA4" w:rsidRDefault="192F52F6" w:rsidP="00206C45">
      <w:pPr>
        <w:pStyle w:val="Body"/>
        <w:spacing w:line="300" w:lineRule="auto"/>
      </w:pPr>
      <w:r w:rsidRPr="00C64BA4">
        <w:t>Employers reported that all types of housing are helpful in supporting their efforts to recruit and retain employees. The most helpful types were identified as single-family homes (34.94%), multi-family home</w:t>
      </w:r>
      <w:r w:rsidR="00DD5ADB">
        <w:t>s</w:t>
      </w:r>
      <w:r w:rsidRPr="00C64BA4">
        <w:t xml:space="preserve"> (26.51%), multi-family apartment buildings (20.48%), other (</w:t>
      </w:r>
      <w:r w:rsidR="00DD5ADB">
        <w:t>i</w:t>
      </w:r>
      <w:r w:rsidRPr="00C64BA4">
        <w:t xml:space="preserve">.e., </w:t>
      </w:r>
      <w:proofErr w:type="gramStart"/>
      <w:r w:rsidRPr="00C64BA4">
        <w:t>all of</w:t>
      </w:r>
      <w:proofErr w:type="gramEnd"/>
      <w:r w:rsidRPr="00C64BA4">
        <w:t xml:space="preserve"> the above, affordable, quality/price) (14.46%) and townhomes (3.61%).</w:t>
      </w:r>
    </w:p>
    <w:p w14:paraId="0F0F3327" w14:textId="02AC1096" w:rsidR="7F02662A" w:rsidRPr="00C64BA4" w:rsidRDefault="00E427D9" w:rsidP="00206C45">
      <w:pPr>
        <w:pStyle w:val="Body"/>
        <w:spacing w:line="300" w:lineRule="auto"/>
      </w:pPr>
      <w:r w:rsidRPr="00E427D9">
        <w:t xml:space="preserve">While most employer attitudes towards new housing were supportive, </w:t>
      </w:r>
      <w:r>
        <w:t>n</w:t>
      </w:r>
      <w:r w:rsidRPr="00C64BA4">
        <w:t xml:space="preserve">ine out of 42 (or 21%) respondents shared additional comments </w:t>
      </w:r>
      <w:r w:rsidR="192F52F6" w:rsidRPr="00C64BA4">
        <w:t xml:space="preserve">that were negative or discriminatory in nature regarding workforce housing. </w:t>
      </w:r>
      <w:r>
        <w:t>Overall, employer c</w:t>
      </w:r>
      <w:r w:rsidR="192F52F6" w:rsidRPr="00C64BA4">
        <w:t>omments ranged from “Better home options results in a more vibrant community.” to “Stop brin</w:t>
      </w:r>
      <w:r w:rsidR="00DD5ADB">
        <w:t>g</w:t>
      </w:r>
      <w:r w:rsidR="192F52F6" w:rsidRPr="00C64BA4">
        <w:t>ing immigrants here until we solve this problem locally. Closing the borders may help a bit.”.</w:t>
      </w:r>
    </w:p>
    <w:p w14:paraId="31D3809A" w14:textId="1E1FCE20" w:rsidR="00E67478" w:rsidRPr="00C64BA4" w:rsidRDefault="192F52F6" w:rsidP="00206C45">
      <w:pPr>
        <w:pStyle w:val="Heading3"/>
        <w:spacing w:line="300" w:lineRule="auto"/>
      </w:pPr>
      <w:bookmarkStart w:id="229" w:name="_Toc213850144"/>
      <w:bookmarkStart w:id="230" w:name="_Toc10210174"/>
      <w:bookmarkStart w:id="231" w:name="_Toc128137992"/>
      <w:r w:rsidRPr="00C64BA4">
        <w:t>Effect of job growth on housing needs</w:t>
      </w:r>
      <w:bookmarkEnd w:id="229"/>
      <w:bookmarkEnd w:id="230"/>
      <w:bookmarkEnd w:id="231"/>
    </w:p>
    <w:p w14:paraId="50F703DA" w14:textId="4C4B008B" w:rsidR="7F02662A" w:rsidRPr="00C64BA4" w:rsidRDefault="192F52F6" w:rsidP="00206C45">
      <w:pPr>
        <w:pStyle w:val="Body"/>
        <w:spacing w:line="300" w:lineRule="auto"/>
      </w:pPr>
      <w:r w:rsidRPr="00C64BA4">
        <w:t>At the Manchester municipal focus group meeting, business growth was especially recognized as the impetus for more housing development. Many of the companies are attracting national if not international attention.  Naturally, with this growth comes the need for increased housing opportunities. Participants from the medium-sized town municipal focus group meeting noted that housing is needed for visiting professionals who work at places like Parkland Medical Center and Dartmouth Hitchcock.</w:t>
      </w:r>
    </w:p>
    <w:p w14:paraId="637E85D2" w14:textId="43EFD56D" w:rsidR="00E67478" w:rsidRPr="00C64BA4" w:rsidRDefault="192F52F6" w:rsidP="00206C45">
      <w:pPr>
        <w:pStyle w:val="Heading4"/>
        <w:spacing w:after="200" w:line="300" w:lineRule="auto"/>
        <w:jc w:val="both"/>
      </w:pPr>
      <w:r w:rsidRPr="00C64BA4">
        <w:t>Employer assisted housing</w:t>
      </w:r>
    </w:p>
    <w:p w14:paraId="44D7EB25" w14:textId="633BF013" w:rsidR="7F02662A" w:rsidRPr="00C64BA4" w:rsidRDefault="00020479" w:rsidP="00206C45">
      <w:pPr>
        <w:pStyle w:val="Body"/>
        <w:spacing w:line="300" w:lineRule="auto"/>
      </w:pPr>
      <w:r>
        <w:t xml:space="preserve">WHAT WE HEARD: </w:t>
      </w:r>
      <w:r w:rsidR="7F02662A" w:rsidRPr="00C64BA4">
        <w:t>The results of the employer survey showed that some companies are currently using the following strategies to help employees secure housing:</w:t>
      </w:r>
    </w:p>
    <w:p w14:paraId="166DBF9D" w14:textId="19CFC793" w:rsidR="7F02662A" w:rsidRPr="00C64BA4" w:rsidRDefault="192F52F6" w:rsidP="00206C45">
      <w:pPr>
        <w:pStyle w:val="Body"/>
        <w:numPr>
          <w:ilvl w:val="0"/>
          <w:numId w:val="5"/>
        </w:numPr>
        <w:spacing w:line="300" w:lineRule="auto"/>
      </w:pPr>
      <w:r w:rsidRPr="00C64BA4">
        <w:t>Homebuyer Education (16%)</w:t>
      </w:r>
    </w:p>
    <w:p w14:paraId="733C7E94" w14:textId="52F0B8E9" w:rsidR="7F02662A" w:rsidRPr="00C64BA4" w:rsidRDefault="192F52F6" w:rsidP="00206C45">
      <w:pPr>
        <w:pStyle w:val="Body"/>
        <w:numPr>
          <w:ilvl w:val="0"/>
          <w:numId w:val="5"/>
        </w:numPr>
        <w:spacing w:line="300" w:lineRule="auto"/>
      </w:pPr>
      <w:r w:rsidRPr="00C64BA4">
        <w:t>Rent Subsidy (10%)</w:t>
      </w:r>
    </w:p>
    <w:p w14:paraId="50B7CB9D" w14:textId="0EDCB6DE" w:rsidR="7F02662A" w:rsidRPr="00C64BA4" w:rsidRDefault="192F52F6" w:rsidP="00206C45">
      <w:pPr>
        <w:pStyle w:val="Body"/>
        <w:numPr>
          <w:ilvl w:val="0"/>
          <w:numId w:val="5"/>
        </w:numPr>
        <w:spacing w:line="300" w:lineRule="auto"/>
      </w:pPr>
      <w:r w:rsidRPr="00C64BA4">
        <w:t xml:space="preserve">Employer Operated Housing (10%) </w:t>
      </w:r>
    </w:p>
    <w:p w14:paraId="59DC0DAD" w14:textId="61542491" w:rsidR="7F02662A" w:rsidRPr="00C64BA4" w:rsidRDefault="192F52F6" w:rsidP="00206C45">
      <w:pPr>
        <w:pStyle w:val="Body"/>
        <w:numPr>
          <w:ilvl w:val="0"/>
          <w:numId w:val="5"/>
        </w:numPr>
        <w:spacing w:line="300" w:lineRule="auto"/>
      </w:pPr>
      <w:r w:rsidRPr="00C64BA4">
        <w:t>Cash Contributions (8%)</w:t>
      </w:r>
    </w:p>
    <w:p w14:paraId="4639DE7D" w14:textId="296B13D9" w:rsidR="7F02662A" w:rsidRPr="00C64BA4" w:rsidRDefault="192F52F6" w:rsidP="00206C45">
      <w:pPr>
        <w:pStyle w:val="Body"/>
        <w:numPr>
          <w:ilvl w:val="0"/>
          <w:numId w:val="5"/>
        </w:numPr>
        <w:spacing w:line="300" w:lineRule="auto"/>
      </w:pPr>
      <w:r w:rsidRPr="00C64BA4">
        <w:t>Down Payment and/or Closing Cost Assistance (6%)</w:t>
      </w:r>
    </w:p>
    <w:p w14:paraId="5690153A" w14:textId="5D53AE25" w:rsidR="7F02662A" w:rsidRPr="00C64BA4" w:rsidRDefault="192F52F6" w:rsidP="00206C45">
      <w:pPr>
        <w:pStyle w:val="Body"/>
        <w:numPr>
          <w:ilvl w:val="0"/>
          <w:numId w:val="5"/>
        </w:numPr>
        <w:spacing w:line="300" w:lineRule="auto"/>
      </w:pPr>
      <w:r w:rsidRPr="00C64BA4">
        <w:t>Low-Income Housing Tax Credit Investments (4%)</w:t>
      </w:r>
    </w:p>
    <w:p w14:paraId="0020CEEB" w14:textId="3D786C7E" w:rsidR="7F02662A" w:rsidRPr="00C64BA4" w:rsidRDefault="192F52F6" w:rsidP="00206C45">
      <w:pPr>
        <w:pStyle w:val="Body"/>
        <w:numPr>
          <w:ilvl w:val="0"/>
          <w:numId w:val="5"/>
        </w:numPr>
        <w:spacing w:line="300" w:lineRule="auto"/>
      </w:pPr>
      <w:r w:rsidRPr="00C64BA4">
        <w:lastRenderedPageBreak/>
        <w:t>Moving Cost Assistance (2%)</w:t>
      </w:r>
    </w:p>
    <w:p w14:paraId="47D71203" w14:textId="01529D47" w:rsidR="7F02662A" w:rsidRPr="00C64BA4" w:rsidRDefault="192F52F6" w:rsidP="00206C45">
      <w:pPr>
        <w:pStyle w:val="Body"/>
        <w:numPr>
          <w:ilvl w:val="0"/>
          <w:numId w:val="5"/>
        </w:numPr>
        <w:spacing w:line="300" w:lineRule="auto"/>
      </w:pPr>
      <w:r w:rsidRPr="00C64BA4">
        <w:t>Construction Financing (2%)</w:t>
      </w:r>
    </w:p>
    <w:p w14:paraId="497EBB33" w14:textId="55CE87FB" w:rsidR="7F02662A" w:rsidRPr="00C64BA4" w:rsidRDefault="192F52F6" w:rsidP="00206C45">
      <w:pPr>
        <w:pStyle w:val="Body"/>
        <w:numPr>
          <w:ilvl w:val="0"/>
          <w:numId w:val="5"/>
        </w:numPr>
        <w:spacing w:line="300" w:lineRule="auto"/>
      </w:pPr>
      <w:r w:rsidRPr="00C64BA4">
        <w:t>Other: Match IRA Contributions (2%)</w:t>
      </w:r>
    </w:p>
    <w:p w14:paraId="08AEC8DB" w14:textId="3FE0E58C" w:rsidR="7F02662A" w:rsidRPr="00C64BA4" w:rsidRDefault="192F52F6" w:rsidP="00206C45">
      <w:pPr>
        <w:pStyle w:val="Body"/>
        <w:numPr>
          <w:ilvl w:val="0"/>
          <w:numId w:val="5"/>
        </w:numPr>
        <w:spacing w:line="300" w:lineRule="auto"/>
      </w:pPr>
      <w:r w:rsidRPr="00C64BA4">
        <w:t>Other: Pay Top Dollar (2%)</w:t>
      </w:r>
    </w:p>
    <w:p w14:paraId="37B711DA" w14:textId="71837A78" w:rsidR="7D79BFBF" w:rsidRPr="008C44A2" w:rsidRDefault="192F52F6" w:rsidP="008C44A2">
      <w:pPr>
        <w:pStyle w:val="Body"/>
        <w:spacing w:line="300" w:lineRule="auto"/>
      </w:pPr>
      <w:r w:rsidRPr="00C64BA4">
        <w:t xml:space="preserve">When asked what would help the most in achieving better housing solutions for employees, </w:t>
      </w:r>
      <w:proofErr w:type="gramStart"/>
      <w:r w:rsidRPr="00C64BA4">
        <w:t>the majority of</w:t>
      </w:r>
      <w:proofErr w:type="gramEnd"/>
      <w:r w:rsidRPr="00C64BA4">
        <w:t xml:space="preserve"> respondents (53.01%) do not see their company having a role in helping to address New Hampshire’s housing issue as it relates to employee attraction and retention. The next highest responses included 41% choosing housing diversity and at 32% was changes to policy and planning.  Other responses included: subsidies or support (9.52%), more willing workers (4.76%) and transportation options (1.59%). </w:t>
      </w:r>
    </w:p>
    <w:p w14:paraId="34924623" w14:textId="6F3DC707" w:rsidR="00972BFB" w:rsidRPr="00C64BA4" w:rsidRDefault="192F52F6" w:rsidP="00206C45">
      <w:pPr>
        <w:pStyle w:val="Heading2"/>
        <w:spacing w:line="300" w:lineRule="auto"/>
      </w:pPr>
      <w:bookmarkStart w:id="232" w:name="_Toc1122363241"/>
      <w:bookmarkStart w:id="233" w:name="_Toc682410516"/>
      <w:bookmarkStart w:id="234" w:name="_Toc128137993"/>
      <w:r w:rsidRPr="00C64BA4">
        <w:t>Transportation and housing</w:t>
      </w:r>
      <w:bookmarkEnd w:id="232"/>
      <w:bookmarkEnd w:id="233"/>
      <w:bookmarkEnd w:id="234"/>
    </w:p>
    <w:p w14:paraId="698BD5B4" w14:textId="0E70168B" w:rsidR="00972BFB" w:rsidRPr="00C64BA4" w:rsidRDefault="192F52F6" w:rsidP="00206C45">
      <w:pPr>
        <w:pStyle w:val="Body"/>
        <w:spacing w:line="300" w:lineRule="auto"/>
      </w:pPr>
      <w:r w:rsidRPr="00C64BA4">
        <w:t>Transportation can impact housing choice and opportunities. If people cannot afford to live where they work, they must commute; if there is no public transportation available, they will need to drive. The costs of personal transportation including the cost of the vehicle insurance, and maintenance can add up. When these costs are added to housing costs, they increase the cost burden of a household.</w:t>
      </w:r>
    </w:p>
    <w:p w14:paraId="340D54A3" w14:textId="334C888D" w:rsidR="4781E6E0" w:rsidRPr="00C64BA4" w:rsidRDefault="192F52F6" w:rsidP="00206C45">
      <w:pPr>
        <w:pStyle w:val="Body"/>
        <w:spacing w:line="300" w:lineRule="auto"/>
      </w:pPr>
      <w:r w:rsidRPr="00894494">
        <w:rPr>
          <w:rStyle w:val="Heading4Char"/>
        </w:rPr>
        <w:t>Public Transit</w:t>
      </w:r>
      <w:r w:rsidRPr="008F0AB5">
        <w:rPr>
          <w:b/>
          <w:bCs/>
        </w:rPr>
        <w:t xml:space="preserve">: </w:t>
      </w:r>
      <w:r w:rsidRPr="008F0AB5">
        <w:t>Within the SNHPC region</w:t>
      </w:r>
      <w:r w:rsidRPr="008F0AB5">
        <w:rPr>
          <w:b/>
          <w:bCs/>
        </w:rPr>
        <w:t>,</w:t>
      </w:r>
      <w:r w:rsidR="0085267B" w:rsidRPr="008F0AB5">
        <w:rPr>
          <w:b/>
          <w:bCs/>
        </w:rPr>
        <w:t xml:space="preserve"> </w:t>
      </w:r>
      <w:r w:rsidRPr="008F0AB5">
        <w:t>the</w:t>
      </w:r>
      <w:r w:rsidRPr="00C64BA4">
        <w:t xml:space="preserve"> Manchester Transit Authority (MTA) operates fixed route transit service in the City of Manchester, as well as providing demand response bus service in southern New Hampshire. While nearly 70% of Manchester residents live within a quarter mile of a transit stop, only a very small</w:t>
      </w:r>
      <w:r w:rsidR="00337658">
        <w:t xml:space="preserve"> percentage</w:t>
      </w:r>
      <w:r w:rsidRPr="00C64BA4">
        <w:t xml:space="preserve"> of residents utilize the services. According to the U.S. Census Bureau, 5.7% of Manchester residents commuted to work using a mode of transportation other than driving or carpooling. However, due to small sample sizes this category also includes bicycling, walking, motorcycling, etc. The H&amp;T Affordability Index</w:t>
      </w:r>
      <w:r w:rsidR="005E4CB4">
        <w:rPr>
          <w:rStyle w:val="FootnoteReference"/>
        </w:rPr>
        <w:footnoteReference w:id="57"/>
      </w:r>
      <w:r w:rsidRPr="00C64BA4">
        <w:t xml:space="preserve"> estimates that the </w:t>
      </w:r>
      <w:r w:rsidR="00337658">
        <w:t>percent</w:t>
      </w:r>
      <w:r w:rsidRPr="00C64BA4">
        <w:t xml:space="preserve"> taking public transit in Manchester is around 2%. Statewide, the number is 0.9%.</w:t>
      </w:r>
    </w:p>
    <w:p w14:paraId="2EBEE4F3" w14:textId="054E9726" w:rsidR="192F52F6" w:rsidRPr="00C64BA4" w:rsidRDefault="192F52F6" w:rsidP="00206C45">
      <w:pPr>
        <w:pStyle w:val="Body"/>
        <w:spacing w:line="300" w:lineRule="auto"/>
      </w:pPr>
      <w:r w:rsidRPr="00C64BA4">
        <w:t>There are several reasons for this, including lack of routes to get people to work efficiently, long headway times (usually 1-hour between buses), and a residual social stigma that sees transit as a social safety net rather than a realistic or attractive option. Furthermore, many neighborhoods – especially outside Manchester – lack the density that would make transit a viable option. Other services, such as demand-response and volunteer driver programs, exist, but further outreach is needed for knowledge of these options to make their way into suburban and rural communities within the SNHPC region.</w:t>
      </w:r>
    </w:p>
    <w:p w14:paraId="7F957156" w14:textId="5EC6E5AA" w:rsidR="192F52F6" w:rsidRPr="00C64BA4" w:rsidRDefault="192F52F6" w:rsidP="00206C45">
      <w:pPr>
        <w:pStyle w:val="Body"/>
        <w:spacing w:line="300" w:lineRule="auto"/>
      </w:pPr>
      <w:r w:rsidRPr="00C64BA4">
        <w:t>The percentage of New Hampshire households with at least one vehicle (95%) ranks among the highest nationally, tied with Colorado, Montana, and South Dakota; only Wyoming (96.2%), Idaho (96.1%), and Utah (96%) have higher rates.</w:t>
      </w:r>
    </w:p>
    <w:p w14:paraId="12BC1167" w14:textId="6AE0A412" w:rsidR="005E4465" w:rsidRPr="00C64BA4" w:rsidRDefault="60F67643" w:rsidP="00206C45">
      <w:pPr>
        <w:tabs>
          <w:tab w:val="left" w:pos="1956"/>
        </w:tabs>
        <w:spacing w:line="300" w:lineRule="auto"/>
        <w:jc w:val="both"/>
        <w:rPr>
          <w:rFonts w:eastAsia="Tw Cen MT" w:cs="Tw Cen MT"/>
          <w:color w:val="000000" w:themeColor="text1"/>
        </w:rPr>
      </w:pPr>
      <w:r w:rsidRPr="00894494">
        <w:rPr>
          <w:rStyle w:val="Heading4Char"/>
        </w:rPr>
        <w:t>Cost of Transportation</w:t>
      </w:r>
      <w:r w:rsidR="003C5D8A">
        <w:rPr>
          <w:rFonts w:eastAsia="Tw Cen MT" w:cs="Tw Cen MT"/>
          <w:b/>
          <w:bCs/>
          <w:u w:val="single"/>
        </w:rPr>
        <w:t>:</w:t>
      </w:r>
      <w:r w:rsidRPr="00C64BA4">
        <w:rPr>
          <w:rFonts w:eastAsia="Tw Cen MT" w:cs="Tw Cen MT"/>
          <w:b/>
          <w:bCs/>
        </w:rPr>
        <w:t xml:space="preserve">  </w:t>
      </w:r>
      <w:r w:rsidRPr="00C64BA4">
        <w:rPr>
          <w:rFonts w:eastAsia="Tw Cen MT" w:cs="Tw Cen MT"/>
        </w:rPr>
        <w:t xml:space="preserve">Transportation costs depend on several factors, including miles driven, vehicle condition, and cost of maintenance. Costs for personal vehicles can impact a household’s burden if </w:t>
      </w:r>
      <w:r w:rsidRPr="00C64BA4">
        <w:rPr>
          <w:rFonts w:eastAsia="Tw Cen MT" w:cs="Tw Cen MT"/>
        </w:rPr>
        <w:lastRenderedPageBreak/>
        <w:t xml:space="preserve">those costs are excessive.  </w:t>
      </w:r>
      <w:r w:rsidRPr="00400683">
        <w:rPr>
          <w:rFonts w:eastAsia="Tw Cen MT" w:cs="Tw Cen MT"/>
        </w:rPr>
        <w:t>The Center for Neighborhood Technology</w:t>
      </w:r>
      <w:r w:rsidR="00432505">
        <w:rPr>
          <w:rStyle w:val="FootnoteReference"/>
          <w:rFonts w:eastAsia="Tw Cen MT" w:cs="Tw Cen MT"/>
        </w:rPr>
        <w:footnoteReference w:id="58"/>
      </w:r>
      <w:r w:rsidR="00432505" w:rsidRPr="00C64BA4">
        <w:rPr>
          <w:rFonts w:eastAsia="Tw Cen MT" w:cs="Tw Cen MT"/>
        </w:rPr>
        <w:t xml:space="preserve"> </w:t>
      </w:r>
      <w:r w:rsidR="00432505">
        <w:rPr>
          <w:rFonts w:eastAsia="Tw Cen MT" w:cs="Tw Cen MT"/>
        </w:rPr>
        <w:t>h</w:t>
      </w:r>
      <w:r w:rsidRPr="00C64BA4">
        <w:rPr>
          <w:rFonts w:eastAsia="Tw Cen MT" w:cs="Tw Cen MT"/>
        </w:rPr>
        <w:t xml:space="preserve">as developed an affordability index that incorporates the cost of transportation with the cost of housing, which provides a more comprehensive picture of housing affordability.  According to the Center, </w:t>
      </w:r>
      <w:r w:rsidRPr="00C64BA4">
        <w:rPr>
          <w:rFonts w:eastAsia="Tw Cen MT" w:cs="Tw Cen MT"/>
          <w:color w:val="000000" w:themeColor="text1"/>
        </w:rPr>
        <w:t>traditional measures of housing affordability ignore transportation costs. Typically a household’s second-largest expenditure, transportation costs are largely a function of the characteristics of the neighborhood in which a household chooses to live. In other words, location matters. Costs for transportation in this analysis include maintenance and gas.  The Center considers transportation costs to be affordable if they do not exceed 15% of annual household income.</w:t>
      </w:r>
    </w:p>
    <w:p w14:paraId="6AC05B39" w14:textId="1B4BF28A" w:rsidR="1189A390" w:rsidRPr="00C64BA4" w:rsidRDefault="192F52F6" w:rsidP="00206C45">
      <w:pPr>
        <w:tabs>
          <w:tab w:val="left" w:pos="1956"/>
        </w:tabs>
        <w:spacing w:line="300" w:lineRule="auto"/>
        <w:jc w:val="both"/>
        <w:rPr>
          <w:rFonts w:eastAsia="Tw Cen MT" w:cs="Tw Cen MT"/>
        </w:rPr>
      </w:pPr>
      <w:r w:rsidRPr="00A619F7">
        <w:rPr>
          <w:rFonts w:eastAsia="Tw Cen MT" w:cs="Tw Cen MT"/>
        </w:rPr>
        <w:t>As an example, the 14 communities</w:t>
      </w:r>
      <w:r w:rsidRPr="00C64BA4">
        <w:rPr>
          <w:rFonts w:eastAsia="Tw Cen MT" w:cs="Tw Cen MT"/>
        </w:rPr>
        <w:t xml:space="preserve"> of the Southern NH planning region have combined scores (average % of income for housing + average % of income for transportation) that range from a low of 40% (Manchester) to a high of 66% (Windham).  Manchester as a whole spends a smaller percentage of income on housing (23%), and just slightly more (17%) on transportation.  The low transportation costs are likely related to access to public transit.  Windham, on the other hand, exceeds both the housing percentage (45%) and transportation (21%).  These higher transportation costs are likely related to the number of residents (79%) who commute out of town for work.  Worth noting is that no town in the region has an average transportation cost of 15% or less.</w:t>
      </w:r>
    </w:p>
    <w:p w14:paraId="4BA44BE8" w14:textId="334151A6" w:rsidR="00076AB9" w:rsidRPr="00C64BA4" w:rsidRDefault="00076AB9" w:rsidP="00206C45">
      <w:pPr>
        <w:tabs>
          <w:tab w:val="left" w:pos="1956"/>
        </w:tabs>
        <w:spacing w:line="300" w:lineRule="auto"/>
        <w:jc w:val="both"/>
        <w:rPr>
          <w:rFonts w:eastAsia="Tw Cen MT" w:cs="Tw Cen MT"/>
        </w:rPr>
      </w:pPr>
      <w:r w:rsidRPr="00C64BA4">
        <w:rPr>
          <w:rFonts w:eastAsia="Tw Cen MT" w:cs="Tw Cen MT"/>
        </w:rPr>
        <w:t xml:space="preserve">Building off the Center Neighborhood Technology’s methodology, the US Department of Housing and Urban Development has developed its own housing and transportation cost burden dataset, the </w:t>
      </w:r>
      <w:r w:rsidRPr="00400683">
        <w:rPr>
          <w:rFonts w:eastAsia="Tw Cen MT" w:cs="Tw Cen MT"/>
        </w:rPr>
        <w:t>Location Affordability Index</w:t>
      </w:r>
      <w:r w:rsidR="00A619F7">
        <w:rPr>
          <w:rStyle w:val="FootnoteReference"/>
          <w:rFonts w:eastAsia="Tw Cen MT" w:cs="Tw Cen MT"/>
        </w:rPr>
        <w:footnoteReference w:id="59"/>
      </w:r>
      <w:r w:rsidRPr="00C64BA4">
        <w:rPr>
          <w:rFonts w:eastAsia="Tw Cen MT" w:cs="Tw Cen MT"/>
        </w:rPr>
        <w:t xml:space="preserve">. The index models cost burden for eight different family types making different income levels. </w:t>
      </w:r>
      <w:r w:rsidR="00894494">
        <w:rPr>
          <w:rFonts w:eastAsia="Tw Cen MT" w:cs="Tw Cen MT"/>
          <w:highlight w:val="yellow"/>
        </w:rPr>
        <w:fldChar w:fldCharType="begin"/>
      </w:r>
      <w:r w:rsidR="00894494">
        <w:rPr>
          <w:rFonts w:eastAsia="Tw Cen MT" w:cs="Tw Cen MT"/>
        </w:rPr>
        <w:instrText xml:space="preserve"> REF _Ref123203378 \h </w:instrText>
      </w:r>
      <w:r w:rsidR="00894494">
        <w:rPr>
          <w:rFonts w:eastAsia="Tw Cen MT" w:cs="Tw Cen MT"/>
          <w:highlight w:val="yellow"/>
        </w:rPr>
      </w:r>
      <w:r w:rsidR="00894494">
        <w:rPr>
          <w:rFonts w:eastAsia="Tw Cen MT" w:cs="Tw Cen MT"/>
          <w:highlight w:val="yellow"/>
        </w:rPr>
        <w:fldChar w:fldCharType="separate"/>
      </w:r>
      <w:r w:rsidR="00206C45">
        <w:t xml:space="preserve">Figure </w:t>
      </w:r>
      <w:r w:rsidR="00206C45">
        <w:rPr>
          <w:noProof/>
        </w:rPr>
        <w:t>21</w:t>
      </w:r>
      <w:r w:rsidR="00894494">
        <w:rPr>
          <w:rFonts w:eastAsia="Tw Cen MT" w:cs="Tw Cen MT"/>
          <w:highlight w:val="yellow"/>
        </w:rPr>
        <w:fldChar w:fldCharType="end"/>
      </w:r>
      <w:r w:rsidR="00894494">
        <w:rPr>
          <w:rFonts w:eastAsia="Tw Cen MT" w:cs="Tw Cen MT"/>
        </w:rPr>
        <w:t xml:space="preserve"> </w:t>
      </w:r>
      <w:r w:rsidRPr="00C64BA4">
        <w:rPr>
          <w:rFonts w:eastAsia="Tw Cen MT" w:cs="Tw Cen MT"/>
        </w:rPr>
        <w:t>is an example showing the cost burden for moderate-income families with one earner and that of dual professional families making more than the median income.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076AB9" w:rsidRPr="00C64BA4" w14:paraId="6254B439" w14:textId="77777777" w:rsidTr="00076AB9">
        <w:tc>
          <w:tcPr>
            <w:tcW w:w="9350" w:type="dxa"/>
          </w:tcPr>
          <w:p w14:paraId="5A46AB11" w14:textId="77777777" w:rsidR="00894494" w:rsidRDefault="00076AB9" w:rsidP="00206C45">
            <w:pPr>
              <w:keepNext/>
              <w:tabs>
                <w:tab w:val="left" w:pos="1956"/>
              </w:tabs>
              <w:spacing w:line="300" w:lineRule="auto"/>
              <w:jc w:val="both"/>
            </w:pPr>
            <w:r w:rsidRPr="00C64BA4">
              <w:rPr>
                <w:noProof/>
                <w:sz w:val="20"/>
                <w:szCs w:val="20"/>
              </w:rPr>
              <w:lastRenderedPageBreak/>
              <w:drawing>
                <wp:inline distT="0" distB="0" distL="0" distR="0" wp14:anchorId="4BF7AB4C" wp14:editId="2B1B7CDC">
                  <wp:extent cx="5772150" cy="2987828"/>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78512" cy="2991121"/>
                          </a:xfrm>
                          <a:prstGeom prst="rect">
                            <a:avLst/>
                          </a:prstGeom>
                          <a:noFill/>
                          <a:ln>
                            <a:noFill/>
                          </a:ln>
                        </pic:spPr>
                      </pic:pic>
                    </a:graphicData>
                  </a:graphic>
                </wp:inline>
              </w:drawing>
            </w:r>
          </w:p>
          <w:p w14:paraId="3B29AC42" w14:textId="68E5872B" w:rsidR="00076AB9" w:rsidRPr="00C64BA4" w:rsidRDefault="00894494" w:rsidP="00206C45">
            <w:pPr>
              <w:pStyle w:val="Caption"/>
              <w:spacing w:line="300" w:lineRule="auto"/>
              <w:jc w:val="both"/>
            </w:pPr>
            <w:bookmarkStart w:id="235" w:name="_Ref123203378"/>
            <w:bookmarkStart w:id="236" w:name="_Toc128137884"/>
            <w:r>
              <w:t xml:space="preserve">Figure </w:t>
            </w:r>
            <w:r w:rsidR="0062538A">
              <w:fldChar w:fldCharType="begin"/>
            </w:r>
            <w:r w:rsidR="0062538A">
              <w:instrText xml:space="preserve"> SEQ Figure \* ARABIC </w:instrText>
            </w:r>
            <w:r w:rsidR="0062538A">
              <w:fldChar w:fldCharType="separate"/>
            </w:r>
            <w:r w:rsidR="00E75682">
              <w:rPr>
                <w:noProof/>
              </w:rPr>
              <w:t>25</w:t>
            </w:r>
            <w:r w:rsidR="0062538A">
              <w:rPr>
                <w:noProof/>
              </w:rPr>
              <w:fldChar w:fldCharType="end"/>
            </w:r>
            <w:bookmarkEnd w:id="235"/>
            <w:r>
              <w:t>: Cost Burdened Households</w:t>
            </w:r>
            <w:bookmarkEnd w:id="236"/>
          </w:p>
          <w:p w14:paraId="673B2058" w14:textId="447370EC" w:rsidR="00076AB9" w:rsidRPr="00C64BA4" w:rsidRDefault="00076AB9" w:rsidP="00206C45">
            <w:pPr>
              <w:spacing w:after="200" w:line="300" w:lineRule="auto"/>
              <w:rPr>
                <w:rFonts w:cstheme="majorBidi"/>
                <w:sz w:val="20"/>
                <w:szCs w:val="20"/>
              </w:rPr>
            </w:pPr>
            <w:bookmarkStart w:id="237" w:name="_Hlk122616429"/>
            <w:r w:rsidRPr="00C64BA4">
              <w:rPr>
                <w:sz w:val="20"/>
                <w:szCs w:val="20"/>
              </w:rPr>
              <w:t xml:space="preserve">Reflects 2016 5-Year American Community Survey data. Sources: US Census Bureau; </w:t>
            </w:r>
            <w:r w:rsidRPr="00C64BA4">
              <w:rPr>
                <w:rStyle w:val="cf01"/>
                <w:rFonts w:asciiTheme="minorHAnsi" w:hAnsiTheme="minorHAnsi"/>
                <w:sz w:val="20"/>
                <w:szCs w:val="20"/>
              </w:rPr>
              <w:t>US Department of Housing &amp; Urban Development.</w:t>
            </w:r>
            <w:bookmarkEnd w:id="237"/>
          </w:p>
        </w:tc>
      </w:tr>
    </w:tbl>
    <w:p w14:paraId="51A3704C" w14:textId="45370C39" w:rsidR="0E63251F" w:rsidRPr="00C64BA4" w:rsidRDefault="003A7CB5" w:rsidP="00206C45">
      <w:pPr>
        <w:tabs>
          <w:tab w:val="left" w:pos="1956"/>
        </w:tabs>
        <w:spacing w:line="300" w:lineRule="auto"/>
        <w:jc w:val="both"/>
        <w:rPr>
          <w:rFonts w:eastAsia="Tw Cen MT" w:cs="Tw Cen MT"/>
        </w:rPr>
      </w:pPr>
      <w:r>
        <w:rPr>
          <w:rFonts w:eastAsia="Tw Cen MT" w:cs="Tw Cen MT"/>
          <w:highlight w:val="yellow"/>
        </w:rPr>
        <w:fldChar w:fldCharType="begin"/>
      </w:r>
      <w:r>
        <w:rPr>
          <w:rFonts w:eastAsia="Tw Cen MT" w:cs="Tw Cen MT"/>
        </w:rPr>
        <w:instrText xml:space="preserve"> REF _Ref123203579 \h </w:instrText>
      </w:r>
      <w:r>
        <w:rPr>
          <w:rFonts w:eastAsia="Tw Cen MT" w:cs="Tw Cen MT"/>
          <w:highlight w:val="yellow"/>
        </w:rPr>
      </w:r>
      <w:r>
        <w:rPr>
          <w:rFonts w:eastAsia="Tw Cen MT" w:cs="Tw Cen MT"/>
          <w:highlight w:val="yellow"/>
        </w:rPr>
        <w:fldChar w:fldCharType="separate"/>
      </w:r>
      <w:r w:rsidR="00206C45">
        <w:t xml:space="preserve">Table </w:t>
      </w:r>
      <w:r w:rsidR="00206C45">
        <w:rPr>
          <w:noProof/>
        </w:rPr>
        <w:t>35</w:t>
      </w:r>
      <w:r>
        <w:rPr>
          <w:rFonts w:eastAsia="Tw Cen MT" w:cs="Tw Cen MT"/>
          <w:highlight w:val="yellow"/>
        </w:rPr>
        <w:fldChar w:fldCharType="end"/>
      </w:r>
      <w:r>
        <w:rPr>
          <w:rFonts w:eastAsia="Tw Cen MT" w:cs="Tw Cen MT"/>
        </w:rPr>
        <w:t xml:space="preserve"> </w:t>
      </w:r>
      <w:r w:rsidR="192F52F6" w:rsidRPr="00C64BA4">
        <w:rPr>
          <w:rFonts w:eastAsia="Tw Cen MT" w:cs="Tw Cen MT"/>
        </w:rPr>
        <w:t>shows housing and transportation expenses as a percent of income for the United States. People in the lowest quintile of average income spend the highest percentage of their income on transportation, vehicles, public transit, and housing.</w:t>
      </w:r>
    </w:p>
    <w:p w14:paraId="1590F32E" w14:textId="383B7816" w:rsidR="003A7CB5" w:rsidRDefault="003A7CB5" w:rsidP="00206C45">
      <w:pPr>
        <w:pStyle w:val="Caption"/>
        <w:keepNext/>
        <w:spacing w:line="300" w:lineRule="auto"/>
      </w:pPr>
      <w:bookmarkStart w:id="238" w:name="_Ref123203579"/>
      <w:bookmarkStart w:id="239" w:name="_Toc128137926"/>
      <w:r>
        <w:t xml:space="preserve">Table </w:t>
      </w:r>
      <w:r w:rsidR="0062538A">
        <w:fldChar w:fldCharType="begin"/>
      </w:r>
      <w:r w:rsidR="0062538A">
        <w:instrText xml:space="preserve"> SEQ Table \* ARABIC </w:instrText>
      </w:r>
      <w:r w:rsidR="0062538A">
        <w:fldChar w:fldCharType="separate"/>
      </w:r>
      <w:r w:rsidR="008B512A">
        <w:rPr>
          <w:noProof/>
        </w:rPr>
        <w:t>35</w:t>
      </w:r>
      <w:r w:rsidR="0062538A">
        <w:rPr>
          <w:noProof/>
        </w:rPr>
        <w:fldChar w:fldCharType="end"/>
      </w:r>
      <w:bookmarkEnd w:id="238"/>
      <w:r>
        <w:t>: Housing and Transportation Costs as a Percentage of Income</w:t>
      </w:r>
      <w:bookmarkEnd w:id="239"/>
    </w:p>
    <w:tbl>
      <w:tblPr>
        <w:tblW w:w="7982" w:type="dxa"/>
        <w:tblInd w:w="108" w:type="dxa"/>
        <w:tblLook w:val="04A0" w:firstRow="1" w:lastRow="0" w:firstColumn="1" w:lastColumn="0" w:noHBand="0" w:noVBand="1"/>
      </w:tblPr>
      <w:tblGrid>
        <w:gridCol w:w="1635"/>
        <w:gridCol w:w="993"/>
        <w:gridCol w:w="993"/>
        <w:gridCol w:w="993"/>
        <w:gridCol w:w="993"/>
        <w:gridCol w:w="993"/>
        <w:gridCol w:w="1160"/>
        <w:gridCol w:w="222"/>
      </w:tblGrid>
      <w:tr w:rsidR="00D8218E" w:rsidRPr="00C64BA4" w14:paraId="333E5BEF" w14:textId="77777777" w:rsidTr="003A7CB5">
        <w:trPr>
          <w:gridAfter w:val="1"/>
          <w:wAfter w:w="222" w:type="dxa"/>
          <w:trHeight w:val="540"/>
        </w:trPr>
        <w:tc>
          <w:tcPr>
            <w:tcW w:w="1635" w:type="dxa"/>
            <w:vMerge w:val="restart"/>
            <w:tcBorders>
              <w:top w:val="nil"/>
              <w:left w:val="nil"/>
              <w:bottom w:val="single" w:sz="4" w:space="0" w:color="000000"/>
              <w:right w:val="nil"/>
            </w:tcBorders>
            <w:shd w:val="clear" w:color="auto" w:fill="auto"/>
            <w:vAlign w:val="center"/>
            <w:hideMark/>
          </w:tcPr>
          <w:p w14:paraId="72B49DAD" w14:textId="77777777" w:rsidR="00D8218E" w:rsidRPr="00C64BA4" w:rsidRDefault="00D8218E" w:rsidP="00206C45">
            <w:pPr>
              <w:spacing w:after="0" w:line="300" w:lineRule="auto"/>
              <w:jc w:val="center"/>
              <w:rPr>
                <w:rFonts w:eastAsia="Times New Roman" w:cs="Calibri"/>
                <w:b/>
                <w:bCs/>
                <w:color w:val="595959"/>
              </w:rPr>
            </w:pPr>
            <w:bookmarkStart w:id="240" w:name="_Hlk122594740"/>
            <w:r w:rsidRPr="00C64BA4">
              <w:rPr>
                <w:rFonts w:eastAsia="Times New Roman" w:cs="Calibri"/>
                <w:b/>
                <w:bCs/>
                <w:color w:val="FFFFFF" w:themeColor="background1"/>
              </w:rPr>
              <w:t>Cost Categories</w:t>
            </w:r>
          </w:p>
        </w:tc>
        <w:tc>
          <w:tcPr>
            <w:tcW w:w="993" w:type="dxa"/>
            <w:vMerge w:val="restart"/>
            <w:tcBorders>
              <w:top w:val="nil"/>
              <w:left w:val="nil"/>
              <w:bottom w:val="single" w:sz="4" w:space="0" w:color="000000"/>
              <w:right w:val="nil"/>
            </w:tcBorders>
            <w:shd w:val="clear" w:color="auto" w:fill="auto"/>
            <w:vAlign w:val="center"/>
            <w:hideMark/>
          </w:tcPr>
          <w:p w14:paraId="1611F2E8" w14:textId="77777777" w:rsidR="00D8218E" w:rsidRPr="00C64BA4" w:rsidRDefault="00D8218E" w:rsidP="00206C45">
            <w:pPr>
              <w:spacing w:after="0" w:line="300" w:lineRule="auto"/>
              <w:jc w:val="center"/>
              <w:rPr>
                <w:rFonts w:eastAsia="Times New Roman" w:cs="Calibri"/>
                <w:b/>
                <w:bCs/>
                <w:color w:val="595959"/>
              </w:rPr>
            </w:pPr>
            <w:r w:rsidRPr="00C64BA4">
              <w:rPr>
                <w:rFonts w:eastAsia="Times New Roman" w:cs="Calibri"/>
                <w:b/>
                <w:bCs/>
                <w:color w:val="595959"/>
              </w:rPr>
              <w:t>All Units</w:t>
            </w:r>
          </w:p>
        </w:tc>
        <w:tc>
          <w:tcPr>
            <w:tcW w:w="993" w:type="dxa"/>
            <w:vMerge w:val="restart"/>
            <w:tcBorders>
              <w:top w:val="nil"/>
              <w:left w:val="nil"/>
              <w:bottom w:val="single" w:sz="4" w:space="0" w:color="000000"/>
              <w:right w:val="nil"/>
            </w:tcBorders>
            <w:shd w:val="clear" w:color="auto" w:fill="auto"/>
            <w:vAlign w:val="center"/>
            <w:hideMark/>
          </w:tcPr>
          <w:p w14:paraId="49A067E7" w14:textId="77777777" w:rsidR="00D8218E" w:rsidRPr="00C64BA4" w:rsidRDefault="00D8218E" w:rsidP="00206C45">
            <w:pPr>
              <w:spacing w:after="0" w:line="300" w:lineRule="auto"/>
              <w:jc w:val="center"/>
              <w:rPr>
                <w:rFonts w:eastAsia="Times New Roman" w:cs="Calibri"/>
                <w:b/>
                <w:bCs/>
                <w:color w:val="595959"/>
              </w:rPr>
            </w:pPr>
            <w:r w:rsidRPr="00C64BA4">
              <w:rPr>
                <w:rFonts w:eastAsia="Times New Roman" w:cs="Calibri"/>
                <w:b/>
                <w:bCs/>
                <w:color w:val="595959"/>
              </w:rPr>
              <w:t>Lowest Quintile</w:t>
            </w:r>
          </w:p>
        </w:tc>
        <w:tc>
          <w:tcPr>
            <w:tcW w:w="993" w:type="dxa"/>
            <w:vMerge w:val="restart"/>
            <w:tcBorders>
              <w:top w:val="nil"/>
              <w:left w:val="nil"/>
              <w:bottom w:val="single" w:sz="4" w:space="0" w:color="000000"/>
              <w:right w:val="nil"/>
            </w:tcBorders>
            <w:shd w:val="clear" w:color="auto" w:fill="auto"/>
            <w:vAlign w:val="center"/>
            <w:hideMark/>
          </w:tcPr>
          <w:p w14:paraId="29BED68C" w14:textId="77777777" w:rsidR="00D8218E" w:rsidRPr="00C64BA4" w:rsidRDefault="00D8218E" w:rsidP="00206C45">
            <w:pPr>
              <w:spacing w:after="0" w:line="300" w:lineRule="auto"/>
              <w:jc w:val="center"/>
              <w:rPr>
                <w:rFonts w:eastAsia="Times New Roman" w:cs="Calibri"/>
                <w:b/>
                <w:bCs/>
                <w:color w:val="595959"/>
              </w:rPr>
            </w:pPr>
            <w:r w:rsidRPr="00C64BA4">
              <w:rPr>
                <w:rFonts w:eastAsia="Times New Roman" w:cs="Calibri"/>
                <w:b/>
                <w:bCs/>
                <w:color w:val="595959"/>
              </w:rPr>
              <w:t>Second Lowest</w:t>
            </w:r>
          </w:p>
        </w:tc>
        <w:tc>
          <w:tcPr>
            <w:tcW w:w="993" w:type="dxa"/>
            <w:vMerge w:val="restart"/>
            <w:tcBorders>
              <w:top w:val="nil"/>
              <w:left w:val="nil"/>
              <w:bottom w:val="single" w:sz="4" w:space="0" w:color="000000"/>
              <w:right w:val="nil"/>
            </w:tcBorders>
            <w:shd w:val="clear" w:color="auto" w:fill="auto"/>
            <w:vAlign w:val="center"/>
            <w:hideMark/>
          </w:tcPr>
          <w:p w14:paraId="1939733B" w14:textId="77777777" w:rsidR="00D8218E" w:rsidRPr="00C64BA4" w:rsidRDefault="00D8218E" w:rsidP="00206C45">
            <w:pPr>
              <w:spacing w:after="0" w:line="300" w:lineRule="auto"/>
              <w:jc w:val="center"/>
              <w:rPr>
                <w:rFonts w:eastAsia="Times New Roman" w:cs="Calibri"/>
                <w:b/>
                <w:bCs/>
                <w:color w:val="595959"/>
              </w:rPr>
            </w:pPr>
            <w:r w:rsidRPr="00C64BA4">
              <w:rPr>
                <w:rFonts w:eastAsia="Times New Roman" w:cs="Calibri"/>
                <w:b/>
                <w:bCs/>
                <w:color w:val="595959"/>
              </w:rPr>
              <w:t>Middle Quintile</w:t>
            </w:r>
          </w:p>
        </w:tc>
        <w:tc>
          <w:tcPr>
            <w:tcW w:w="993" w:type="dxa"/>
            <w:vMerge w:val="restart"/>
            <w:tcBorders>
              <w:top w:val="nil"/>
              <w:left w:val="nil"/>
              <w:bottom w:val="single" w:sz="4" w:space="0" w:color="000000"/>
              <w:right w:val="nil"/>
            </w:tcBorders>
            <w:shd w:val="clear" w:color="auto" w:fill="auto"/>
            <w:vAlign w:val="center"/>
            <w:hideMark/>
          </w:tcPr>
          <w:p w14:paraId="4C066504" w14:textId="77777777" w:rsidR="00D8218E" w:rsidRPr="00C64BA4" w:rsidRDefault="00D8218E" w:rsidP="00206C45">
            <w:pPr>
              <w:spacing w:after="0" w:line="300" w:lineRule="auto"/>
              <w:jc w:val="center"/>
              <w:rPr>
                <w:rFonts w:eastAsia="Times New Roman" w:cs="Calibri"/>
                <w:b/>
                <w:bCs/>
                <w:color w:val="595959"/>
              </w:rPr>
            </w:pPr>
            <w:r w:rsidRPr="00C64BA4">
              <w:rPr>
                <w:rFonts w:eastAsia="Times New Roman" w:cs="Calibri"/>
                <w:b/>
                <w:bCs/>
                <w:color w:val="595959"/>
              </w:rPr>
              <w:t>Second Highest</w:t>
            </w:r>
          </w:p>
        </w:tc>
        <w:tc>
          <w:tcPr>
            <w:tcW w:w="1160" w:type="dxa"/>
            <w:vMerge w:val="restart"/>
            <w:tcBorders>
              <w:top w:val="nil"/>
              <w:left w:val="nil"/>
              <w:bottom w:val="single" w:sz="4" w:space="0" w:color="000000"/>
              <w:right w:val="nil"/>
            </w:tcBorders>
            <w:shd w:val="clear" w:color="auto" w:fill="auto"/>
            <w:vAlign w:val="center"/>
            <w:hideMark/>
          </w:tcPr>
          <w:p w14:paraId="2C5E2857" w14:textId="77777777" w:rsidR="00D8218E" w:rsidRPr="00C64BA4" w:rsidRDefault="00D8218E" w:rsidP="00206C45">
            <w:pPr>
              <w:spacing w:after="0" w:line="300" w:lineRule="auto"/>
              <w:jc w:val="center"/>
              <w:rPr>
                <w:rFonts w:eastAsia="Times New Roman" w:cs="Calibri"/>
                <w:b/>
                <w:bCs/>
                <w:color w:val="595959"/>
              </w:rPr>
            </w:pPr>
            <w:r w:rsidRPr="00C64BA4">
              <w:rPr>
                <w:rFonts w:eastAsia="Times New Roman" w:cs="Calibri"/>
                <w:b/>
                <w:bCs/>
                <w:color w:val="595959"/>
              </w:rPr>
              <w:t>Highest Quintile</w:t>
            </w:r>
          </w:p>
        </w:tc>
      </w:tr>
      <w:tr w:rsidR="00D8218E" w:rsidRPr="00C64BA4" w14:paraId="5039A53D" w14:textId="77777777" w:rsidTr="003A7CB5">
        <w:trPr>
          <w:trHeight w:val="300"/>
        </w:trPr>
        <w:tc>
          <w:tcPr>
            <w:tcW w:w="1635" w:type="dxa"/>
            <w:vMerge/>
            <w:tcBorders>
              <w:top w:val="nil"/>
              <w:left w:val="nil"/>
              <w:bottom w:val="single" w:sz="4" w:space="0" w:color="000000"/>
              <w:right w:val="nil"/>
            </w:tcBorders>
            <w:vAlign w:val="center"/>
            <w:hideMark/>
          </w:tcPr>
          <w:p w14:paraId="7A59C0DA" w14:textId="77777777" w:rsidR="00D8218E" w:rsidRPr="00C64BA4" w:rsidRDefault="00D8218E" w:rsidP="00206C45">
            <w:pPr>
              <w:spacing w:after="0" w:line="300" w:lineRule="auto"/>
              <w:rPr>
                <w:rFonts w:eastAsia="Times New Roman" w:cs="Calibri"/>
                <w:b/>
                <w:bCs/>
                <w:color w:val="595959"/>
              </w:rPr>
            </w:pPr>
          </w:p>
        </w:tc>
        <w:tc>
          <w:tcPr>
            <w:tcW w:w="993" w:type="dxa"/>
            <w:vMerge/>
            <w:tcBorders>
              <w:top w:val="nil"/>
              <w:left w:val="nil"/>
              <w:bottom w:val="single" w:sz="4" w:space="0" w:color="000000"/>
              <w:right w:val="nil"/>
            </w:tcBorders>
            <w:vAlign w:val="center"/>
            <w:hideMark/>
          </w:tcPr>
          <w:p w14:paraId="60487403" w14:textId="77777777" w:rsidR="00D8218E" w:rsidRPr="00C64BA4" w:rsidRDefault="00D8218E" w:rsidP="00206C45">
            <w:pPr>
              <w:spacing w:after="0" w:line="300" w:lineRule="auto"/>
              <w:rPr>
                <w:rFonts w:eastAsia="Times New Roman" w:cs="Calibri"/>
                <w:b/>
                <w:bCs/>
                <w:color w:val="595959"/>
              </w:rPr>
            </w:pPr>
          </w:p>
        </w:tc>
        <w:tc>
          <w:tcPr>
            <w:tcW w:w="993" w:type="dxa"/>
            <w:vMerge/>
            <w:tcBorders>
              <w:top w:val="nil"/>
              <w:left w:val="nil"/>
              <w:bottom w:val="single" w:sz="4" w:space="0" w:color="000000"/>
              <w:right w:val="nil"/>
            </w:tcBorders>
            <w:vAlign w:val="center"/>
            <w:hideMark/>
          </w:tcPr>
          <w:p w14:paraId="56978B01" w14:textId="77777777" w:rsidR="00D8218E" w:rsidRPr="00C64BA4" w:rsidRDefault="00D8218E" w:rsidP="00206C45">
            <w:pPr>
              <w:spacing w:after="0" w:line="300" w:lineRule="auto"/>
              <w:rPr>
                <w:rFonts w:eastAsia="Times New Roman" w:cs="Calibri"/>
                <w:b/>
                <w:bCs/>
                <w:color w:val="595959"/>
              </w:rPr>
            </w:pPr>
          </w:p>
        </w:tc>
        <w:tc>
          <w:tcPr>
            <w:tcW w:w="993" w:type="dxa"/>
            <w:vMerge/>
            <w:tcBorders>
              <w:top w:val="nil"/>
              <w:left w:val="nil"/>
              <w:bottom w:val="single" w:sz="4" w:space="0" w:color="000000"/>
              <w:right w:val="nil"/>
            </w:tcBorders>
            <w:vAlign w:val="center"/>
            <w:hideMark/>
          </w:tcPr>
          <w:p w14:paraId="0EBC7F21" w14:textId="77777777" w:rsidR="00D8218E" w:rsidRPr="00C64BA4" w:rsidRDefault="00D8218E" w:rsidP="00206C45">
            <w:pPr>
              <w:spacing w:after="0" w:line="300" w:lineRule="auto"/>
              <w:rPr>
                <w:rFonts w:eastAsia="Times New Roman" w:cs="Calibri"/>
                <w:b/>
                <w:bCs/>
                <w:color w:val="595959"/>
              </w:rPr>
            </w:pPr>
          </w:p>
        </w:tc>
        <w:tc>
          <w:tcPr>
            <w:tcW w:w="993" w:type="dxa"/>
            <w:vMerge/>
            <w:tcBorders>
              <w:top w:val="nil"/>
              <w:left w:val="nil"/>
              <w:bottom w:val="single" w:sz="4" w:space="0" w:color="000000"/>
              <w:right w:val="nil"/>
            </w:tcBorders>
            <w:vAlign w:val="center"/>
            <w:hideMark/>
          </w:tcPr>
          <w:p w14:paraId="7065DFB0" w14:textId="77777777" w:rsidR="00D8218E" w:rsidRPr="00C64BA4" w:rsidRDefault="00D8218E" w:rsidP="00206C45">
            <w:pPr>
              <w:spacing w:after="0" w:line="300" w:lineRule="auto"/>
              <w:rPr>
                <w:rFonts w:eastAsia="Times New Roman" w:cs="Calibri"/>
                <w:b/>
                <w:bCs/>
                <w:color w:val="595959"/>
              </w:rPr>
            </w:pPr>
          </w:p>
        </w:tc>
        <w:tc>
          <w:tcPr>
            <w:tcW w:w="993" w:type="dxa"/>
            <w:vMerge/>
            <w:tcBorders>
              <w:top w:val="nil"/>
              <w:left w:val="nil"/>
              <w:bottom w:val="single" w:sz="4" w:space="0" w:color="000000"/>
              <w:right w:val="nil"/>
            </w:tcBorders>
            <w:vAlign w:val="center"/>
            <w:hideMark/>
          </w:tcPr>
          <w:p w14:paraId="0F4366D1" w14:textId="77777777" w:rsidR="00D8218E" w:rsidRPr="00C64BA4" w:rsidRDefault="00D8218E" w:rsidP="00206C45">
            <w:pPr>
              <w:spacing w:after="0" w:line="300" w:lineRule="auto"/>
              <w:rPr>
                <w:rFonts w:eastAsia="Times New Roman" w:cs="Calibri"/>
                <w:b/>
                <w:bCs/>
                <w:color w:val="595959"/>
              </w:rPr>
            </w:pPr>
          </w:p>
        </w:tc>
        <w:tc>
          <w:tcPr>
            <w:tcW w:w="1160" w:type="dxa"/>
            <w:vMerge/>
            <w:tcBorders>
              <w:top w:val="nil"/>
              <w:left w:val="nil"/>
              <w:bottom w:val="single" w:sz="4" w:space="0" w:color="000000"/>
              <w:right w:val="nil"/>
            </w:tcBorders>
            <w:vAlign w:val="center"/>
            <w:hideMark/>
          </w:tcPr>
          <w:p w14:paraId="27CC076A" w14:textId="77777777" w:rsidR="00D8218E" w:rsidRPr="00C64BA4" w:rsidRDefault="00D8218E" w:rsidP="00206C45">
            <w:pPr>
              <w:spacing w:after="0" w:line="300" w:lineRule="auto"/>
              <w:rPr>
                <w:rFonts w:eastAsia="Times New Roman" w:cs="Calibri"/>
                <w:b/>
                <w:bCs/>
                <w:color w:val="595959"/>
              </w:rPr>
            </w:pPr>
          </w:p>
        </w:tc>
        <w:tc>
          <w:tcPr>
            <w:tcW w:w="222" w:type="dxa"/>
            <w:tcBorders>
              <w:top w:val="nil"/>
              <w:left w:val="nil"/>
              <w:bottom w:val="nil"/>
              <w:right w:val="nil"/>
            </w:tcBorders>
            <w:shd w:val="clear" w:color="auto" w:fill="auto"/>
            <w:noWrap/>
            <w:vAlign w:val="bottom"/>
            <w:hideMark/>
          </w:tcPr>
          <w:p w14:paraId="59453CC8" w14:textId="77777777" w:rsidR="00D8218E" w:rsidRPr="00C64BA4" w:rsidRDefault="00D8218E" w:rsidP="00206C45">
            <w:pPr>
              <w:spacing w:after="0" w:line="300" w:lineRule="auto"/>
              <w:jc w:val="center"/>
              <w:rPr>
                <w:rFonts w:eastAsia="Times New Roman" w:cs="Calibri"/>
                <w:b/>
                <w:bCs/>
                <w:color w:val="595959"/>
              </w:rPr>
            </w:pPr>
          </w:p>
        </w:tc>
      </w:tr>
      <w:tr w:rsidR="00D8218E" w:rsidRPr="00C64BA4" w14:paraId="2157037A" w14:textId="77777777" w:rsidTr="003A7CB5">
        <w:trPr>
          <w:trHeight w:val="570"/>
        </w:trPr>
        <w:tc>
          <w:tcPr>
            <w:tcW w:w="1635" w:type="dxa"/>
            <w:tcBorders>
              <w:top w:val="nil"/>
              <w:left w:val="nil"/>
              <w:bottom w:val="single" w:sz="4" w:space="0" w:color="auto"/>
              <w:right w:val="nil"/>
            </w:tcBorders>
            <w:shd w:val="clear" w:color="auto" w:fill="auto"/>
            <w:vAlign w:val="center"/>
            <w:hideMark/>
          </w:tcPr>
          <w:p w14:paraId="4E84F42B" w14:textId="77777777" w:rsidR="00D8218E" w:rsidRPr="00C64BA4" w:rsidRDefault="00D8218E" w:rsidP="00206C45">
            <w:pPr>
              <w:spacing w:after="0" w:line="300" w:lineRule="auto"/>
              <w:jc w:val="right"/>
              <w:rPr>
                <w:rFonts w:eastAsia="Times New Roman" w:cs="Calibri"/>
              </w:rPr>
            </w:pPr>
            <w:r w:rsidRPr="00C64BA4">
              <w:rPr>
                <w:rFonts w:eastAsia="Times New Roman" w:cs="Calibri"/>
              </w:rPr>
              <w:t>Average Income After Taxes</w:t>
            </w:r>
          </w:p>
        </w:tc>
        <w:tc>
          <w:tcPr>
            <w:tcW w:w="993" w:type="dxa"/>
            <w:tcBorders>
              <w:top w:val="nil"/>
              <w:left w:val="nil"/>
              <w:bottom w:val="single" w:sz="4" w:space="0" w:color="auto"/>
              <w:right w:val="nil"/>
            </w:tcBorders>
            <w:shd w:val="clear" w:color="auto" w:fill="auto"/>
            <w:vAlign w:val="center"/>
            <w:hideMark/>
          </w:tcPr>
          <w:p w14:paraId="5D97FBBF"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 xml:space="preserve">$74,950 </w:t>
            </w:r>
          </w:p>
        </w:tc>
        <w:tc>
          <w:tcPr>
            <w:tcW w:w="993" w:type="dxa"/>
            <w:tcBorders>
              <w:top w:val="nil"/>
              <w:left w:val="nil"/>
              <w:bottom w:val="single" w:sz="4" w:space="0" w:color="auto"/>
              <w:right w:val="nil"/>
            </w:tcBorders>
            <w:shd w:val="clear" w:color="auto" w:fill="auto"/>
            <w:vAlign w:val="center"/>
            <w:hideMark/>
          </w:tcPr>
          <w:p w14:paraId="2AA1BE55"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 xml:space="preserve">$15,140 </w:t>
            </w:r>
          </w:p>
        </w:tc>
        <w:tc>
          <w:tcPr>
            <w:tcW w:w="993" w:type="dxa"/>
            <w:tcBorders>
              <w:top w:val="nil"/>
              <w:left w:val="nil"/>
              <w:bottom w:val="single" w:sz="4" w:space="0" w:color="auto"/>
              <w:right w:val="nil"/>
            </w:tcBorders>
            <w:shd w:val="clear" w:color="auto" w:fill="auto"/>
            <w:vAlign w:val="center"/>
            <w:hideMark/>
          </w:tcPr>
          <w:p w14:paraId="1A0F8498"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 xml:space="preserve">$36,400 </w:t>
            </w:r>
          </w:p>
        </w:tc>
        <w:tc>
          <w:tcPr>
            <w:tcW w:w="993" w:type="dxa"/>
            <w:tcBorders>
              <w:top w:val="nil"/>
              <w:left w:val="nil"/>
              <w:bottom w:val="single" w:sz="4" w:space="0" w:color="auto"/>
              <w:right w:val="nil"/>
            </w:tcBorders>
            <w:shd w:val="clear" w:color="auto" w:fill="auto"/>
            <w:vAlign w:val="center"/>
            <w:hideMark/>
          </w:tcPr>
          <w:p w14:paraId="605E7A28"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 xml:space="preserve">$58,000 </w:t>
            </w:r>
          </w:p>
        </w:tc>
        <w:tc>
          <w:tcPr>
            <w:tcW w:w="993" w:type="dxa"/>
            <w:tcBorders>
              <w:top w:val="nil"/>
              <w:left w:val="nil"/>
              <w:bottom w:val="single" w:sz="4" w:space="0" w:color="auto"/>
              <w:right w:val="nil"/>
            </w:tcBorders>
            <w:shd w:val="clear" w:color="auto" w:fill="auto"/>
            <w:vAlign w:val="center"/>
            <w:hideMark/>
          </w:tcPr>
          <w:p w14:paraId="2381408D"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 xml:space="preserve">$89,770 </w:t>
            </w:r>
          </w:p>
        </w:tc>
        <w:tc>
          <w:tcPr>
            <w:tcW w:w="1160" w:type="dxa"/>
            <w:tcBorders>
              <w:top w:val="nil"/>
              <w:left w:val="nil"/>
              <w:bottom w:val="single" w:sz="4" w:space="0" w:color="auto"/>
              <w:right w:val="nil"/>
            </w:tcBorders>
            <w:shd w:val="clear" w:color="auto" w:fill="auto"/>
            <w:vAlign w:val="center"/>
            <w:hideMark/>
          </w:tcPr>
          <w:p w14:paraId="309629E8"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 xml:space="preserve">$176,090 </w:t>
            </w:r>
          </w:p>
        </w:tc>
        <w:tc>
          <w:tcPr>
            <w:tcW w:w="222" w:type="dxa"/>
            <w:vAlign w:val="center"/>
            <w:hideMark/>
          </w:tcPr>
          <w:p w14:paraId="0BD2641A" w14:textId="77777777" w:rsidR="00D8218E" w:rsidRPr="00C64BA4" w:rsidRDefault="00D8218E" w:rsidP="00206C45">
            <w:pPr>
              <w:spacing w:after="0" w:line="300" w:lineRule="auto"/>
              <w:rPr>
                <w:rFonts w:eastAsia="Times New Roman" w:cs="Times New Roman"/>
                <w:sz w:val="20"/>
                <w:szCs w:val="20"/>
              </w:rPr>
            </w:pPr>
          </w:p>
        </w:tc>
      </w:tr>
      <w:tr w:rsidR="00D8218E" w:rsidRPr="00C64BA4" w14:paraId="503BE970" w14:textId="77777777" w:rsidTr="003A7CB5">
        <w:trPr>
          <w:trHeight w:val="300"/>
        </w:trPr>
        <w:tc>
          <w:tcPr>
            <w:tcW w:w="1635" w:type="dxa"/>
            <w:tcBorders>
              <w:top w:val="nil"/>
              <w:left w:val="nil"/>
              <w:bottom w:val="single" w:sz="8" w:space="0" w:color="auto"/>
              <w:right w:val="nil"/>
            </w:tcBorders>
            <w:shd w:val="clear" w:color="auto" w:fill="auto"/>
            <w:vAlign w:val="center"/>
            <w:hideMark/>
          </w:tcPr>
          <w:p w14:paraId="222D247B" w14:textId="77777777" w:rsidR="00D8218E" w:rsidRPr="00C64BA4" w:rsidRDefault="00D8218E" w:rsidP="00206C45">
            <w:pPr>
              <w:spacing w:after="0" w:line="300" w:lineRule="auto"/>
              <w:jc w:val="right"/>
              <w:rPr>
                <w:rFonts w:eastAsia="Times New Roman" w:cs="Calibri"/>
              </w:rPr>
            </w:pPr>
            <w:r w:rsidRPr="00C64BA4">
              <w:rPr>
                <w:rFonts w:eastAsia="Times New Roman" w:cs="Calibri"/>
                <w:color w:val="FFFFFF" w:themeColor="background1"/>
              </w:rPr>
              <w:t> </w:t>
            </w:r>
          </w:p>
        </w:tc>
        <w:tc>
          <w:tcPr>
            <w:tcW w:w="6125" w:type="dxa"/>
            <w:gridSpan w:val="6"/>
            <w:tcBorders>
              <w:top w:val="single" w:sz="4" w:space="0" w:color="auto"/>
              <w:left w:val="nil"/>
              <w:bottom w:val="single" w:sz="8" w:space="0" w:color="auto"/>
              <w:right w:val="nil"/>
            </w:tcBorders>
            <w:shd w:val="clear" w:color="auto" w:fill="auto"/>
            <w:vAlign w:val="center"/>
            <w:hideMark/>
          </w:tcPr>
          <w:p w14:paraId="38DD4F43" w14:textId="77777777" w:rsidR="00D8218E" w:rsidRPr="00C64BA4" w:rsidRDefault="00D8218E" w:rsidP="00206C45">
            <w:pPr>
              <w:spacing w:after="0" w:line="300" w:lineRule="auto"/>
              <w:jc w:val="center"/>
              <w:rPr>
                <w:rFonts w:eastAsia="Times New Roman" w:cs="Calibri"/>
                <w:b/>
                <w:bCs/>
              </w:rPr>
            </w:pPr>
            <w:r w:rsidRPr="00C64BA4">
              <w:rPr>
                <w:rFonts w:eastAsia="Times New Roman" w:cs="Calibri"/>
                <w:b/>
                <w:bCs/>
                <w:color w:val="595959" w:themeColor="text1" w:themeTint="A6"/>
              </w:rPr>
              <w:t>Percentage of Cost Attribution (After Taxes)</w:t>
            </w:r>
          </w:p>
        </w:tc>
        <w:tc>
          <w:tcPr>
            <w:tcW w:w="222" w:type="dxa"/>
            <w:vAlign w:val="center"/>
            <w:hideMark/>
          </w:tcPr>
          <w:p w14:paraId="1D36893F" w14:textId="77777777" w:rsidR="00D8218E" w:rsidRPr="00C64BA4" w:rsidRDefault="00D8218E" w:rsidP="00206C45">
            <w:pPr>
              <w:spacing w:after="0" w:line="300" w:lineRule="auto"/>
              <w:rPr>
                <w:rFonts w:eastAsia="Times New Roman" w:cs="Times New Roman"/>
                <w:sz w:val="20"/>
                <w:szCs w:val="20"/>
              </w:rPr>
            </w:pPr>
          </w:p>
        </w:tc>
      </w:tr>
      <w:tr w:rsidR="00D8218E" w:rsidRPr="00C64BA4" w14:paraId="229345B6" w14:textId="77777777" w:rsidTr="003A7CB5">
        <w:trPr>
          <w:trHeight w:val="300"/>
        </w:trPr>
        <w:tc>
          <w:tcPr>
            <w:tcW w:w="1635" w:type="dxa"/>
            <w:tcBorders>
              <w:top w:val="nil"/>
              <w:left w:val="nil"/>
              <w:bottom w:val="nil"/>
              <w:right w:val="nil"/>
            </w:tcBorders>
            <w:shd w:val="clear" w:color="auto" w:fill="auto"/>
            <w:vAlign w:val="center"/>
            <w:hideMark/>
          </w:tcPr>
          <w:p w14:paraId="25774654" w14:textId="77777777" w:rsidR="00D8218E" w:rsidRPr="00C64BA4" w:rsidRDefault="00D8218E" w:rsidP="00206C45">
            <w:pPr>
              <w:spacing w:after="0" w:line="300" w:lineRule="auto"/>
              <w:jc w:val="right"/>
              <w:rPr>
                <w:rFonts w:eastAsia="Times New Roman" w:cs="Calibri"/>
              </w:rPr>
            </w:pPr>
            <w:r w:rsidRPr="00C64BA4">
              <w:rPr>
                <w:rFonts w:eastAsia="Times New Roman" w:cs="Calibri"/>
              </w:rPr>
              <w:t>Transportation</w:t>
            </w:r>
          </w:p>
        </w:tc>
        <w:tc>
          <w:tcPr>
            <w:tcW w:w="993" w:type="dxa"/>
            <w:tcBorders>
              <w:top w:val="nil"/>
              <w:left w:val="nil"/>
              <w:bottom w:val="nil"/>
              <w:right w:val="nil"/>
            </w:tcBorders>
            <w:shd w:val="clear" w:color="auto" w:fill="auto"/>
            <w:vAlign w:val="center"/>
            <w:hideMark/>
          </w:tcPr>
          <w:p w14:paraId="6BD1D9C8"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13%</w:t>
            </w:r>
          </w:p>
        </w:tc>
        <w:tc>
          <w:tcPr>
            <w:tcW w:w="993" w:type="dxa"/>
            <w:tcBorders>
              <w:top w:val="nil"/>
              <w:left w:val="nil"/>
              <w:bottom w:val="nil"/>
              <w:right w:val="nil"/>
            </w:tcBorders>
            <w:shd w:val="clear" w:color="auto" w:fill="auto"/>
            <w:vAlign w:val="center"/>
            <w:hideMark/>
          </w:tcPr>
          <w:p w14:paraId="6C9CC29E"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29%</w:t>
            </w:r>
          </w:p>
        </w:tc>
        <w:tc>
          <w:tcPr>
            <w:tcW w:w="993" w:type="dxa"/>
            <w:tcBorders>
              <w:top w:val="nil"/>
              <w:left w:val="nil"/>
              <w:bottom w:val="nil"/>
              <w:right w:val="nil"/>
            </w:tcBorders>
            <w:shd w:val="clear" w:color="auto" w:fill="auto"/>
            <w:vAlign w:val="center"/>
            <w:hideMark/>
          </w:tcPr>
          <w:p w14:paraId="54E31611"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17%</w:t>
            </w:r>
          </w:p>
        </w:tc>
        <w:tc>
          <w:tcPr>
            <w:tcW w:w="993" w:type="dxa"/>
            <w:tcBorders>
              <w:top w:val="nil"/>
              <w:left w:val="nil"/>
              <w:bottom w:val="nil"/>
              <w:right w:val="nil"/>
            </w:tcBorders>
            <w:shd w:val="clear" w:color="auto" w:fill="auto"/>
            <w:vAlign w:val="center"/>
            <w:hideMark/>
          </w:tcPr>
          <w:p w14:paraId="26D26EF5"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16%</w:t>
            </w:r>
          </w:p>
        </w:tc>
        <w:tc>
          <w:tcPr>
            <w:tcW w:w="993" w:type="dxa"/>
            <w:tcBorders>
              <w:top w:val="nil"/>
              <w:left w:val="nil"/>
              <w:bottom w:val="nil"/>
              <w:right w:val="nil"/>
            </w:tcBorders>
            <w:shd w:val="clear" w:color="auto" w:fill="auto"/>
            <w:vAlign w:val="center"/>
            <w:hideMark/>
          </w:tcPr>
          <w:p w14:paraId="71F76C3E"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14%</w:t>
            </w:r>
          </w:p>
        </w:tc>
        <w:tc>
          <w:tcPr>
            <w:tcW w:w="1160" w:type="dxa"/>
            <w:tcBorders>
              <w:top w:val="nil"/>
              <w:left w:val="nil"/>
              <w:bottom w:val="nil"/>
              <w:right w:val="nil"/>
            </w:tcBorders>
            <w:shd w:val="clear" w:color="auto" w:fill="auto"/>
            <w:vAlign w:val="center"/>
            <w:hideMark/>
          </w:tcPr>
          <w:p w14:paraId="3C006C0D"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10%</w:t>
            </w:r>
          </w:p>
        </w:tc>
        <w:tc>
          <w:tcPr>
            <w:tcW w:w="222" w:type="dxa"/>
            <w:vAlign w:val="center"/>
            <w:hideMark/>
          </w:tcPr>
          <w:p w14:paraId="773E0D5B" w14:textId="77777777" w:rsidR="00D8218E" w:rsidRPr="00C64BA4" w:rsidRDefault="00D8218E" w:rsidP="00206C45">
            <w:pPr>
              <w:spacing w:after="0" w:line="300" w:lineRule="auto"/>
              <w:rPr>
                <w:rFonts w:eastAsia="Times New Roman" w:cs="Times New Roman"/>
                <w:sz w:val="20"/>
                <w:szCs w:val="20"/>
              </w:rPr>
            </w:pPr>
          </w:p>
        </w:tc>
      </w:tr>
      <w:tr w:rsidR="00D8218E" w:rsidRPr="00C64BA4" w14:paraId="2A4869C3" w14:textId="77777777" w:rsidTr="003A7CB5">
        <w:trPr>
          <w:trHeight w:val="300"/>
        </w:trPr>
        <w:tc>
          <w:tcPr>
            <w:tcW w:w="1635" w:type="dxa"/>
            <w:tcBorders>
              <w:top w:val="single" w:sz="4" w:space="0" w:color="auto"/>
              <w:left w:val="nil"/>
              <w:bottom w:val="single" w:sz="4" w:space="0" w:color="auto"/>
              <w:right w:val="nil"/>
            </w:tcBorders>
            <w:shd w:val="clear" w:color="000000" w:fill="F2F2F2"/>
            <w:vAlign w:val="center"/>
            <w:hideMark/>
          </w:tcPr>
          <w:p w14:paraId="06E60F18" w14:textId="77777777" w:rsidR="00D8218E" w:rsidRPr="00C64BA4" w:rsidRDefault="00D8218E" w:rsidP="00206C45">
            <w:pPr>
              <w:spacing w:after="0" w:line="300" w:lineRule="auto"/>
              <w:jc w:val="right"/>
              <w:rPr>
                <w:rFonts w:eastAsia="Times New Roman" w:cs="Calibri"/>
              </w:rPr>
            </w:pPr>
            <w:r w:rsidRPr="00C64BA4">
              <w:rPr>
                <w:rFonts w:eastAsia="Times New Roman" w:cs="Calibri"/>
              </w:rPr>
              <w:t>Vehicles</w:t>
            </w:r>
          </w:p>
        </w:tc>
        <w:tc>
          <w:tcPr>
            <w:tcW w:w="993" w:type="dxa"/>
            <w:tcBorders>
              <w:top w:val="single" w:sz="4" w:space="0" w:color="auto"/>
              <w:left w:val="nil"/>
              <w:bottom w:val="single" w:sz="4" w:space="0" w:color="auto"/>
              <w:right w:val="nil"/>
            </w:tcBorders>
            <w:shd w:val="clear" w:color="000000" w:fill="F2F2F2"/>
            <w:vAlign w:val="center"/>
            <w:hideMark/>
          </w:tcPr>
          <w:p w14:paraId="42DDB322"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13%</w:t>
            </w:r>
          </w:p>
        </w:tc>
        <w:tc>
          <w:tcPr>
            <w:tcW w:w="993" w:type="dxa"/>
            <w:tcBorders>
              <w:top w:val="single" w:sz="4" w:space="0" w:color="auto"/>
              <w:left w:val="nil"/>
              <w:bottom w:val="single" w:sz="4" w:space="0" w:color="auto"/>
              <w:right w:val="nil"/>
            </w:tcBorders>
            <w:shd w:val="clear" w:color="000000" w:fill="F2F2F2"/>
            <w:vAlign w:val="center"/>
            <w:hideMark/>
          </w:tcPr>
          <w:p w14:paraId="4E2DE7A8"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28%</w:t>
            </w:r>
          </w:p>
        </w:tc>
        <w:tc>
          <w:tcPr>
            <w:tcW w:w="993" w:type="dxa"/>
            <w:tcBorders>
              <w:top w:val="single" w:sz="4" w:space="0" w:color="auto"/>
              <w:left w:val="nil"/>
              <w:bottom w:val="single" w:sz="4" w:space="0" w:color="auto"/>
              <w:right w:val="nil"/>
            </w:tcBorders>
            <w:shd w:val="clear" w:color="000000" w:fill="F2F2F2"/>
            <w:vAlign w:val="center"/>
            <w:hideMark/>
          </w:tcPr>
          <w:p w14:paraId="521CFCBC"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17%</w:t>
            </w:r>
          </w:p>
        </w:tc>
        <w:tc>
          <w:tcPr>
            <w:tcW w:w="993" w:type="dxa"/>
            <w:tcBorders>
              <w:top w:val="single" w:sz="4" w:space="0" w:color="auto"/>
              <w:left w:val="nil"/>
              <w:bottom w:val="single" w:sz="4" w:space="0" w:color="auto"/>
              <w:right w:val="nil"/>
            </w:tcBorders>
            <w:shd w:val="clear" w:color="000000" w:fill="F2F2F2"/>
            <w:vAlign w:val="center"/>
            <w:hideMark/>
          </w:tcPr>
          <w:p w14:paraId="3D1896EF"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16%</w:t>
            </w:r>
          </w:p>
        </w:tc>
        <w:tc>
          <w:tcPr>
            <w:tcW w:w="993" w:type="dxa"/>
            <w:tcBorders>
              <w:top w:val="single" w:sz="4" w:space="0" w:color="auto"/>
              <w:left w:val="nil"/>
              <w:bottom w:val="single" w:sz="4" w:space="0" w:color="auto"/>
              <w:right w:val="nil"/>
            </w:tcBorders>
            <w:shd w:val="clear" w:color="000000" w:fill="F2F2F2"/>
            <w:vAlign w:val="center"/>
            <w:hideMark/>
          </w:tcPr>
          <w:p w14:paraId="7363121B"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14%</w:t>
            </w:r>
          </w:p>
        </w:tc>
        <w:tc>
          <w:tcPr>
            <w:tcW w:w="1160" w:type="dxa"/>
            <w:tcBorders>
              <w:top w:val="single" w:sz="4" w:space="0" w:color="auto"/>
              <w:left w:val="nil"/>
              <w:bottom w:val="single" w:sz="4" w:space="0" w:color="auto"/>
              <w:right w:val="nil"/>
            </w:tcBorders>
            <w:shd w:val="clear" w:color="000000" w:fill="F2F2F2"/>
            <w:vAlign w:val="center"/>
            <w:hideMark/>
          </w:tcPr>
          <w:p w14:paraId="3ABA9A5B"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9%</w:t>
            </w:r>
          </w:p>
        </w:tc>
        <w:tc>
          <w:tcPr>
            <w:tcW w:w="222" w:type="dxa"/>
            <w:vAlign w:val="center"/>
            <w:hideMark/>
          </w:tcPr>
          <w:p w14:paraId="23C07B56" w14:textId="77777777" w:rsidR="00D8218E" w:rsidRPr="00C64BA4" w:rsidRDefault="00D8218E" w:rsidP="00206C45">
            <w:pPr>
              <w:spacing w:after="0" w:line="300" w:lineRule="auto"/>
              <w:rPr>
                <w:rFonts w:eastAsia="Times New Roman" w:cs="Times New Roman"/>
                <w:sz w:val="20"/>
                <w:szCs w:val="20"/>
              </w:rPr>
            </w:pPr>
          </w:p>
        </w:tc>
      </w:tr>
      <w:tr w:rsidR="00D8218E" w:rsidRPr="00C64BA4" w14:paraId="45C6198A" w14:textId="77777777" w:rsidTr="003A7CB5">
        <w:trPr>
          <w:trHeight w:val="300"/>
        </w:trPr>
        <w:tc>
          <w:tcPr>
            <w:tcW w:w="1635" w:type="dxa"/>
            <w:tcBorders>
              <w:top w:val="nil"/>
              <w:left w:val="nil"/>
              <w:bottom w:val="nil"/>
              <w:right w:val="nil"/>
            </w:tcBorders>
            <w:shd w:val="clear" w:color="auto" w:fill="auto"/>
            <w:vAlign w:val="center"/>
            <w:hideMark/>
          </w:tcPr>
          <w:p w14:paraId="370E1750" w14:textId="77777777" w:rsidR="00D8218E" w:rsidRPr="00C64BA4" w:rsidRDefault="00D8218E" w:rsidP="00206C45">
            <w:pPr>
              <w:spacing w:after="0" w:line="300" w:lineRule="auto"/>
              <w:jc w:val="right"/>
              <w:rPr>
                <w:rFonts w:eastAsia="Times New Roman" w:cs="Calibri"/>
              </w:rPr>
            </w:pPr>
            <w:r w:rsidRPr="00C64BA4">
              <w:rPr>
                <w:rFonts w:eastAsia="Times New Roman" w:cs="Calibri"/>
              </w:rPr>
              <w:t>Public Transit</w:t>
            </w:r>
          </w:p>
        </w:tc>
        <w:tc>
          <w:tcPr>
            <w:tcW w:w="993" w:type="dxa"/>
            <w:tcBorders>
              <w:top w:val="nil"/>
              <w:left w:val="nil"/>
              <w:bottom w:val="nil"/>
              <w:right w:val="nil"/>
            </w:tcBorders>
            <w:shd w:val="clear" w:color="auto" w:fill="auto"/>
            <w:vAlign w:val="center"/>
            <w:hideMark/>
          </w:tcPr>
          <w:p w14:paraId="32A117C1"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0%</w:t>
            </w:r>
          </w:p>
        </w:tc>
        <w:tc>
          <w:tcPr>
            <w:tcW w:w="993" w:type="dxa"/>
            <w:tcBorders>
              <w:top w:val="nil"/>
              <w:left w:val="nil"/>
              <w:bottom w:val="nil"/>
              <w:right w:val="nil"/>
            </w:tcBorders>
            <w:shd w:val="clear" w:color="auto" w:fill="auto"/>
            <w:vAlign w:val="center"/>
            <w:hideMark/>
          </w:tcPr>
          <w:p w14:paraId="691909B9"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1%</w:t>
            </w:r>
          </w:p>
        </w:tc>
        <w:tc>
          <w:tcPr>
            <w:tcW w:w="993" w:type="dxa"/>
            <w:tcBorders>
              <w:top w:val="nil"/>
              <w:left w:val="nil"/>
              <w:bottom w:val="nil"/>
              <w:right w:val="nil"/>
            </w:tcBorders>
            <w:shd w:val="clear" w:color="auto" w:fill="auto"/>
            <w:vAlign w:val="center"/>
            <w:hideMark/>
          </w:tcPr>
          <w:p w14:paraId="0096EA68"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0%</w:t>
            </w:r>
          </w:p>
        </w:tc>
        <w:tc>
          <w:tcPr>
            <w:tcW w:w="993" w:type="dxa"/>
            <w:tcBorders>
              <w:top w:val="nil"/>
              <w:left w:val="nil"/>
              <w:bottom w:val="nil"/>
              <w:right w:val="nil"/>
            </w:tcBorders>
            <w:shd w:val="clear" w:color="auto" w:fill="auto"/>
            <w:vAlign w:val="center"/>
            <w:hideMark/>
          </w:tcPr>
          <w:p w14:paraId="38AB5659"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0%</w:t>
            </w:r>
          </w:p>
        </w:tc>
        <w:tc>
          <w:tcPr>
            <w:tcW w:w="993" w:type="dxa"/>
            <w:tcBorders>
              <w:top w:val="nil"/>
              <w:left w:val="nil"/>
              <w:bottom w:val="nil"/>
              <w:right w:val="nil"/>
            </w:tcBorders>
            <w:shd w:val="clear" w:color="auto" w:fill="auto"/>
            <w:vAlign w:val="center"/>
            <w:hideMark/>
          </w:tcPr>
          <w:p w14:paraId="201C6183"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0%</w:t>
            </w:r>
          </w:p>
        </w:tc>
        <w:tc>
          <w:tcPr>
            <w:tcW w:w="1160" w:type="dxa"/>
            <w:tcBorders>
              <w:top w:val="nil"/>
              <w:left w:val="nil"/>
              <w:bottom w:val="nil"/>
              <w:right w:val="nil"/>
            </w:tcBorders>
            <w:shd w:val="clear" w:color="auto" w:fill="auto"/>
            <w:vAlign w:val="center"/>
            <w:hideMark/>
          </w:tcPr>
          <w:p w14:paraId="7BD5A0F9"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0%</w:t>
            </w:r>
          </w:p>
        </w:tc>
        <w:tc>
          <w:tcPr>
            <w:tcW w:w="222" w:type="dxa"/>
            <w:vAlign w:val="center"/>
            <w:hideMark/>
          </w:tcPr>
          <w:p w14:paraId="4D8D6E1C" w14:textId="77777777" w:rsidR="00D8218E" w:rsidRPr="00C64BA4" w:rsidRDefault="00D8218E" w:rsidP="00206C45">
            <w:pPr>
              <w:spacing w:after="0" w:line="300" w:lineRule="auto"/>
              <w:rPr>
                <w:rFonts w:eastAsia="Times New Roman" w:cs="Times New Roman"/>
                <w:sz w:val="20"/>
                <w:szCs w:val="20"/>
              </w:rPr>
            </w:pPr>
          </w:p>
        </w:tc>
      </w:tr>
      <w:tr w:rsidR="00D8218E" w:rsidRPr="00C64BA4" w14:paraId="0FF8E56C" w14:textId="77777777" w:rsidTr="003A7CB5">
        <w:trPr>
          <w:trHeight w:val="300"/>
        </w:trPr>
        <w:tc>
          <w:tcPr>
            <w:tcW w:w="1635" w:type="dxa"/>
            <w:tcBorders>
              <w:top w:val="single" w:sz="4" w:space="0" w:color="auto"/>
              <w:left w:val="nil"/>
              <w:bottom w:val="single" w:sz="4" w:space="0" w:color="auto"/>
              <w:right w:val="nil"/>
            </w:tcBorders>
            <w:shd w:val="clear" w:color="000000" w:fill="F2F2F2"/>
            <w:vAlign w:val="center"/>
            <w:hideMark/>
          </w:tcPr>
          <w:p w14:paraId="5BCE9627" w14:textId="77777777" w:rsidR="00D8218E" w:rsidRPr="00C64BA4" w:rsidRDefault="00D8218E" w:rsidP="00206C45">
            <w:pPr>
              <w:spacing w:after="0" w:line="300" w:lineRule="auto"/>
              <w:jc w:val="right"/>
              <w:rPr>
                <w:rFonts w:eastAsia="Times New Roman" w:cs="Calibri"/>
              </w:rPr>
            </w:pPr>
            <w:r w:rsidRPr="00C64BA4">
              <w:rPr>
                <w:rFonts w:eastAsia="Times New Roman" w:cs="Calibri"/>
              </w:rPr>
              <w:t>Housing</w:t>
            </w:r>
          </w:p>
        </w:tc>
        <w:tc>
          <w:tcPr>
            <w:tcW w:w="993" w:type="dxa"/>
            <w:tcBorders>
              <w:top w:val="single" w:sz="4" w:space="0" w:color="auto"/>
              <w:left w:val="nil"/>
              <w:bottom w:val="single" w:sz="4" w:space="0" w:color="auto"/>
              <w:right w:val="nil"/>
            </w:tcBorders>
            <w:shd w:val="clear" w:color="000000" w:fill="F2F2F2"/>
            <w:vAlign w:val="center"/>
            <w:hideMark/>
          </w:tcPr>
          <w:p w14:paraId="1F6339E6"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29%</w:t>
            </w:r>
          </w:p>
        </w:tc>
        <w:tc>
          <w:tcPr>
            <w:tcW w:w="993" w:type="dxa"/>
            <w:tcBorders>
              <w:top w:val="single" w:sz="4" w:space="0" w:color="auto"/>
              <w:left w:val="nil"/>
              <w:bottom w:val="single" w:sz="4" w:space="0" w:color="auto"/>
              <w:right w:val="nil"/>
            </w:tcBorders>
            <w:shd w:val="clear" w:color="000000" w:fill="F2F2F2"/>
            <w:vAlign w:val="center"/>
            <w:hideMark/>
          </w:tcPr>
          <w:p w14:paraId="3CB0FD54"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81%</w:t>
            </w:r>
          </w:p>
        </w:tc>
        <w:tc>
          <w:tcPr>
            <w:tcW w:w="993" w:type="dxa"/>
            <w:tcBorders>
              <w:top w:val="single" w:sz="4" w:space="0" w:color="auto"/>
              <w:left w:val="nil"/>
              <w:bottom w:val="single" w:sz="4" w:space="0" w:color="auto"/>
              <w:right w:val="nil"/>
            </w:tcBorders>
            <w:shd w:val="clear" w:color="000000" w:fill="F2F2F2"/>
            <w:vAlign w:val="center"/>
            <w:hideMark/>
          </w:tcPr>
          <w:p w14:paraId="6CF35202"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43%</w:t>
            </w:r>
          </w:p>
        </w:tc>
        <w:tc>
          <w:tcPr>
            <w:tcW w:w="993" w:type="dxa"/>
            <w:tcBorders>
              <w:top w:val="single" w:sz="4" w:space="0" w:color="auto"/>
              <w:left w:val="nil"/>
              <w:bottom w:val="single" w:sz="4" w:space="0" w:color="auto"/>
              <w:right w:val="nil"/>
            </w:tcBorders>
            <w:shd w:val="clear" w:color="000000" w:fill="F2F2F2"/>
            <w:vAlign w:val="center"/>
            <w:hideMark/>
          </w:tcPr>
          <w:p w14:paraId="4D9E1667"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32%</w:t>
            </w:r>
          </w:p>
        </w:tc>
        <w:tc>
          <w:tcPr>
            <w:tcW w:w="993" w:type="dxa"/>
            <w:tcBorders>
              <w:top w:val="single" w:sz="4" w:space="0" w:color="auto"/>
              <w:left w:val="nil"/>
              <w:bottom w:val="single" w:sz="4" w:space="0" w:color="auto"/>
              <w:right w:val="nil"/>
            </w:tcBorders>
            <w:shd w:val="clear" w:color="000000" w:fill="F2F2F2"/>
            <w:vAlign w:val="center"/>
            <w:hideMark/>
          </w:tcPr>
          <w:p w14:paraId="44CE5B0A"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27%</w:t>
            </w:r>
          </w:p>
        </w:tc>
        <w:tc>
          <w:tcPr>
            <w:tcW w:w="1160" w:type="dxa"/>
            <w:tcBorders>
              <w:top w:val="single" w:sz="4" w:space="0" w:color="auto"/>
              <w:left w:val="nil"/>
              <w:bottom w:val="single" w:sz="4" w:space="0" w:color="auto"/>
              <w:right w:val="nil"/>
            </w:tcBorders>
            <w:shd w:val="clear" w:color="000000" w:fill="F2F2F2"/>
            <w:vAlign w:val="center"/>
            <w:hideMark/>
          </w:tcPr>
          <w:p w14:paraId="3B875E82"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21%</w:t>
            </w:r>
          </w:p>
        </w:tc>
        <w:tc>
          <w:tcPr>
            <w:tcW w:w="222" w:type="dxa"/>
            <w:vAlign w:val="center"/>
            <w:hideMark/>
          </w:tcPr>
          <w:p w14:paraId="53416CD4" w14:textId="77777777" w:rsidR="00D8218E" w:rsidRPr="00C64BA4" w:rsidRDefault="00D8218E" w:rsidP="00206C45">
            <w:pPr>
              <w:spacing w:after="0" w:line="300" w:lineRule="auto"/>
              <w:rPr>
                <w:rFonts w:eastAsia="Times New Roman" w:cs="Times New Roman"/>
                <w:sz w:val="20"/>
                <w:szCs w:val="20"/>
              </w:rPr>
            </w:pPr>
          </w:p>
        </w:tc>
      </w:tr>
      <w:tr w:rsidR="00D8218E" w:rsidRPr="00C64BA4" w14:paraId="4B4EB883" w14:textId="77777777" w:rsidTr="003A7CB5">
        <w:trPr>
          <w:trHeight w:val="570"/>
        </w:trPr>
        <w:tc>
          <w:tcPr>
            <w:tcW w:w="1635" w:type="dxa"/>
            <w:tcBorders>
              <w:top w:val="nil"/>
              <w:left w:val="nil"/>
              <w:bottom w:val="nil"/>
              <w:right w:val="nil"/>
            </w:tcBorders>
            <w:shd w:val="clear" w:color="auto" w:fill="auto"/>
            <w:vAlign w:val="center"/>
            <w:hideMark/>
          </w:tcPr>
          <w:p w14:paraId="5A8622FF" w14:textId="77777777" w:rsidR="00D8218E" w:rsidRPr="00C64BA4" w:rsidRDefault="00D8218E" w:rsidP="00206C45">
            <w:pPr>
              <w:spacing w:after="0" w:line="300" w:lineRule="auto"/>
              <w:jc w:val="right"/>
              <w:rPr>
                <w:rFonts w:eastAsia="Times New Roman" w:cs="Calibri"/>
              </w:rPr>
            </w:pPr>
            <w:r w:rsidRPr="00C64BA4">
              <w:rPr>
                <w:rFonts w:eastAsia="Times New Roman" w:cs="Calibri"/>
              </w:rPr>
              <w:t>Housing + Transportation</w:t>
            </w:r>
          </w:p>
        </w:tc>
        <w:tc>
          <w:tcPr>
            <w:tcW w:w="993" w:type="dxa"/>
            <w:tcBorders>
              <w:top w:val="nil"/>
              <w:left w:val="nil"/>
              <w:bottom w:val="nil"/>
              <w:right w:val="nil"/>
            </w:tcBorders>
            <w:shd w:val="clear" w:color="auto" w:fill="auto"/>
            <w:vAlign w:val="center"/>
            <w:hideMark/>
          </w:tcPr>
          <w:p w14:paraId="66F96468"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42%</w:t>
            </w:r>
          </w:p>
        </w:tc>
        <w:tc>
          <w:tcPr>
            <w:tcW w:w="993" w:type="dxa"/>
            <w:tcBorders>
              <w:top w:val="nil"/>
              <w:left w:val="nil"/>
              <w:bottom w:val="nil"/>
              <w:right w:val="nil"/>
            </w:tcBorders>
            <w:shd w:val="clear" w:color="auto" w:fill="auto"/>
            <w:vAlign w:val="center"/>
            <w:hideMark/>
          </w:tcPr>
          <w:p w14:paraId="088DC679"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110%</w:t>
            </w:r>
          </w:p>
        </w:tc>
        <w:tc>
          <w:tcPr>
            <w:tcW w:w="993" w:type="dxa"/>
            <w:tcBorders>
              <w:top w:val="nil"/>
              <w:left w:val="nil"/>
              <w:bottom w:val="nil"/>
              <w:right w:val="nil"/>
            </w:tcBorders>
            <w:shd w:val="clear" w:color="auto" w:fill="auto"/>
            <w:vAlign w:val="center"/>
            <w:hideMark/>
          </w:tcPr>
          <w:p w14:paraId="4203B785"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60%</w:t>
            </w:r>
          </w:p>
        </w:tc>
        <w:tc>
          <w:tcPr>
            <w:tcW w:w="993" w:type="dxa"/>
            <w:tcBorders>
              <w:top w:val="nil"/>
              <w:left w:val="nil"/>
              <w:bottom w:val="nil"/>
              <w:right w:val="nil"/>
            </w:tcBorders>
            <w:shd w:val="clear" w:color="auto" w:fill="auto"/>
            <w:vAlign w:val="center"/>
            <w:hideMark/>
          </w:tcPr>
          <w:p w14:paraId="23A43F90"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48%</w:t>
            </w:r>
          </w:p>
        </w:tc>
        <w:tc>
          <w:tcPr>
            <w:tcW w:w="993" w:type="dxa"/>
            <w:tcBorders>
              <w:top w:val="nil"/>
              <w:left w:val="nil"/>
              <w:bottom w:val="nil"/>
              <w:right w:val="nil"/>
            </w:tcBorders>
            <w:shd w:val="clear" w:color="auto" w:fill="auto"/>
            <w:vAlign w:val="center"/>
            <w:hideMark/>
          </w:tcPr>
          <w:p w14:paraId="6F272D68"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41%</w:t>
            </w:r>
          </w:p>
        </w:tc>
        <w:tc>
          <w:tcPr>
            <w:tcW w:w="1160" w:type="dxa"/>
            <w:tcBorders>
              <w:top w:val="nil"/>
              <w:left w:val="nil"/>
              <w:bottom w:val="nil"/>
              <w:right w:val="nil"/>
            </w:tcBorders>
            <w:shd w:val="clear" w:color="auto" w:fill="auto"/>
            <w:vAlign w:val="center"/>
            <w:hideMark/>
          </w:tcPr>
          <w:p w14:paraId="4D05F487" w14:textId="77777777" w:rsidR="00D8218E" w:rsidRPr="00C64BA4" w:rsidRDefault="00D8218E" w:rsidP="00206C45">
            <w:pPr>
              <w:spacing w:after="0" w:line="300" w:lineRule="auto"/>
              <w:jc w:val="center"/>
              <w:rPr>
                <w:rFonts w:eastAsia="Times New Roman" w:cs="Calibri"/>
              </w:rPr>
            </w:pPr>
            <w:r w:rsidRPr="00C64BA4">
              <w:rPr>
                <w:rFonts w:eastAsia="Times New Roman" w:cs="Calibri"/>
              </w:rPr>
              <w:t>30%</w:t>
            </w:r>
          </w:p>
        </w:tc>
        <w:tc>
          <w:tcPr>
            <w:tcW w:w="222" w:type="dxa"/>
            <w:vAlign w:val="center"/>
            <w:hideMark/>
          </w:tcPr>
          <w:p w14:paraId="7882C1B8" w14:textId="77777777" w:rsidR="00D8218E" w:rsidRPr="00C64BA4" w:rsidRDefault="00D8218E" w:rsidP="00206C45">
            <w:pPr>
              <w:spacing w:after="0" w:line="300" w:lineRule="auto"/>
              <w:rPr>
                <w:rFonts w:eastAsia="Times New Roman" w:cs="Times New Roman"/>
                <w:sz w:val="20"/>
                <w:szCs w:val="20"/>
              </w:rPr>
            </w:pPr>
          </w:p>
        </w:tc>
      </w:tr>
      <w:tr w:rsidR="00D8218E" w:rsidRPr="00C64BA4" w14:paraId="66D372BF" w14:textId="77777777" w:rsidTr="003A7CB5">
        <w:trPr>
          <w:trHeight w:val="300"/>
        </w:trPr>
        <w:tc>
          <w:tcPr>
            <w:tcW w:w="7760" w:type="dxa"/>
            <w:gridSpan w:val="7"/>
            <w:tcBorders>
              <w:top w:val="nil"/>
              <w:left w:val="nil"/>
              <w:bottom w:val="nil"/>
              <w:right w:val="nil"/>
            </w:tcBorders>
            <w:shd w:val="clear" w:color="auto" w:fill="auto"/>
            <w:vAlign w:val="center"/>
            <w:hideMark/>
          </w:tcPr>
          <w:p w14:paraId="26095F6B" w14:textId="77777777" w:rsidR="00D8218E" w:rsidRPr="00C64BA4" w:rsidRDefault="00D8218E" w:rsidP="00206C45">
            <w:pPr>
              <w:spacing w:after="0" w:line="300" w:lineRule="auto"/>
              <w:jc w:val="right"/>
              <w:rPr>
                <w:rFonts w:eastAsia="Times New Roman" w:cs="Calibri"/>
                <w:sz w:val="20"/>
                <w:szCs w:val="20"/>
              </w:rPr>
            </w:pPr>
            <w:r w:rsidRPr="00C64BA4">
              <w:rPr>
                <w:rFonts w:eastAsia="Times New Roman" w:cs="Calibri"/>
                <w:sz w:val="20"/>
                <w:szCs w:val="20"/>
              </w:rPr>
              <w:t>2020 housing &amp; transportation costs for consumer units (households with shared expenses).</w:t>
            </w:r>
          </w:p>
        </w:tc>
        <w:tc>
          <w:tcPr>
            <w:tcW w:w="222" w:type="dxa"/>
            <w:vAlign w:val="center"/>
            <w:hideMark/>
          </w:tcPr>
          <w:p w14:paraId="509E5FF1" w14:textId="77777777" w:rsidR="00D8218E" w:rsidRPr="00C64BA4" w:rsidRDefault="00D8218E" w:rsidP="00206C45">
            <w:pPr>
              <w:spacing w:after="0" w:line="300" w:lineRule="auto"/>
              <w:rPr>
                <w:rFonts w:eastAsia="Times New Roman" w:cs="Times New Roman"/>
                <w:sz w:val="20"/>
                <w:szCs w:val="20"/>
              </w:rPr>
            </w:pPr>
          </w:p>
        </w:tc>
      </w:tr>
      <w:tr w:rsidR="00D8218E" w:rsidRPr="00C64BA4" w14:paraId="4FF0CADF" w14:textId="77777777" w:rsidTr="003A7CB5">
        <w:trPr>
          <w:trHeight w:val="300"/>
        </w:trPr>
        <w:tc>
          <w:tcPr>
            <w:tcW w:w="7760" w:type="dxa"/>
            <w:gridSpan w:val="7"/>
            <w:tcBorders>
              <w:top w:val="nil"/>
              <w:left w:val="nil"/>
              <w:bottom w:val="nil"/>
              <w:right w:val="nil"/>
            </w:tcBorders>
            <w:shd w:val="clear" w:color="auto" w:fill="auto"/>
            <w:noWrap/>
            <w:vAlign w:val="center"/>
            <w:hideMark/>
          </w:tcPr>
          <w:p w14:paraId="58E5ED31" w14:textId="77777777" w:rsidR="00D8218E" w:rsidRPr="00C64BA4" w:rsidRDefault="00D8218E" w:rsidP="00206C45">
            <w:pPr>
              <w:spacing w:after="0" w:line="300" w:lineRule="auto"/>
              <w:jc w:val="right"/>
              <w:rPr>
                <w:rFonts w:eastAsia="Times New Roman" w:cs="Calibri"/>
                <w:color w:val="000000"/>
                <w:sz w:val="16"/>
                <w:szCs w:val="16"/>
              </w:rPr>
            </w:pPr>
            <w:r w:rsidRPr="00C64BA4">
              <w:rPr>
                <w:rFonts w:eastAsia="Times New Roman" w:cs="Calibri"/>
                <w:color w:val="000000"/>
                <w:sz w:val="16"/>
                <w:szCs w:val="16"/>
              </w:rPr>
              <w:t>Source: US Bureau of Labor Statistics</w:t>
            </w:r>
          </w:p>
        </w:tc>
        <w:tc>
          <w:tcPr>
            <w:tcW w:w="222" w:type="dxa"/>
            <w:vAlign w:val="center"/>
            <w:hideMark/>
          </w:tcPr>
          <w:p w14:paraId="07C9488C" w14:textId="77777777" w:rsidR="00D8218E" w:rsidRPr="00C64BA4" w:rsidRDefault="00D8218E" w:rsidP="00206C45">
            <w:pPr>
              <w:spacing w:after="0" w:line="300" w:lineRule="auto"/>
              <w:rPr>
                <w:rFonts w:eastAsia="Times New Roman" w:cs="Times New Roman"/>
                <w:sz w:val="20"/>
                <w:szCs w:val="20"/>
              </w:rPr>
            </w:pPr>
          </w:p>
        </w:tc>
      </w:tr>
    </w:tbl>
    <w:p w14:paraId="2A2EBBD0" w14:textId="6EB32320" w:rsidR="463F99FC" w:rsidRPr="00C64BA4" w:rsidRDefault="192F52F6" w:rsidP="00206C45">
      <w:pPr>
        <w:pStyle w:val="Heading3"/>
        <w:spacing w:line="300" w:lineRule="auto"/>
      </w:pPr>
      <w:bookmarkStart w:id="241" w:name="_Toc128137994"/>
      <w:bookmarkEnd w:id="240"/>
      <w:r w:rsidRPr="00C64BA4">
        <w:t>Commuting Times</w:t>
      </w:r>
      <w:bookmarkEnd w:id="241"/>
    </w:p>
    <w:p w14:paraId="00F173D8" w14:textId="40DCFF7C" w:rsidR="1A98F6B6" w:rsidRPr="00C64BA4" w:rsidRDefault="192F52F6" w:rsidP="00206C45">
      <w:pPr>
        <w:tabs>
          <w:tab w:val="left" w:pos="1956"/>
        </w:tabs>
        <w:spacing w:line="300" w:lineRule="auto"/>
        <w:rPr>
          <w:rFonts w:eastAsia="Tw Cen MT" w:cs="Tw Cen MT"/>
          <w:b/>
          <w:bCs/>
          <w:u w:val="single"/>
        </w:rPr>
      </w:pPr>
      <w:r w:rsidRPr="00C64BA4">
        <w:t xml:space="preserve">The mean commute time for the SNHPC region in 2020 was 28.3 minutes, slightly higher than the NH mean commute time of 26.1 minutes. The mean commute time rose in every SNHPC community from 2010 to 2020 </w:t>
      </w:r>
      <w:proofErr w:type="gramStart"/>
      <w:r w:rsidRPr="00C64BA4">
        <w:t>with the exception of</w:t>
      </w:r>
      <w:proofErr w:type="gramEnd"/>
      <w:r w:rsidRPr="00C64BA4">
        <w:t xml:space="preserve"> Deerfield (-2%) and </w:t>
      </w:r>
      <w:proofErr w:type="spellStart"/>
      <w:r w:rsidRPr="00C64BA4">
        <w:t>Weare</w:t>
      </w:r>
      <w:proofErr w:type="spellEnd"/>
      <w:r w:rsidRPr="00C64BA4">
        <w:t xml:space="preserve"> (-1%). For the entire SNHPC, the mean commute time rose by 9%, which is 2% higher than the state.</w:t>
      </w:r>
    </w:p>
    <w:p w14:paraId="78E623CC" w14:textId="6550D093" w:rsidR="003A7CB5" w:rsidRDefault="003A7CB5" w:rsidP="00206C45">
      <w:pPr>
        <w:pStyle w:val="Caption"/>
        <w:keepNext/>
        <w:spacing w:line="300" w:lineRule="auto"/>
      </w:pPr>
      <w:bookmarkStart w:id="242" w:name="_Toc128137927"/>
      <w:r>
        <w:lastRenderedPageBreak/>
        <w:t xml:space="preserve">Table </w:t>
      </w:r>
      <w:r w:rsidR="0062538A">
        <w:fldChar w:fldCharType="begin"/>
      </w:r>
      <w:r w:rsidR="0062538A">
        <w:instrText xml:space="preserve"> SEQ Table \* ARABIC </w:instrText>
      </w:r>
      <w:r w:rsidR="0062538A">
        <w:fldChar w:fldCharType="separate"/>
      </w:r>
      <w:r w:rsidR="008B512A">
        <w:rPr>
          <w:noProof/>
        </w:rPr>
        <w:t>36</w:t>
      </w:r>
      <w:r w:rsidR="0062538A">
        <w:rPr>
          <w:noProof/>
        </w:rPr>
        <w:fldChar w:fldCharType="end"/>
      </w:r>
      <w:r>
        <w:t>: Mean Commute Time (Minutes)</w:t>
      </w:r>
      <w:bookmarkEnd w:id="242"/>
    </w:p>
    <w:tbl>
      <w:tblPr>
        <w:tblW w:w="0" w:type="auto"/>
        <w:tblLayout w:type="fixed"/>
        <w:tblLook w:val="04A0" w:firstRow="1" w:lastRow="0" w:firstColumn="1" w:lastColumn="0" w:noHBand="0" w:noVBand="1"/>
      </w:tblPr>
      <w:tblGrid>
        <w:gridCol w:w="1380"/>
        <w:gridCol w:w="1530"/>
        <w:gridCol w:w="1575"/>
        <w:gridCol w:w="1665"/>
      </w:tblGrid>
      <w:tr w:rsidR="7D79BFBF" w:rsidRPr="00C64BA4" w14:paraId="1CFB7531" w14:textId="77777777" w:rsidTr="192F52F6">
        <w:trPr>
          <w:trHeight w:val="270"/>
        </w:trPr>
        <w:tc>
          <w:tcPr>
            <w:tcW w:w="1380" w:type="dxa"/>
            <w:tcBorders>
              <w:top w:val="nil"/>
              <w:left w:val="nil"/>
              <w:bottom w:val="nil"/>
              <w:right w:val="nil"/>
            </w:tcBorders>
            <w:vAlign w:val="bottom"/>
          </w:tcPr>
          <w:p w14:paraId="08CA1FD4" w14:textId="1F510A5E" w:rsidR="7D79BFBF" w:rsidRPr="00C64BA4" w:rsidRDefault="7D79BFBF" w:rsidP="00206C45">
            <w:pPr>
              <w:spacing w:after="0" w:line="300" w:lineRule="auto"/>
              <w:rPr>
                <w:rFonts w:eastAsia="Times New Roman" w:cs="Times New Roman"/>
                <w:color w:val="000000" w:themeColor="text1"/>
                <w:sz w:val="20"/>
                <w:szCs w:val="20"/>
              </w:rPr>
            </w:pPr>
          </w:p>
        </w:tc>
        <w:tc>
          <w:tcPr>
            <w:tcW w:w="3105" w:type="dxa"/>
            <w:gridSpan w:val="2"/>
            <w:tcBorders>
              <w:top w:val="nil"/>
              <w:left w:val="nil"/>
              <w:bottom w:val="nil"/>
              <w:right w:val="nil"/>
            </w:tcBorders>
            <w:vAlign w:val="bottom"/>
          </w:tcPr>
          <w:p w14:paraId="4BDA6A5B" w14:textId="078A0099"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b/>
                <w:bCs/>
                <w:color w:val="000000" w:themeColor="text1"/>
              </w:rPr>
              <w:t>Mean Commute Time (Minutes)</w:t>
            </w:r>
          </w:p>
        </w:tc>
        <w:tc>
          <w:tcPr>
            <w:tcW w:w="1665" w:type="dxa"/>
            <w:tcBorders>
              <w:top w:val="nil"/>
              <w:left w:val="nil"/>
              <w:bottom w:val="nil"/>
              <w:right w:val="nil"/>
            </w:tcBorders>
            <w:vAlign w:val="bottom"/>
          </w:tcPr>
          <w:p w14:paraId="72146237" w14:textId="5C3C13F7" w:rsidR="7D79BFBF" w:rsidRPr="00C64BA4" w:rsidRDefault="7D79BFBF" w:rsidP="00206C45">
            <w:pPr>
              <w:spacing w:after="0" w:line="300" w:lineRule="auto"/>
              <w:jc w:val="center"/>
              <w:rPr>
                <w:rFonts w:eastAsia="Tw Cen MT" w:cs="Tw Cen MT"/>
                <w:color w:val="404040" w:themeColor="text1" w:themeTint="BF"/>
              </w:rPr>
            </w:pPr>
          </w:p>
        </w:tc>
      </w:tr>
      <w:tr w:rsidR="7D79BFBF" w:rsidRPr="00C64BA4" w14:paraId="4379BF61" w14:textId="77777777" w:rsidTr="192F52F6">
        <w:trPr>
          <w:trHeight w:val="270"/>
        </w:trPr>
        <w:tc>
          <w:tcPr>
            <w:tcW w:w="1380" w:type="dxa"/>
            <w:tcBorders>
              <w:top w:val="nil"/>
              <w:left w:val="nil"/>
              <w:bottom w:val="single" w:sz="6" w:space="0" w:color="auto"/>
              <w:right w:val="nil"/>
            </w:tcBorders>
            <w:vAlign w:val="bottom"/>
          </w:tcPr>
          <w:p w14:paraId="50166F9C" w14:textId="4E8162A2" w:rsidR="7D79BFBF" w:rsidRPr="00C64BA4" w:rsidRDefault="192F52F6" w:rsidP="00206C45">
            <w:pPr>
              <w:spacing w:after="0" w:line="300" w:lineRule="auto"/>
              <w:rPr>
                <w:rFonts w:eastAsia="Tw Cen MT" w:cs="Tw Cen MT"/>
                <w:color w:val="000000" w:themeColor="text1"/>
              </w:rPr>
            </w:pPr>
            <w:r w:rsidRPr="00C64BA4">
              <w:rPr>
                <w:rFonts w:eastAsia="Tw Cen MT" w:cs="Tw Cen MT"/>
                <w:color w:val="000000" w:themeColor="text1"/>
              </w:rPr>
              <w:t> </w:t>
            </w:r>
          </w:p>
        </w:tc>
        <w:tc>
          <w:tcPr>
            <w:tcW w:w="1530" w:type="dxa"/>
            <w:tcBorders>
              <w:top w:val="nil"/>
              <w:left w:val="nil"/>
              <w:bottom w:val="single" w:sz="6" w:space="0" w:color="auto"/>
              <w:right w:val="nil"/>
            </w:tcBorders>
            <w:vAlign w:val="bottom"/>
          </w:tcPr>
          <w:p w14:paraId="11309D3A" w14:textId="36D83B56"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b/>
                <w:bCs/>
                <w:color w:val="000000" w:themeColor="text1"/>
              </w:rPr>
              <w:t>2010</w:t>
            </w:r>
          </w:p>
        </w:tc>
        <w:tc>
          <w:tcPr>
            <w:tcW w:w="1575" w:type="dxa"/>
            <w:tcBorders>
              <w:top w:val="nil"/>
              <w:left w:val="nil"/>
              <w:bottom w:val="single" w:sz="6" w:space="0" w:color="auto"/>
              <w:right w:val="nil"/>
            </w:tcBorders>
            <w:vAlign w:val="bottom"/>
          </w:tcPr>
          <w:p w14:paraId="33D2A028" w14:textId="0C3B6D3A"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b/>
                <w:bCs/>
                <w:color w:val="000000" w:themeColor="text1"/>
              </w:rPr>
              <w:t>2020</w:t>
            </w:r>
          </w:p>
        </w:tc>
        <w:tc>
          <w:tcPr>
            <w:tcW w:w="1665" w:type="dxa"/>
            <w:tcBorders>
              <w:top w:val="nil"/>
              <w:left w:val="nil"/>
              <w:bottom w:val="single" w:sz="6" w:space="0" w:color="auto"/>
              <w:right w:val="nil"/>
            </w:tcBorders>
            <w:vAlign w:val="bottom"/>
          </w:tcPr>
          <w:p w14:paraId="5209A847" w14:textId="60E847DF"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b/>
                <w:bCs/>
                <w:color w:val="000000" w:themeColor="text1"/>
              </w:rPr>
              <w:t>2010-20 Commute Time Growth</w:t>
            </w:r>
          </w:p>
        </w:tc>
      </w:tr>
      <w:tr w:rsidR="7D79BFBF" w:rsidRPr="00C64BA4" w14:paraId="21F813FD" w14:textId="77777777" w:rsidTr="192F52F6">
        <w:trPr>
          <w:trHeight w:val="270"/>
        </w:trPr>
        <w:tc>
          <w:tcPr>
            <w:tcW w:w="1380" w:type="dxa"/>
            <w:tcBorders>
              <w:top w:val="single" w:sz="6" w:space="0" w:color="auto"/>
              <w:left w:val="nil"/>
              <w:bottom w:val="single" w:sz="6" w:space="0" w:color="auto"/>
              <w:right w:val="nil"/>
            </w:tcBorders>
            <w:vAlign w:val="center"/>
          </w:tcPr>
          <w:p w14:paraId="62209AC1" w14:textId="7B92DF56"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Auburn</w:t>
            </w:r>
          </w:p>
        </w:tc>
        <w:tc>
          <w:tcPr>
            <w:tcW w:w="1530" w:type="dxa"/>
            <w:tcBorders>
              <w:top w:val="single" w:sz="6" w:space="0" w:color="auto"/>
              <w:left w:val="nil"/>
              <w:bottom w:val="single" w:sz="6" w:space="0" w:color="auto"/>
              <w:right w:val="nil"/>
            </w:tcBorders>
            <w:vAlign w:val="center"/>
          </w:tcPr>
          <w:p w14:paraId="3951AEA2" w14:textId="4A2B21AB"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26.4</w:t>
            </w:r>
          </w:p>
        </w:tc>
        <w:tc>
          <w:tcPr>
            <w:tcW w:w="1575" w:type="dxa"/>
            <w:tcBorders>
              <w:top w:val="single" w:sz="6" w:space="0" w:color="auto"/>
              <w:left w:val="nil"/>
              <w:bottom w:val="single" w:sz="6" w:space="0" w:color="auto"/>
              <w:right w:val="nil"/>
            </w:tcBorders>
            <w:vAlign w:val="center"/>
          </w:tcPr>
          <w:p w14:paraId="019BAFAA" w14:textId="1EBFC2B9"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31</w:t>
            </w:r>
          </w:p>
        </w:tc>
        <w:tc>
          <w:tcPr>
            <w:tcW w:w="1665" w:type="dxa"/>
            <w:tcBorders>
              <w:top w:val="single" w:sz="6" w:space="0" w:color="auto"/>
              <w:left w:val="nil"/>
              <w:bottom w:val="single" w:sz="6" w:space="0" w:color="auto"/>
              <w:right w:val="nil"/>
            </w:tcBorders>
            <w:vAlign w:val="center"/>
          </w:tcPr>
          <w:p w14:paraId="04B8E785" w14:textId="4B219975"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17%</w:t>
            </w:r>
          </w:p>
        </w:tc>
      </w:tr>
      <w:tr w:rsidR="7D79BFBF" w:rsidRPr="00C64BA4" w14:paraId="328778A0" w14:textId="77777777" w:rsidTr="192F52F6">
        <w:trPr>
          <w:trHeight w:val="270"/>
        </w:trPr>
        <w:tc>
          <w:tcPr>
            <w:tcW w:w="1380" w:type="dxa"/>
            <w:tcBorders>
              <w:top w:val="single" w:sz="6" w:space="0" w:color="auto"/>
              <w:left w:val="nil"/>
              <w:bottom w:val="single" w:sz="6" w:space="0" w:color="auto"/>
              <w:right w:val="nil"/>
            </w:tcBorders>
            <w:shd w:val="clear" w:color="auto" w:fill="E7E6E6"/>
            <w:vAlign w:val="center"/>
          </w:tcPr>
          <w:p w14:paraId="4F02A5E7" w14:textId="500167C0"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Bedford</w:t>
            </w:r>
          </w:p>
        </w:tc>
        <w:tc>
          <w:tcPr>
            <w:tcW w:w="1530" w:type="dxa"/>
            <w:tcBorders>
              <w:top w:val="single" w:sz="6" w:space="0" w:color="auto"/>
              <w:left w:val="nil"/>
              <w:bottom w:val="single" w:sz="6" w:space="0" w:color="auto"/>
              <w:right w:val="nil"/>
            </w:tcBorders>
            <w:shd w:val="clear" w:color="auto" w:fill="E7E6E6"/>
            <w:vAlign w:val="center"/>
          </w:tcPr>
          <w:p w14:paraId="67C3CA0B" w14:textId="5308A1A8"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25</w:t>
            </w:r>
          </w:p>
        </w:tc>
        <w:tc>
          <w:tcPr>
            <w:tcW w:w="1575" w:type="dxa"/>
            <w:tcBorders>
              <w:top w:val="single" w:sz="6" w:space="0" w:color="auto"/>
              <w:left w:val="nil"/>
              <w:bottom w:val="single" w:sz="6" w:space="0" w:color="auto"/>
              <w:right w:val="nil"/>
            </w:tcBorders>
            <w:shd w:val="clear" w:color="auto" w:fill="E7E6E6"/>
            <w:vAlign w:val="center"/>
          </w:tcPr>
          <w:p w14:paraId="0B41BF38" w14:textId="38B441AA"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28.6</w:t>
            </w:r>
          </w:p>
        </w:tc>
        <w:tc>
          <w:tcPr>
            <w:tcW w:w="1665" w:type="dxa"/>
            <w:tcBorders>
              <w:top w:val="single" w:sz="6" w:space="0" w:color="auto"/>
              <w:left w:val="nil"/>
              <w:bottom w:val="single" w:sz="6" w:space="0" w:color="auto"/>
              <w:right w:val="nil"/>
            </w:tcBorders>
            <w:shd w:val="clear" w:color="auto" w:fill="E7E6E6"/>
            <w:vAlign w:val="center"/>
          </w:tcPr>
          <w:p w14:paraId="5B35190B" w14:textId="72A0C26A"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14%</w:t>
            </w:r>
          </w:p>
        </w:tc>
      </w:tr>
      <w:tr w:rsidR="7D79BFBF" w:rsidRPr="00C64BA4" w14:paraId="174B0509" w14:textId="77777777" w:rsidTr="192F52F6">
        <w:trPr>
          <w:trHeight w:val="270"/>
        </w:trPr>
        <w:tc>
          <w:tcPr>
            <w:tcW w:w="1380" w:type="dxa"/>
            <w:tcBorders>
              <w:top w:val="single" w:sz="6" w:space="0" w:color="auto"/>
              <w:left w:val="nil"/>
              <w:bottom w:val="single" w:sz="6" w:space="0" w:color="auto"/>
              <w:right w:val="nil"/>
            </w:tcBorders>
            <w:vAlign w:val="center"/>
          </w:tcPr>
          <w:p w14:paraId="7F50DC5F" w14:textId="365867A6"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Candia</w:t>
            </w:r>
          </w:p>
        </w:tc>
        <w:tc>
          <w:tcPr>
            <w:tcW w:w="1530" w:type="dxa"/>
            <w:tcBorders>
              <w:top w:val="single" w:sz="6" w:space="0" w:color="auto"/>
              <w:left w:val="nil"/>
              <w:bottom w:val="single" w:sz="6" w:space="0" w:color="auto"/>
              <w:right w:val="nil"/>
            </w:tcBorders>
            <w:vAlign w:val="center"/>
          </w:tcPr>
          <w:p w14:paraId="198D11F4" w14:textId="4B13F0A2"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26.5</w:t>
            </w:r>
          </w:p>
        </w:tc>
        <w:tc>
          <w:tcPr>
            <w:tcW w:w="1575" w:type="dxa"/>
            <w:tcBorders>
              <w:top w:val="single" w:sz="6" w:space="0" w:color="auto"/>
              <w:left w:val="nil"/>
              <w:bottom w:val="single" w:sz="6" w:space="0" w:color="auto"/>
              <w:right w:val="nil"/>
            </w:tcBorders>
            <w:vAlign w:val="center"/>
          </w:tcPr>
          <w:p w14:paraId="58863323" w14:textId="6C098479"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33.3</w:t>
            </w:r>
          </w:p>
        </w:tc>
        <w:tc>
          <w:tcPr>
            <w:tcW w:w="1665" w:type="dxa"/>
            <w:tcBorders>
              <w:top w:val="single" w:sz="6" w:space="0" w:color="auto"/>
              <w:left w:val="nil"/>
              <w:bottom w:val="single" w:sz="6" w:space="0" w:color="auto"/>
              <w:right w:val="nil"/>
            </w:tcBorders>
            <w:vAlign w:val="center"/>
          </w:tcPr>
          <w:p w14:paraId="2A4A8F25" w14:textId="7FDF7E11"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26%</w:t>
            </w:r>
          </w:p>
        </w:tc>
      </w:tr>
      <w:tr w:rsidR="7D79BFBF" w:rsidRPr="00C64BA4" w14:paraId="69E05F98" w14:textId="77777777" w:rsidTr="192F52F6">
        <w:trPr>
          <w:trHeight w:val="270"/>
        </w:trPr>
        <w:tc>
          <w:tcPr>
            <w:tcW w:w="1380" w:type="dxa"/>
            <w:tcBorders>
              <w:top w:val="single" w:sz="6" w:space="0" w:color="auto"/>
              <w:left w:val="nil"/>
              <w:bottom w:val="single" w:sz="6" w:space="0" w:color="auto"/>
              <w:right w:val="nil"/>
            </w:tcBorders>
            <w:shd w:val="clear" w:color="auto" w:fill="E7E6E6"/>
            <w:vAlign w:val="center"/>
          </w:tcPr>
          <w:p w14:paraId="171AA275" w14:textId="3A6E5432"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Chester</w:t>
            </w:r>
          </w:p>
        </w:tc>
        <w:tc>
          <w:tcPr>
            <w:tcW w:w="1530" w:type="dxa"/>
            <w:tcBorders>
              <w:top w:val="single" w:sz="6" w:space="0" w:color="auto"/>
              <w:left w:val="nil"/>
              <w:bottom w:val="single" w:sz="6" w:space="0" w:color="auto"/>
              <w:right w:val="nil"/>
            </w:tcBorders>
            <w:shd w:val="clear" w:color="auto" w:fill="E7E6E6"/>
            <w:vAlign w:val="center"/>
          </w:tcPr>
          <w:p w14:paraId="3345EDDB" w14:textId="7D59EDB9"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34.1</w:t>
            </w:r>
          </w:p>
        </w:tc>
        <w:tc>
          <w:tcPr>
            <w:tcW w:w="1575" w:type="dxa"/>
            <w:tcBorders>
              <w:top w:val="single" w:sz="6" w:space="0" w:color="auto"/>
              <w:left w:val="nil"/>
              <w:bottom w:val="single" w:sz="6" w:space="0" w:color="auto"/>
              <w:right w:val="nil"/>
            </w:tcBorders>
            <w:shd w:val="clear" w:color="auto" w:fill="E7E6E6"/>
            <w:vAlign w:val="center"/>
          </w:tcPr>
          <w:p w14:paraId="468768F4" w14:textId="5907CB01"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36.3</w:t>
            </w:r>
          </w:p>
        </w:tc>
        <w:tc>
          <w:tcPr>
            <w:tcW w:w="1665" w:type="dxa"/>
            <w:tcBorders>
              <w:top w:val="single" w:sz="6" w:space="0" w:color="auto"/>
              <w:left w:val="nil"/>
              <w:bottom w:val="single" w:sz="6" w:space="0" w:color="auto"/>
              <w:right w:val="nil"/>
            </w:tcBorders>
            <w:shd w:val="clear" w:color="auto" w:fill="E7E6E6"/>
            <w:vAlign w:val="center"/>
          </w:tcPr>
          <w:p w14:paraId="559D1B0A" w14:textId="7B5E72B2"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6%</w:t>
            </w:r>
          </w:p>
        </w:tc>
      </w:tr>
      <w:tr w:rsidR="7D79BFBF" w:rsidRPr="00C64BA4" w14:paraId="0DB52EE7" w14:textId="77777777" w:rsidTr="192F52F6">
        <w:trPr>
          <w:trHeight w:val="270"/>
        </w:trPr>
        <w:tc>
          <w:tcPr>
            <w:tcW w:w="1380" w:type="dxa"/>
            <w:tcBorders>
              <w:top w:val="single" w:sz="6" w:space="0" w:color="auto"/>
              <w:left w:val="nil"/>
              <w:bottom w:val="single" w:sz="6" w:space="0" w:color="auto"/>
              <w:right w:val="nil"/>
            </w:tcBorders>
            <w:vAlign w:val="center"/>
          </w:tcPr>
          <w:p w14:paraId="26C58835" w14:textId="64498AAF"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Deerfield</w:t>
            </w:r>
          </w:p>
        </w:tc>
        <w:tc>
          <w:tcPr>
            <w:tcW w:w="1530" w:type="dxa"/>
            <w:tcBorders>
              <w:top w:val="single" w:sz="6" w:space="0" w:color="auto"/>
              <w:left w:val="nil"/>
              <w:bottom w:val="single" w:sz="6" w:space="0" w:color="auto"/>
              <w:right w:val="nil"/>
            </w:tcBorders>
            <w:vAlign w:val="center"/>
          </w:tcPr>
          <w:p w14:paraId="67A8C5FB" w14:textId="697D7A5B"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36.7</w:t>
            </w:r>
          </w:p>
        </w:tc>
        <w:tc>
          <w:tcPr>
            <w:tcW w:w="1575" w:type="dxa"/>
            <w:tcBorders>
              <w:top w:val="single" w:sz="6" w:space="0" w:color="auto"/>
              <w:left w:val="nil"/>
              <w:bottom w:val="single" w:sz="6" w:space="0" w:color="auto"/>
              <w:right w:val="nil"/>
            </w:tcBorders>
            <w:vAlign w:val="center"/>
          </w:tcPr>
          <w:p w14:paraId="016A459B" w14:textId="5695FE7C"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35.9</w:t>
            </w:r>
          </w:p>
        </w:tc>
        <w:tc>
          <w:tcPr>
            <w:tcW w:w="1665" w:type="dxa"/>
            <w:tcBorders>
              <w:top w:val="single" w:sz="6" w:space="0" w:color="auto"/>
              <w:left w:val="nil"/>
              <w:bottom w:val="single" w:sz="6" w:space="0" w:color="auto"/>
              <w:right w:val="nil"/>
            </w:tcBorders>
            <w:vAlign w:val="center"/>
          </w:tcPr>
          <w:p w14:paraId="172CF437" w14:textId="33D9CB0F" w:rsidR="7D79BFBF" w:rsidRPr="00C64BA4" w:rsidRDefault="192F52F6" w:rsidP="00206C45">
            <w:pPr>
              <w:spacing w:after="0" w:line="300" w:lineRule="auto"/>
              <w:jc w:val="center"/>
              <w:rPr>
                <w:rFonts w:eastAsia="Tw Cen MT" w:cs="Tw Cen MT"/>
                <w:color w:val="800000"/>
              </w:rPr>
            </w:pPr>
            <w:r w:rsidRPr="00C64BA4">
              <w:rPr>
                <w:rFonts w:eastAsia="Tw Cen MT" w:cs="Tw Cen MT"/>
                <w:color w:val="800000"/>
              </w:rPr>
              <w:t>-2%</w:t>
            </w:r>
          </w:p>
        </w:tc>
      </w:tr>
      <w:tr w:rsidR="7D79BFBF" w:rsidRPr="00C64BA4" w14:paraId="21EF088C" w14:textId="77777777" w:rsidTr="192F52F6">
        <w:trPr>
          <w:trHeight w:val="270"/>
        </w:trPr>
        <w:tc>
          <w:tcPr>
            <w:tcW w:w="1380" w:type="dxa"/>
            <w:tcBorders>
              <w:top w:val="single" w:sz="6" w:space="0" w:color="auto"/>
              <w:left w:val="nil"/>
              <w:bottom w:val="single" w:sz="6" w:space="0" w:color="auto"/>
              <w:right w:val="nil"/>
            </w:tcBorders>
            <w:shd w:val="clear" w:color="auto" w:fill="E7E6E6"/>
            <w:vAlign w:val="center"/>
          </w:tcPr>
          <w:p w14:paraId="318B2AD0" w14:textId="3B8C39EF"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Derry</w:t>
            </w:r>
          </w:p>
        </w:tc>
        <w:tc>
          <w:tcPr>
            <w:tcW w:w="1530" w:type="dxa"/>
            <w:tcBorders>
              <w:top w:val="single" w:sz="6" w:space="0" w:color="auto"/>
              <w:left w:val="nil"/>
              <w:bottom w:val="single" w:sz="6" w:space="0" w:color="auto"/>
              <w:right w:val="nil"/>
            </w:tcBorders>
            <w:shd w:val="clear" w:color="auto" w:fill="E7E6E6"/>
            <w:vAlign w:val="center"/>
          </w:tcPr>
          <w:p w14:paraId="101D6F92" w14:textId="43977744"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30.4</w:t>
            </w:r>
          </w:p>
        </w:tc>
        <w:tc>
          <w:tcPr>
            <w:tcW w:w="1575" w:type="dxa"/>
            <w:tcBorders>
              <w:top w:val="single" w:sz="6" w:space="0" w:color="auto"/>
              <w:left w:val="nil"/>
              <w:bottom w:val="single" w:sz="6" w:space="0" w:color="auto"/>
              <w:right w:val="nil"/>
            </w:tcBorders>
            <w:shd w:val="clear" w:color="auto" w:fill="E7E6E6"/>
            <w:vAlign w:val="center"/>
          </w:tcPr>
          <w:p w14:paraId="1D8401E2" w14:textId="1F26B890"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32.7</w:t>
            </w:r>
          </w:p>
        </w:tc>
        <w:tc>
          <w:tcPr>
            <w:tcW w:w="1665" w:type="dxa"/>
            <w:tcBorders>
              <w:top w:val="single" w:sz="6" w:space="0" w:color="auto"/>
              <w:left w:val="nil"/>
              <w:bottom w:val="single" w:sz="6" w:space="0" w:color="auto"/>
              <w:right w:val="nil"/>
            </w:tcBorders>
            <w:shd w:val="clear" w:color="auto" w:fill="E7E6E6"/>
            <w:vAlign w:val="center"/>
          </w:tcPr>
          <w:p w14:paraId="66BFCD30" w14:textId="2AC68CF5"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8%</w:t>
            </w:r>
          </w:p>
        </w:tc>
      </w:tr>
      <w:tr w:rsidR="7D79BFBF" w:rsidRPr="00C64BA4" w14:paraId="770943B6" w14:textId="77777777" w:rsidTr="192F52F6">
        <w:trPr>
          <w:trHeight w:val="270"/>
        </w:trPr>
        <w:tc>
          <w:tcPr>
            <w:tcW w:w="1380" w:type="dxa"/>
            <w:tcBorders>
              <w:top w:val="single" w:sz="6" w:space="0" w:color="auto"/>
              <w:left w:val="nil"/>
              <w:bottom w:val="single" w:sz="6" w:space="0" w:color="auto"/>
              <w:right w:val="nil"/>
            </w:tcBorders>
            <w:vAlign w:val="center"/>
          </w:tcPr>
          <w:p w14:paraId="79C04BDD" w14:textId="48272065" w:rsidR="7D79BFBF" w:rsidRPr="00C64BA4" w:rsidRDefault="192F52F6" w:rsidP="00206C45">
            <w:pPr>
              <w:spacing w:after="0" w:line="300" w:lineRule="auto"/>
              <w:jc w:val="center"/>
              <w:rPr>
                <w:rFonts w:eastAsia="Tw Cen MT" w:cs="Tw Cen MT"/>
                <w:color w:val="000000" w:themeColor="text1"/>
              </w:rPr>
            </w:pPr>
            <w:proofErr w:type="spellStart"/>
            <w:r w:rsidRPr="00C64BA4">
              <w:rPr>
                <w:rFonts w:eastAsia="Tw Cen MT" w:cs="Tw Cen MT"/>
                <w:color w:val="000000" w:themeColor="text1"/>
              </w:rPr>
              <w:t>Francestown</w:t>
            </w:r>
            <w:proofErr w:type="spellEnd"/>
          </w:p>
        </w:tc>
        <w:tc>
          <w:tcPr>
            <w:tcW w:w="1530" w:type="dxa"/>
            <w:tcBorders>
              <w:top w:val="single" w:sz="6" w:space="0" w:color="auto"/>
              <w:left w:val="nil"/>
              <w:bottom w:val="single" w:sz="6" w:space="0" w:color="auto"/>
              <w:right w:val="nil"/>
            </w:tcBorders>
            <w:vAlign w:val="center"/>
          </w:tcPr>
          <w:p w14:paraId="02570B91" w14:textId="1791B8B1"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35.9</w:t>
            </w:r>
          </w:p>
        </w:tc>
        <w:tc>
          <w:tcPr>
            <w:tcW w:w="1575" w:type="dxa"/>
            <w:tcBorders>
              <w:top w:val="single" w:sz="6" w:space="0" w:color="auto"/>
              <w:left w:val="nil"/>
              <w:bottom w:val="single" w:sz="6" w:space="0" w:color="auto"/>
              <w:right w:val="nil"/>
            </w:tcBorders>
            <w:vAlign w:val="center"/>
          </w:tcPr>
          <w:p w14:paraId="6FEDA6C4" w14:textId="31BA8533"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37.7</w:t>
            </w:r>
          </w:p>
        </w:tc>
        <w:tc>
          <w:tcPr>
            <w:tcW w:w="1665" w:type="dxa"/>
            <w:tcBorders>
              <w:top w:val="single" w:sz="6" w:space="0" w:color="auto"/>
              <w:left w:val="nil"/>
              <w:bottom w:val="single" w:sz="6" w:space="0" w:color="auto"/>
              <w:right w:val="nil"/>
            </w:tcBorders>
            <w:vAlign w:val="center"/>
          </w:tcPr>
          <w:p w14:paraId="59F34147" w14:textId="50E034D1"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5%</w:t>
            </w:r>
          </w:p>
        </w:tc>
      </w:tr>
      <w:tr w:rsidR="7D79BFBF" w:rsidRPr="00C64BA4" w14:paraId="3135E4D0" w14:textId="77777777" w:rsidTr="192F52F6">
        <w:trPr>
          <w:trHeight w:val="270"/>
        </w:trPr>
        <w:tc>
          <w:tcPr>
            <w:tcW w:w="1380" w:type="dxa"/>
            <w:tcBorders>
              <w:top w:val="single" w:sz="6" w:space="0" w:color="auto"/>
              <w:left w:val="nil"/>
              <w:bottom w:val="single" w:sz="6" w:space="0" w:color="auto"/>
              <w:right w:val="nil"/>
            </w:tcBorders>
            <w:shd w:val="clear" w:color="auto" w:fill="E7E6E6"/>
            <w:vAlign w:val="center"/>
          </w:tcPr>
          <w:p w14:paraId="2CDF8375" w14:textId="0EE65740"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Goffstown</w:t>
            </w:r>
          </w:p>
        </w:tc>
        <w:tc>
          <w:tcPr>
            <w:tcW w:w="1530" w:type="dxa"/>
            <w:tcBorders>
              <w:top w:val="single" w:sz="6" w:space="0" w:color="auto"/>
              <w:left w:val="nil"/>
              <w:bottom w:val="single" w:sz="6" w:space="0" w:color="auto"/>
              <w:right w:val="nil"/>
            </w:tcBorders>
            <w:shd w:val="clear" w:color="auto" w:fill="E7E6E6"/>
            <w:vAlign w:val="center"/>
          </w:tcPr>
          <w:p w14:paraId="3EAA5EB9" w14:textId="133D7A2A"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24.3</w:t>
            </w:r>
          </w:p>
        </w:tc>
        <w:tc>
          <w:tcPr>
            <w:tcW w:w="1575" w:type="dxa"/>
            <w:tcBorders>
              <w:top w:val="single" w:sz="6" w:space="0" w:color="auto"/>
              <w:left w:val="nil"/>
              <w:bottom w:val="single" w:sz="6" w:space="0" w:color="auto"/>
              <w:right w:val="nil"/>
            </w:tcBorders>
            <w:shd w:val="clear" w:color="auto" w:fill="E7E6E6"/>
            <w:vAlign w:val="center"/>
          </w:tcPr>
          <w:p w14:paraId="103FE6D0" w14:textId="36D03D8F"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25.4</w:t>
            </w:r>
          </w:p>
        </w:tc>
        <w:tc>
          <w:tcPr>
            <w:tcW w:w="1665" w:type="dxa"/>
            <w:tcBorders>
              <w:top w:val="single" w:sz="6" w:space="0" w:color="auto"/>
              <w:left w:val="nil"/>
              <w:bottom w:val="single" w:sz="6" w:space="0" w:color="auto"/>
              <w:right w:val="nil"/>
            </w:tcBorders>
            <w:shd w:val="clear" w:color="auto" w:fill="E7E6E6"/>
            <w:vAlign w:val="center"/>
          </w:tcPr>
          <w:p w14:paraId="40644C4C" w14:textId="5C0DFAA9"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5%</w:t>
            </w:r>
          </w:p>
        </w:tc>
      </w:tr>
      <w:tr w:rsidR="7D79BFBF" w:rsidRPr="00C64BA4" w14:paraId="6F90F553" w14:textId="77777777" w:rsidTr="192F52F6">
        <w:trPr>
          <w:trHeight w:val="270"/>
        </w:trPr>
        <w:tc>
          <w:tcPr>
            <w:tcW w:w="1380" w:type="dxa"/>
            <w:tcBorders>
              <w:top w:val="single" w:sz="6" w:space="0" w:color="auto"/>
              <w:left w:val="nil"/>
              <w:bottom w:val="single" w:sz="6" w:space="0" w:color="auto"/>
              <w:right w:val="nil"/>
            </w:tcBorders>
            <w:vAlign w:val="center"/>
          </w:tcPr>
          <w:p w14:paraId="5D1817B0" w14:textId="652F3120"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Hooksett</w:t>
            </w:r>
          </w:p>
        </w:tc>
        <w:tc>
          <w:tcPr>
            <w:tcW w:w="1530" w:type="dxa"/>
            <w:tcBorders>
              <w:top w:val="single" w:sz="6" w:space="0" w:color="auto"/>
              <w:left w:val="nil"/>
              <w:bottom w:val="single" w:sz="6" w:space="0" w:color="auto"/>
              <w:right w:val="nil"/>
            </w:tcBorders>
            <w:vAlign w:val="center"/>
          </w:tcPr>
          <w:p w14:paraId="7A76C8F8" w14:textId="74D33A4E"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24.4</w:t>
            </w:r>
          </w:p>
        </w:tc>
        <w:tc>
          <w:tcPr>
            <w:tcW w:w="1575" w:type="dxa"/>
            <w:tcBorders>
              <w:top w:val="single" w:sz="6" w:space="0" w:color="auto"/>
              <w:left w:val="nil"/>
              <w:bottom w:val="single" w:sz="6" w:space="0" w:color="auto"/>
              <w:right w:val="nil"/>
            </w:tcBorders>
            <w:vAlign w:val="center"/>
          </w:tcPr>
          <w:p w14:paraId="1A18BF0C" w14:textId="299F8893"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26.9</w:t>
            </w:r>
          </w:p>
        </w:tc>
        <w:tc>
          <w:tcPr>
            <w:tcW w:w="1665" w:type="dxa"/>
            <w:tcBorders>
              <w:top w:val="single" w:sz="6" w:space="0" w:color="auto"/>
              <w:left w:val="nil"/>
              <w:bottom w:val="single" w:sz="6" w:space="0" w:color="auto"/>
              <w:right w:val="nil"/>
            </w:tcBorders>
            <w:vAlign w:val="center"/>
          </w:tcPr>
          <w:p w14:paraId="07C47D61" w14:textId="71F0886F"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10%</w:t>
            </w:r>
          </w:p>
        </w:tc>
      </w:tr>
      <w:tr w:rsidR="7D79BFBF" w:rsidRPr="00C64BA4" w14:paraId="03ADC0BB" w14:textId="77777777" w:rsidTr="192F52F6">
        <w:trPr>
          <w:trHeight w:val="270"/>
        </w:trPr>
        <w:tc>
          <w:tcPr>
            <w:tcW w:w="1380" w:type="dxa"/>
            <w:tcBorders>
              <w:top w:val="single" w:sz="6" w:space="0" w:color="auto"/>
              <w:left w:val="nil"/>
              <w:bottom w:val="single" w:sz="6" w:space="0" w:color="auto"/>
              <w:right w:val="nil"/>
            </w:tcBorders>
            <w:shd w:val="clear" w:color="auto" w:fill="E7E6E6"/>
            <w:vAlign w:val="center"/>
          </w:tcPr>
          <w:p w14:paraId="492D0262" w14:textId="428FAC7D"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Londonderry</w:t>
            </w:r>
          </w:p>
        </w:tc>
        <w:tc>
          <w:tcPr>
            <w:tcW w:w="1530" w:type="dxa"/>
            <w:tcBorders>
              <w:top w:val="single" w:sz="6" w:space="0" w:color="auto"/>
              <w:left w:val="nil"/>
              <w:bottom w:val="single" w:sz="6" w:space="0" w:color="auto"/>
              <w:right w:val="nil"/>
            </w:tcBorders>
            <w:shd w:val="clear" w:color="auto" w:fill="E7E6E6"/>
            <w:vAlign w:val="center"/>
          </w:tcPr>
          <w:p w14:paraId="2EE6250D" w14:textId="3D0CEFA6"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28.1</w:t>
            </w:r>
          </w:p>
        </w:tc>
        <w:tc>
          <w:tcPr>
            <w:tcW w:w="1575" w:type="dxa"/>
            <w:tcBorders>
              <w:top w:val="single" w:sz="6" w:space="0" w:color="auto"/>
              <w:left w:val="nil"/>
              <w:bottom w:val="single" w:sz="6" w:space="0" w:color="auto"/>
              <w:right w:val="nil"/>
            </w:tcBorders>
            <w:shd w:val="clear" w:color="auto" w:fill="E7E6E6"/>
            <w:vAlign w:val="center"/>
          </w:tcPr>
          <w:p w14:paraId="3432171F" w14:textId="56A75B1F"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31.2</w:t>
            </w:r>
          </w:p>
        </w:tc>
        <w:tc>
          <w:tcPr>
            <w:tcW w:w="1665" w:type="dxa"/>
            <w:tcBorders>
              <w:top w:val="single" w:sz="6" w:space="0" w:color="auto"/>
              <w:left w:val="nil"/>
              <w:bottom w:val="single" w:sz="6" w:space="0" w:color="auto"/>
              <w:right w:val="nil"/>
            </w:tcBorders>
            <w:shd w:val="clear" w:color="auto" w:fill="E7E6E6"/>
            <w:vAlign w:val="center"/>
          </w:tcPr>
          <w:p w14:paraId="0A001D09" w14:textId="75ECA2E3"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11%</w:t>
            </w:r>
          </w:p>
        </w:tc>
      </w:tr>
      <w:tr w:rsidR="7D79BFBF" w:rsidRPr="00C64BA4" w14:paraId="539EE97F" w14:textId="77777777" w:rsidTr="192F52F6">
        <w:trPr>
          <w:trHeight w:val="270"/>
        </w:trPr>
        <w:tc>
          <w:tcPr>
            <w:tcW w:w="1380" w:type="dxa"/>
            <w:tcBorders>
              <w:top w:val="single" w:sz="6" w:space="0" w:color="auto"/>
              <w:left w:val="nil"/>
              <w:bottom w:val="single" w:sz="6" w:space="0" w:color="auto"/>
              <w:right w:val="nil"/>
            </w:tcBorders>
            <w:vAlign w:val="center"/>
          </w:tcPr>
          <w:p w14:paraId="4DB88E94" w14:textId="43D95C11"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Manchester</w:t>
            </w:r>
          </w:p>
        </w:tc>
        <w:tc>
          <w:tcPr>
            <w:tcW w:w="1530" w:type="dxa"/>
            <w:tcBorders>
              <w:top w:val="single" w:sz="6" w:space="0" w:color="auto"/>
              <w:left w:val="nil"/>
              <w:bottom w:val="single" w:sz="6" w:space="0" w:color="auto"/>
              <w:right w:val="nil"/>
            </w:tcBorders>
            <w:vAlign w:val="center"/>
          </w:tcPr>
          <w:p w14:paraId="12CF237C" w14:textId="742B4900"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22</w:t>
            </w:r>
          </w:p>
        </w:tc>
        <w:tc>
          <w:tcPr>
            <w:tcW w:w="1575" w:type="dxa"/>
            <w:tcBorders>
              <w:top w:val="single" w:sz="6" w:space="0" w:color="auto"/>
              <w:left w:val="nil"/>
              <w:bottom w:val="single" w:sz="6" w:space="0" w:color="auto"/>
              <w:right w:val="nil"/>
            </w:tcBorders>
            <w:vAlign w:val="center"/>
          </w:tcPr>
          <w:p w14:paraId="2ADF0350" w14:textId="1EDFC3F5"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24</w:t>
            </w:r>
          </w:p>
        </w:tc>
        <w:tc>
          <w:tcPr>
            <w:tcW w:w="1665" w:type="dxa"/>
            <w:tcBorders>
              <w:top w:val="single" w:sz="6" w:space="0" w:color="auto"/>
              <w:left w:val="nil"/>
              <w:bottom w:val="single" w:sz="6" w:space="0" w:color="auto"/>
              <w:right w:val="nil"/>
            </w:tcBorders>
            <w:vAlign w:val="center"/>
          </w:tcPr>
          <w:p w14:paraId="2F96A81C" w14:textId="44031D7B"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9%</w:t>
            </w:r>
          </w:p>
        </w:tc>
      </w:tr>
      <w:tr w:rsidR="7D79BFBF" w:rsidRPr="00C64BA4" w14:paraId="5609BA0C" w14:textId="77777777" w:rsidTr="192F52F6">
        <w:trPr>
          <w:trHeight w:val="270"/>
        </w:trPr>
        <w:tc>
          <w:tcPr>
            <w:tcW w:w="1380" w:type="dxa"/>
            <w:tcBorders>
              <w:top w:val="single" w:sz="6" w:space="0" w:color="auto"/>
              <w:left w:val="nil"/>
              <w:bottom w:val="single" w:sz="6" w:space="0" w:color="auto"/>
              <w:right w:val="nil"/>
            </w:tcBorders>
            <w:shd w:val="clear" w:color="auto" w:fill="E7E6E6"/>
            <w:vAlign w:val="center"/>
          </w:tcPr>
          <w:p w14:paraId="6C1C1F7D" w14:textId="01A5A8D9"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New Boston</w:t>
            </w:r>
          </w:p>
        </w:tc>
        <w:tc>
          <w:tcPr>
            <w:tcW w:w="1530" w:type="dxa"/>
            <w:tcBorders>
              <w:top w:val="single" w:sz="6" w:space="0" w:color="auto"/>
              <w:left w:val="nil"/>
              <w:bottom w:val="single" w:sz="6" w:space="0" w:color="auto"/>
              <w:right w:val="nil"/>
            </w:tcBorders>
            <w:shd w:val="clear" w:color="auto" w:fill="E7E6E6"/>
            <w:vAlign w:val="center"/>
          </w:tcPr>
          <w:p w14:paraId="3EA9FB38" w14:textId="2EEEC459"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30.6</w:t>
            </w:r>
          </w:p>
        </w:tc>
        <w:tc>
          <w:tcPr>
            <w:tcW w:w="1575" w:type="dxa"/>
            <w:tcBorders>
              <w:top w:val="single" w:sz="6" w:space="0" w:color="auto"/>
              <w:left w:val="nil"/>
              <w:bottom w:val="single" w:sz="6" w:space="0" w:color="auto"/>
              <w:right w:val="nil"/>
            </w:tcBorders>
            <w:shd w:val="clear" w:color="auto" w:fill="E7E6E6"/>
            <w:vAlign w:val="center"/>
          </w:tcPr>
          <w:p w14:paraId="0C39C07F" w14:textId="64D2A4A4"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39.1</w:t>
            </w:r>
          </w:p>
        </w:tc>
        <w:tc>
          <w:tcPr>
            <w:tcW w:w="1665" w:type="dxa"/>
            <w:tcBorders>
              <w:top w:val="single" w:sz="6" w:space="0" w:color="auto"/>
              <w:left w:val="nil"/>
              <w:bottom w:val="single" w:sz="6" w:space="0" w:color="auto"/>
              <w:right w:val="nil"/>
            </w:tcBorders>
            <w:shd w:val="clear" w:color="auto" w:fill="E7E6E6"/>
            <w:vAlign w:val="center"/>
          </w:tcPr>
          <w:p w14:paraId="4719BD36" w14:textId="78341741"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28%</w:t>
            </w:r>
          </w:p>
        </w:tc>
      </w:tr>
      <w:tr w:rsidR="7D79BFBF" w:rsidRPr="00C64BA4" w14:paraId="76CF7CE6" w14:textId="77777777" w:rsidTr="192F52F6">
        <w:trPr>
          <w:trHeight w:val="270"/>
        </w:trPr>
        <w:tc>
          <w:tcPr>
            <w:tcW w:w="1380" w:type="dxa"/>
            <w:tcBorders>
              <w:top w:val="single" w:sz="6" w:space="0" w:color="auto"/>
              <w:left w:val="nil"/>
              <w:bottom w:val="single" w:sz="6" w:space="0" w:color="auto"/>
              <w:right w:val="nil"/>
            </w:tcBorders>
            <w:vAlign w:val="center"/>
          </w:tcPr>
          <w:p w14:paraId="7B048129" w14:textId="21A169CB" w:rsidR="7D79BFBF" w:rsidRPr="00C64BA4" w:rsidRDefault="192F52F6" w:rsidP="00206C45">
            <w:pPr>
              <w:spacing w:after="0" w:line="300" w:lineRule="auto"/>
              <w:jc w:val="center"/>
              <w:rPr>
                <w:rFonts w:eastAsia="Tw Cen MT" w:cs="Tw Cen MT"/>
                <w:color w:val="000000" w:themeColor="text1"/>
              </w:rPr>
            </w:pPr>
            <w:proofErr w:type="spellStart"/>
            <w:r w:rsidRPr="00C64BA4">
              <w:rPr>
                <w:rFonts w:eastAsia="Tw Cen MT" w:cs="Tw Cen MT"/>
                <w:color w:val="000000" w:themeColor="text1"/>
              </w:rPr>
              <w:t>Weare</w:t>
            </w:r>
            <w:proofErr w:type="spellEnd"/>
          </w:p>
        </w:tc>
        <w:tc>
          <w:tcPr>
            <w:tcW w:w="1530" w:type="dxa"/>
            <w:tcBorders>
              <w:top w:val="single" w:sz="6" w:space="0" w:color="auto"/>
              <w:left w:val="nil"/>
              <w:bottom w:val="single" w:sz="6" w:space="0" w:color="auto"/>
              <w:right w:val="nil"/>
            </w:tcBorders>
            <w:vAlign w:val="center"/>
          </w:tcPr>
          <w:p w14:paraId="5A15B479" w14:textId="47E01432"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35.5</w:t>
            </w:r>
          </w:p>
        </w:tc>
        <w:tc>
          <w:tcPr>
            <w:tcW w:w="1575" w:type="dxa"/>
            <w:tcBorders>
              <w:top w:val="single" w:sz="6" w:space="0" w:color="auto"/>
              <w:left w:val="nil"/>
              <w:bottom w:val="single" w:sz="6" w:space="0" w:color="auto"/>
              <w:right w:val="nil"/>
            </w:tcBorders>
            <w:vAlign w:val="center"/>
          </w:tcPr>
          <w:p w14:paraId="4C4DCEA7" w14:textId="6BC97924"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35.2</w:t>
            </w:r>
          </w:p>
        </w:tc>
        <w:tc>
          <w:tcPr>
            <w:tcW w:w="1665" w:type="dxa"/>
            <w:tcBorders>
              <w:top w:val="single" w:sz="6" w:space="0" w:color="auto"/>
              <w:left w:val="nil"/>
              <w:bottom w:val="single" w:sz="6" w:space="0" w:color="auto"/>
              <w:right w:val="nil"/>
            </w:tcBorders>
            <w:vAlign w:val="center"/>
          </w:tcPr>
          <w:p w14:paraId="1AE029AE" w14:textId="673ABC58" w:rsidR="7D79BFBF" w:rsidRPr="00C64BA4" w:rsidRDefault="192F52F6" w:rsidP="00206C45">
            <w:pPr>
              <w:spacing w:after="0" w:line="300" w:lineRule="auto"/>
              <w:jc w:val="center"/>
              <w:rPr>
                <w:rFonts w:eastAsia="Tw Cen MT" w:cs="Tw Cen MT"/>
                <w:color w:val="800000"/>
              </w:rPr>
            </w:pPr>
            <w:r w:rsidRPr="00C64BA4">
              <w:rPr>
                <w:rFonts w:eastAsia="Tw Cen MT" w:cs="Tw Cen MT"/>
                <w:color w:val="800000"/>
              </w:rPr>
              <w:t>-1%</w:t>
            </w:r>
          </w:p>
        </w:tc>
      </w:tr>
      <w:tr w:rsidR="7D79BFBF" w:rsidRPr="00C64BA4" w14:paraId="60E22A80" w14:textId="77777777" w:rsidTr="192F52F6">
        <w:trPr>
          <w:trHeight w:val="270"/>
        </w:trPr>
        <w:tc>
          <w:tcPr>
            <w:tcW w:w="1380" w:type="dxa"/>
            <w:tcBorders>
              <w:top w:val="single" w:sz="6" w:space="0" w:color="auto"/>
              <w:left w:val="nil"/>
              <w:bottom w:val="single" w:sz="12" w:space="0" w:color="404040" w:themeColor="text1" w:themeTint="BF"/>
              <w:right w:val="nil"/>
            </w:tcBorders>
            <w:shd w:val="clear" w:color="auto" w:fill="E7E6E6"/>
            <w:vAlign w:val="center"/>
          </w:tcPr>
          <w:p w14:paraId="5E0AC06A" w14:textId="1B9E46E6"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Windham</w:t>
            </w:r>
          </w:p>
        </w:tc>
        <w:tc>
          <w:tcPr>
            <w:tcW w:w="1530" w:type="dxa"/>
            <w:tcBorders>
              <w:top w:val="single" w:sz="6" w:space="0" w:color="auto"/>
              <w:left w:val="nil"/>
              <w:bottom w:val="single" w:sz="12" w:space="0" w:color="404040" w:themeColor="text1" w:themeTint="BF"/>
              <w:right w:val="nil"/>
            </w:tcBorders>
            <w:shd w:val="clear" w:color="auto" w:fill="E7E6E6"/>
            <w:vAlign w:val="center"/>
          </w:tcPr>
          <w:p w14:paraId="0C32BFFB" w14:textId="5818E569"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34.7</w:t>
            </w:r>
          </w:p>
        </w:tc>
        <w:tc>
          <w:tcPr>
            <w:tcW w:w="1575" w:type="dxa"/>
            <w:tcBorders>
              <w:top w:val="single" w:sz="6" w:space="0" w:color="auto"/>
              <w:left w:val="nil"/>
              <w:bottom w:val="single" w:sz="12" w:space="0" w:color="404040" w:themeColor="text1" w:themeTint="BF"/>
              <w:right w:val="nil"/>
            </w:tcBorders>
            <w:shd w:val="clear" w:color="auto" w:fill="E7E6E6"/>
            <w:vAlign w:val="center"/>
          </w:tcPr>
          <w:p w14:paraId="7ED3A8A4" w14:textId="1C1F8FB9"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35.1</w:t>
            </w:r>
          </w:p>
        </w:tc>
        <w:tc>
          <w:tcPr>
            <w:tcW w:w="1665" w:type="dxa"/>
            <w:tcBorders>
              <w:top w:val="single" w:sz="6" w:space="0" w:color="auto"/>
              <w:left w:val="nil"/>
              <w:bottom w:val="single" w:sz="12" w:space="0" w:color="404040" w:themeColor="text1" w:themeTint="BF"/>
              <w:right w:val="nil"/>
            </w:tcBorders>
            <w:shd w:val="clear" w:color="auto" w:fill="E7E6E6"/>
            <w:vAlign w:val="center"/>
          </w:tcPr>
          <w:p w14:paraId="6A8FC98F" w14:textId="1427FA7C"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1%</w:t>
            </w:r>
          </w:p>
        </w:tc>
      </w:tr>
      <w:tr w:rsidR="7D79BFBF" w:rsidRPr="00C64BA4" w14:paraId="2813937D" w14:textId="77777777" w:rsidTr="192F52F6">
        <w:trPr>
          <w:trHeight w:val="270"/>
        </w:trPr>
        <w:tc>
          <w:tcPr>
            <w:tcW w:w="1380" w:type="dxa"/>
            <w:tcBorders>
              <w:top w:val="single" w:sz="12" w:space="0" w:color="404040" w:themeColor="text1" w:themeTint="BF"/>
              <w:left w:val="nil"/>
              <w:bottom w:val="single" w:sz="12" w:space="0" w:color="404040" w:themeColor="text1" w:themeTint="BF"/>
              <w:right w:val="nil"/>
            </w:tcBorders>
            <w:vAlign w:val="center"/>
          </w:tcPr>
          <w:p w14:paraId="565AD1CD" w14:textId="4E1483F6"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SNHPC</w:t>
            </w:r>
          </w:p>
        </w:tc>
        <w:tc>
          <w:tcPr>
            <w:tcW w:w="1530" w:type="dxa"/>
            <w:tcBorders>
              <w:top w:val="single" w:sz="12" w:space="0" w:color="404040" w:themeColor="text1" w:themeTint="BF"/>
              <w:left w:val="nil"/>
              <w:bottom w:val="single" w:sz="12" w:space="0" w:color="404040" w:themeColor="text1" w:themeTint="BF"/>
              <w:right w:val="nil"/>
            </w:tcBorders>
            <w:vAlign w:val="center"/>
          </w:tcPr>
          <w:p w14:paraId="3E9B2B85" w14:textId="5B09C715"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26.1</w:t>
            </w:r>
          </w:p>
        </w:tc>
        <w:tc>
          <w:tcPr>
            <w:tcW w:w="1575" w:type="dxa"/>
            <w:tcBorders>
              <w:top w:val="single" w:sz="12" w:space="0" w:color="404040" w:themeColor="text1" w:themeTint="BF"/>
              <w:left w:val="nil"/>
              <w:bottom w:val="single" w:sz="12" w:space="0" w:color="404040" w:themeColor="text1" w:themeTint="BF"/>
              <w:right w:val="nil"/>
            </w:tcBorders>
            <w:vAlign w:val="center"/>
          </w:tcPr>
          <w:p w14:paraId="1608259E" w14:textId="0641E1C6"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28.3</w:t>
            </w:r>
          </w:p>
        </w:tc>
        <w:tc>
          <w:tcPr>
            <w:tcW w:w="1665" w:type="dxa"/>
            <w:tcBorders>
              <w:top w:val="single" w:sz="12" w:space="0" w:color="404040" w:themeColor="text1" w:themeTint="BF"/>
              <w:left w:val="nil"/>
              <w:bottom w:val="single" w:sz="12" w:space="0" w:color="404040" w:themeColor="text1" w:themeTint="BF"/>
              <w:right w:val="nil"/>
            </w:tcBorders>
            <w:vAlign w:val="center"/>
          </w:tcPr>
          <w:p w14:paraId="6FF400B8" w14:textId="59756CC5"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9%</w:t>
            </w:r>
          </w:p>
        </w:tc>
      </w:tr>
      <w:tr w:rsidR="7D79BFBF" w:rsidRPr="00C64BA4" w14:paraId="67A2BE5E" w14:textId="77777777" w:rsidTr="192F52F6">
        <w:trPr>
          <w:trHeight w:val="270"/>
        </w:trPr>
        <w:tc>
          <w:tcPr>
            <w:tcW w:w="1380" w:type="dxa"/>
            <w:tcBorders>
              <w:top w:val="single" w:sz="12" w:space="0" w:color="404040" w:themeColor="text1" w:themeTint="BF"/>
              <w:left w:val="nil"/>
              <w:bottom w:val="nil"/>
              <w:right w:val="nil"/>
            </w:tcBorders>
            <w:shd w:val="clear" w:color="auto" w:fill="E7E6E6"/>
            <w:vAlign w:val="center"/>
          </w:tcPr>
          <w:p w14:paraId="69491C9B" w14:textId="4BE58EA4"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NH</w:t>
            </w:r>
          </w:p>
        </w:tc>
        <w:tc>
          <w:tcPr>
            <w:tcW w:w="1530" w:type="dxa"/>
            <w:tcBorders>
              <w:top w:val="single" w:sz="12" w:space="0" w:color="404040" w:themeColor="text1" w:themeTint="BF"/>
              <w:left w:val="nil"/>
              <w:bottom w:val="nil"/>
              <w:right w:val="nil"/>
            </w:tcBorders>
            <w:shd w:val="clear" w:color="auto" w:fill="E7E6E6"/>
            <w:vAlign w:val="center"/>
          </w:tcPr>
          <w:p w14:paraId="77E11BCF" w14:textId="462EC936"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24.4</w:t>
            </w:r>
          </w:p>
        </w:tc>
        <w:tc>
          <w:tcPr>
            <w:tcW w:w="1575" w:type="dxa"/>
            <w:tcBorders>
              <w:top w:val="single" w:sz="12" w:space="0" w:color="404040" w:themeColor="text1" w:themeTint="BF"/>
              <w:left w:val="nil"/>
              <w:bottom w:val="nil"/>
              <w:right w:val="nil"/>
            </w:tcBorders>
            <w:shd w:val="clear" w:color="auto" w:fill="E7E6E6"/>
            <w:vAlign w:val="center"/>
          </w:tcPr>
          <w:p w14:paraId="78700C7E" w14:textId="431F0098"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26.1</w:t>
            </w:r>
          </w:p>
        </w:tc>
        <w:tc>
          <w:tcPr>
            <w:tcW w:w="1665" w:type="dxa"/>
            <w:tcBorders>
              <w:top w:val="single" w:sz="12" w:space="0" w:color="404040" w:themeColor="text1" w:themeTint="BF"/>
              <w:left w:val="nil"/>
              <w:bottom w:val="nil"/>
              <w:right w:val="nil"/>
            </w:tcBorders>
            <w:shd w:val="clear" w:color="auto" w:fill="E7E6E6"/>
            <w:vAlign w:val="center"/>
          </w:tcPr>
          <w:p w14:paraId="2E09D371" w14:textId="07580373" w:rsidR="7D79BFBF" w:rsidRPr="00C64BA4" w:rsidRDefault="192F52F6" w:rsidP="00206C45">
            <w:pPr>
              <w:spacing w:after="0" w:line="300" w:lineRule="auto"/>
              <w:jc w:val="center"/>
              <w:rPr>
                <w:rFonts w:eastAsia="Tw Cen MT" w:cs="Tw Cen MT"/>
                <w:color w:val="000000" w:themeColor="text1"/>
              </w:rPr>
            </w:pPr>
            <w:r w:rsidRPr="00C64BA4">
              <w:rPr>
                <w:rFonts w:eastAsia="Tw Cen MT" w:cs="Tw Cen MT"/>
                <w:color w:val="000000" w:themeColor="text1"/>
              </w:rPr>
              <w:t>7%</w:t>
            </w:r>
          </w:p>
        </w:tc>
      </w:tr>
      <w:tr w:rsidR="7D79BFBF" w:rsidRPr="00C64BA4" w14:paraId="4F65C802" w14:textId="77777777" w:rsidTr="192F52F6">
        <w:trPr>
          <w:trHeight w:val="75"/>
        </w:trPr>
        <w:tc>
          <w:tcPr>
            <w:tcW w:w="6150" w:type="dxa"/>
            <w:gridSpan w:val="4"/>
            <w:tcBorders>
              <w:top w:val="nil"/>
              <w:left w:val="nil"/>
              <w:bottom w:val="nil"/>
              <w:right w:val="nil"/>
            </w:tcBorders>
            <w:vAlign w:val="center"/>
          </w:tcPr>
          <w:p w14:paraId="6BEFEBAB" w14:textId="24A09FC3" w:rsidR="7D79BFBF" w:rsidRPr="00C64BA4" w:rsidRDefault="192F52F6" w:rsidP="00206C45">
            <w:pPr>
              <w:spacing w:after="0"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5-Year American Community Survey</w:t>
            </w:r>
          </w:p>
        </w:tc>
      </w:tr>
      <w:tr w:rsidR="7D79BFBF" w:rsidRPr="00C64BA4" w14:paraId="4AB911C5" w14:textId="77777777" w:rsidTr="192F52F6">
        <w:trPr>
          <w:trHeight w:val="75"/>
        </w:trPr>
        <w:tc>
          <w:tcPr>
            <w:tcW w:w="6150" w:type="dxa"/>
            <w:gridSpan w:val="4"/>
            <w:tcBorders>
              <w:top w:val="nil"/>
              <w:left w:val="nil"/>
              <w:bottom w:val="nil"/>
              <w:right w:val="nil"/>
            </w:tcBorders>
            <w:vAlign w:val="center"/>
          </w:tcPr>
          <w:p w14:paraId="1B3227DE" w14:textId="286F19BF" w:rsidR="7D79BFBF" w:rsidRPr="00C64BA4" w:rsidRDefault="192F52F6" w:rsidP="00206C45">
            <w:pPr>
              <w:spacing w:after="0" w:line="300" w:lineRule="auto"/>
              <w:jc w:val="right"/>
              <w:rPr>
                <w:rFonts w:eastAsia="Tw Cen MT" w:cs="Tw Cen MT"/>
                <w:color w:val="000000" w:themeColor="text1"/>
                <w:sz w:val="20"/>
                <w:szCs w:val="20"/>
              </w:rPr>
            </w:pPr>
            <w:r w:rsidRPr="00C64BA4">
              <w:rPr>
                <w:rFonts w:eastAsia="Tw Cen MT" w:cs="Tw Cen MT"/>
                <w:color w:val="000000" w:themeColor="text1"/>
                <w:sz w:val="20"/>
                <w:szCs w:val="20"/>
              </w:rPr>
              <w:t>Source: US Census Bureau</w:t>
            </w:r>
          </w:p>
          <w:p w14:paraId="7D3F4B1B" w14:textId="24DB11E6" w:rsidR="7D79BFBF" w:rsidRPr="00C64BA4" w:rsidRDefault="7D79BFBF" w:rsidP="00206C45">
            <w:pPr>
              <w:spacing w:after="0" w:line="300" w:lineRule="auto"/>
              <w:rPr>
                <w:rFonts w:eastAsia="Tw Cen MT" w:cs="Tw Cen MT"/>
                <w:color w:val="000000" w:themeColor="text1"/>
                <w:sz w:val="20"/>
                <w:szCs w:val="20"/>
              </w:rPr>
            </w:pPr>
          </w:p>
        </w:tc>
      </w:tr>
    </w:tbl>
    <w:p w14:paraId="23D1445A" w14:textId="45BC0C1D" w:rsidR="463F99FC" w:rsidRPr="00C64BA4" w:rsidRDefault="2CB7C91E" w:rsidP="00206C45">
      <w:pPr>
        <w:pStyle w:val="Heading3"/>
        <w:spacing w:line="300" w:lineRule="auto"/>
      </w:pPr>
      <w:bookmarkStart w:id="243" w:name="_Toc128137995"/>
      <w:r w:rsidRPr="00C64BA4">
        <w:t>Availability of Bicycle/Pedestrian Infrastructure</w:t>
      </w:r>
      <w:bookmarkEnd w:id="243"/>
    </w:p>
    <w:p w14:paraId="5B680EAA" w14:textId="2676F199" w:rsidR="6AA873C9" w:rsidRPr="00C64BA4" w:rsidRDefault="192F52F6" w:rsidP="00206C45">
      <w:pPr>
        <w:tabs>
          <w:tab w:val="left" w:pos="1956"/>
        </w:tabs>
        <w:spacing w:line="300" w:lineRule="auto"/>
        <w:jc w:val="both"/>
      </w:pPr>
      <w:r w:rsidRPr="00C64BA4">
        <w:t>Existing dedicated bicycle and pedestrian facilities within the region include:</w:t>
      </w:r>
      <w:r w:rsidR="00FC7B67">
        <w:rPr>
          <w:rStyle w:val="FootnoteReference"/>
        </w:rPr>
        <w:footnoteReference w:id="60"/>
      </w:r>
    </w:p>
    <w:p w14:paraId="6DC8B948" w14:textId="1046607F" w:rsidR="6AA873C9" w:rsidRPr="00C64BA4" w:rsidRDefault="192F52F6" w:rsidP="00206C45">
      <w:pPr>
        <w:pStyle w:val="ListParagraph"/>
        <w:numPr>
          <w:ilvl w:val="0"/>
          <w:numId w:val="3"/>
        </w:numPr>
        <w:tabs>
          <w:tab w:val="left" w:pos="1956"/>
        </w:tabs>
        <w:spacing w:line="300" w:lineRule="auto"/>
        <w:jc w:val="both"/>
      </w:pPr>
      <w:r w:rsidRPr="00C64BA4">
        <w:t>Goffstown Rail Trail</w:t>
      </w:r>
    </w:p>
    <w:p w14:paraId="6EB1F1E4" w14:textId="22D7D538" w:rsidR="6AA873C9" w:rsidRPr="00C64BA4" w:rsidRDefault="192F52F6" w:rsidP="00206C45">
      <w:pPr>
        <w:pStyle w:val="ListParagraph"/>
        <w:numPr>
          <w:ilvl w:val="0"/>
          <w:numId w:val="3"/>
        </w:numPr>
        <w:tabs>
          <w:tab w:val="left" w:pos="1956"/>
        </w:tabs>
        <w:spacing w:line="300" w:lineRule="auto"/>
        <w:jc w:val="both"/>
      </w:pPr>
      <w:r w:rsidRPr="00C64BA4">
        <w:t>Granite State Rail Trail (in Derry, Londonderry, Windham)</w:t>
      </w:r>
    </w:p>
    <w:p w14:paraId="164E3FA2" w14:textId="59D443E3" w:rsidR="6AA873C9" w:rsidRPr="00C64BA4" w:rsidRDefault="192F52F6" w:rsidP="00206C45">
      <w:pPr>
        <w:pStyle w:val="ListParagraph"/>
        <w:numPr>
          <w:ilvl w:val="0"/>
          <w:numId w:val="3"/>
        </w:numPr>
        <w:tabs>
          <w:tab w:val="left" w:pos="1956"/>
        </w:tabs>
        <w:spacing w:line="300" w:lineRule="auto"/>
        <w:jc w:val="both"/>
      </w:pPr>
      <w:proofErr w:type="spellStart"/>
      <w:r w:rsidRPr="00C64BA4">
        <w:t>Piscataquog</w:t>
      </w:r>
      <w:proofErr w:type="spellEnd"/>
      <w:r w:rsidRPr="00C64BA4">
        <w:t xml:space="preserve"> Rail Trail which connects the Goffstown Rail Trail at the Manchester town line to downtown Manchester (this trail includes the Friends Across the Merrimack River Bridge and a bridge constructed over Kelly Falls Dam)</w:t>
      </w:r>
    </w:p>
    <w:p w14:paraId="24ACABEC" w14:textId="4C2B48C7" w:rsidR="6AA873C9" w:rsidRPr="00C64BA4" w:rsidRDefault="192F52F6" w:rsidP="00206C45">
      <w:pPr>
        <w:pStyle w:val="ListParagraph"/>
        <w:numPr>
          <w:ilvl w:val="0"/>
          <w:numId w:val="3"/>
        </w:numPr>
        <w:tabs>
          <w:tab w:val="left" w:pos="1956"/>
        </w:tabs>
        <w:spacing w:line="300" w:lineRule="auto"/>
        <w:jc w:val="both"/>
      </w:pPr>
      <w:r w:rsidRPr="00C64BA4">
        <w:t>Rockingham Rail Trail Portsmouth Branch (in Auburn, Candia, and Manchester)</w:t>
      </w:r>
    </w:p>
    <w:p w14:paraId="6322B8B4" w14:textId="10EF926A" w:rsidR="6AA873C9" w:rsidRPr="00C64BA4" w:rsidRDefault="192F52F6" w:rsidP="00206C45">
      <w:pPr>
        <w:pStyle w:val="ListParagraph"/>
        <w:numPr>
          <w:ilvl w:val="0"/>
          <w:numId w:val="3"/>
        </w:numPr>
        <w:tabs>
          <w:tab w:val="left" w:pos="1956"/>
        </w:tabs>
        <w:spacing w:line="300" w:lineRule="auto"/>
        <w:jc w:val="both"/>
      </w:pPr>
      <w:r w:rsidRPr="00C64BA4">
        <w:t>Rockingham Rail Trail Fremont Branch (in Derry and Windham)</w:t>
      </w:r>
    </w:p>
    <w:p w14:paraId="1D49BBC1" w14:textId="7610A793" w:rsidR="6AA873C9" w:rsidRPr="00C64BA4" w:rsidRDefault="192F52F6" w:rsidP="00206C45">
      <w:pPr>
        <w:pStyle w:val="ListParagraph"/>
        <w:numPr>
          <w:ilvl w:val="0"/>
          <w:numId w:val="3"/>
        </w:numPr>
        <w:tabs>
          <w:tab w:val="left" w:pos="1956"/>
        </w:tabs>
        <w:spacing w:line="300" w:lineRule="auto"/>
        <w:jc w:val="both"/>
      </w:pPr>
      <w:r w:rsidRPr="00C64BA4">
        <w:t>New Boston Rail Trail</w:t>
      </w:r>
    </w:p>
    <w:p w14:paraId="6FDF458A" w14:textId="05E01CBA" w:rsidR="6AA873C9" w:rsidRPr="00C64BA4" w:rsidRDefault="192F52F6" w:rsidP="00206C45">
      <w:pPr>
        <w:tabs>
          <w:tab w:val="left" w:pos="1956"/>
        </w:tabs>
        <w:spacing w:line="300" w:lineRule="auto"/>
        <w:jc w:val="both"/>
      </w:pPr>
      <w:r w:rsidRPr="00C64BA4">
        <w:lastRenderedPageBreak/>
        <w:t>For transportation purposes, the availability of sidewalks and on-street bicycle infrastructure must also be taken into consideration. According to Walkscore.com, most of the SNHPC region is car dependent, meaning that most errands require a car.</w:t>
      </w:r>
    </w:p>
    <w:p w14:paraId="0F398EA3" w14:textId="77777777" w:rsidR="00631058" w:rsidRPr="00C64BA4" w:rsidRDefault="00631058" w:rsidP="00206C45">
      <w:pPr>
        <w:spacing w:line="300" w:lineRule="auto"/>
      </w:pPr>
      <w:r w:rsidRPr="00C64BA4">
        <w:br w:type="page"/>
      </w:r>
    </w:p>
    <w:p w14:paraId="3637A8A6" w14:textId="5E5F4B86" w:rsidR="00E91543" w:rsidRDefault="00E91543" w:rsidP="00206C45">
      <w:pPr>
        <w:pStyle w:val="Caption"/>
        <w:keepNext/>
        <w:spacing w:line="300" w:lineRule="auto"/>
      </w:pPr>
      <w:bookmarkStart w:id="244" w:name="_Toc128137928"/>
      <w:r>
        <w:lastRenderedPageBreak/>
        <w:t xml:space="preserve">Table </w:t>
      </w:r>
      <w:r w:rsidR="0062538A">
        <w:fldChar w:fldCharType="begin"/>
      </w:r>
      <w:r w:rsidR="0062538A">
        <w:instrText xml:space="preserve"> SEQ Table \* ARABIC </w:instrText>
      </w:r>
      <w:r w:rsidR="0062538A">
        <w:fldChar w:fldCharType="separate"/>
      </w:r>
      <w:r w:rsidR="008B512A">
        <w:rPr>
          <w:noProof/>
        </w:rPr>
        <w:t>37</w:t>
      </w:r>
      <w:r w:rsidR="0062538A">
        <w:rPr>
          <w:noProof/>
        </w:rPr>
        <w:fldChar w:fldCharType="end"/>
      </w:r>
      <w:r>
        <w:t>: Walk and Bike Scores by Municipality</w:t>
      </w:r>
      <w:bookmarkEnd w:id="244"/>
    </w:p>
    <w:tbl>
      <w:tblPr>
        <w:tblW w:w="7780" w:type="dxa"/>
        <w:tblInd w:w="108" w:type="dxa"/>
        <w:tblLook w:val="04A0" w:firstRow="1" w:lastRow="0" w:firstColumn="1" w:lastColumn="0" w:noHBand="0" w:noVBand="1"/>
      </w:tblPr>
      <w:tblGrid>
        <w:gridCol w:w="1720"/>
        <w:gridCol w:w="960"/>
        <w:gridCol w:w="2180"/>
        <w:gridCol w:w="960"/>
        <w:gridCol w:w="1960"/>
      </w:tblGrid>
      <w:tr w:rsidR="00631058" w:rsidRPr="00C64BA4" w14:paraId="48327C52" w14:textId="77777777" w:rsidTr="00631058">
        <w:trPr>
          <w:trHeight w:val="285"/>
        </w:trPr>
        <w:tc>
          <w:tcPr>
            <w:tcW w:w="1720" w:type="dxa"/>
            <w:tcBorders>
              <w:top w:val="nil"/>
              <w:left w:val="nil"/>
              <w:bottom w:val="single" w:sz="4" w:space="0" w:color="auto"/>
              <w:right w:val="nil"/>
            </w:tcBorders>
            <w:shd w:val="clear" w:color="auto" w:fill="auto"/>
            <w:vAlign w:val="center"/>
            <w:hideMark/>
          </w:tcPr>
          <w:p w14:paraId="122E671C" w14:textId="77777777" w:rsidR="00631058" w:rsidRPr="00C64BA4" w:rsidRDefault="00631058" w:rsidP="00206C45">
            <w:pPr>
              <w:spacing w:after="0" w:line="300" w:lineRule="auto"/>
              <w:jc w:val="center"/>
              <w:rPr>
                <w:rFonts w:eastAsia="Times New Roman" w:cs="Calibri"/>
                <w:b/>
                <w:bCs/>
                <w:color w:val="595959"/>
              </w:rPr>
            </w:pPr>
            <w:r w:rsidRPr="00C64BA4">
              <w:rPr>
                <w:rFonts w:eastAsia="Times New Roman" w:cs="Calibri"/>
                <w:b/>
                <w:bCs/>
                <w:color w:val="595959"/>
              </w:rPr>
              <w:t>Municipality</w:t>
            </w:r>
          </w:p>
        </w:tc>
        <w:tc>
          <w:tcPr>
            <w:tcW w:w="3140" w:type="dxa"/>
            <w:gridSpan w:val="2"/>
            <w:tcBorders>
              <w:top w:val="nil"/>
              <w:left w:val="single" w:sz="4" w:space="0" w:color="auto"/>
              <w:bottom w:val="single" w:sz="4" w:space="0" w:color="auto"/>
              <w:right w:val="nil"/>
            </w:tcBorders>
            <w:shd w:val="clear" w:color="auto" w:fill="auto"/>
            <w:vAlign w:val="center"/>
            <w:hideMark/>
          </w:tcPr>
          <w:p w14:paraId="1936555F" w14:textId="77777777" w:rsidR="00631058" w:rsidRPr="00C64BA4" w:rsidRDefault="00631058" w:rsidP="00206C45">
            <w:pPr>
              <w:spacing w:after="0" w:line="300" w:lineRule="auto"/>
              <w:jc w:val="center"/>
              <w:rPr>
                <w:rFonts w:eastAsia="Times New Roman" w:cs="Calibri"/>
                <w:b/>
                <w:bCs/>
                <w:color w:val="595959"/>
              </w:rPr>
            </w:pPr>
            <w:r w:rsidRPr="00C64BA4">
              <w:rPr>
                <w:rFonts w:eastAsia="Times New Roman" w:cs="Calibri"/>
                <w:b/>
                <w:bCs/>
                <w:color w:val="595959"/>
              </w:rPr>
              <w:t>Walk Score (out of 100)</w:t>
            </w:r>
          </w:p>
        </w:tc>
        <w:tc>
          <w:tcPr>
            <w:tcW w:w="2920" w:type="dxa"/>
            <w:gridSpan w:val="2"/>
            <w:tcBorders>
              <w:top w:val="nil"/>
              <w:left w:val="single" w:sz="4" w:space="0" w:color="auto"/>
              <w:bottom w:val="single" w:sz="4" w:space="0" w:color="auto"/>
              <w:right w:val="nil"/>
            </w:tcBorders>
            <w:shd w:val="clear" w:color="auto" w:fill="auto"/>
            <w:vAlign w:val="center"/>
            <w:hideMark/>
          </w:tcPr>
          <w:p w14:paraId="5475D9D4" w14:textId="2E21CAEC" w:rsidR="00631058" w:rsidRPr="00C64BA4" w:rsidRDefault="00631058" w:rsidP="00206C45">
            <w:pPr>
              <w:spacing w:after="0" w:line="300" w:lineRule="auto"/>
              <w:jc w:val="center"/>
              <w:rPr>
                <w:rFonts w:eastAsia="Times New Roman" w:cs="Calibri"/>
                <w:b/>
                <w:bCs/>
                <w:color w:val="595959"/>
              </w:rPr>
            </w:pPr>
            <w:r w:rsidRPr="00C64BA4">
              <w:rPr>
                <w:rFonts w:eastAsia="Times New Roman" w:cs="Calibri"/>
                <w:b/>
                <w:bCs/>
                <w:color w:val="595959"/>
              </w:rPr>
              <w:t>Bike Score (out of 100)</w:t>
            </w:r>
          </w:p>
        </w:tc>
      </w:tr>
      <w:tr w:rsidR="00631058" w:rsidRPr="00C64BA4" w14:paraId="1023932F" w14:textId="77777777" w:rsidTr="00631058">
        <w:trPr>
          <w:trHeight w:val="570"/>
        </w:trPr>
        <w:tc>
          <w:tcPr>
            <w:tcW w:w="1720" w:type="dxa"/>
            <w:tcBorders>
              <w:top w:val="nil"/>
              <w:left w:val="nil"/>
              <w:bottom w:val="nil"/>
              <w:right w:val="nil"/>
            </w:tcBorders>
            <w:shd w:val="clear" w:color="auto" w:fill="auto"/>
            <w:vAlign w:val="center"/>
            <w:hideMark/>
          </w:tcPr>
          <w:p w14:paraId="53D83B9E"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Auburn</w:t>
            </w:r>
          </w:p>
        </w:tc>
        <w:tc>
          <w:tcPr>
            <w:tcW w:w="960" w:type="dxa"/>
            <w:tcBorders>
              <w:top w:val="nil"/>
              <w:left w:val="single" w:sz="4" w:space="0" w:color="auto"/>
              <w:bottom w:val="nil"/>
              <w:right w:val="nil"/>
            </w:tcBorders>
            <w:shd w:val="clear" w:color="auto" w:fill="auto"/>
            <w:vAlign w:val="center"/>
            <w:hideMark/>
          </w:tcPr>
          <w:p w14:paraId="2973F078"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28</w:t>
            </w:r>
          </w:p>
        </w:tc>
        <w:tc>
          <w:tcPr>
            <w:tcW w:w="2180" w:type="dxa"/>
            <w:tcBorders>
              <w:top w:val="nil"/>
              <w:left w:val="nil"/>
              <w:bottom w:val="nil"/>
              <w:right w:val="nil"/>
            </w:tcBorders>
            <w:shd w:val="clear" w:color="auto" w:fill="auto"/>
            <w:vAlign w:val="center"/>
            <w:hideMark/>
          </w:tcPr>
          <w:p w14:paraId="5FDCFDCA"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(Most errands require a car) </w:t>
            </w:r>
          </w:p>
        </w:tc>
        <w:tc>
          <w:tcPr>
            <w:tcW w:w="2920" w:type="dxa"/>
            <w:gridSpan w:val="2"/>
            <w:tcBorders>
              <w:top w:val="nil"/>
              <w:left w:val="single" w:sz="4" w:space="0" w:color="auto"/>
              <w:bottom w:val="nil"/>
              <w:right w:val="nil"/>
            </w:tcBorders>
            <w:shd w:val="clear" w:color="auto" w:fill="auto"/>
            <w:vAlign w:val="center"/>
            <w:hideMark/>
          </w:tcPr>
          <w:p w14:paraId="3C011230"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n/a</w:t>
            </w:r>
          </w:p>
        </w:tc>
      </w:tr>
      <w:tr w:rsidR="00631058" w:rsidRPr="00C64BA4" w14:paraId="543727B9" w14:textId="77777777" w:rsidTr="00631058">
        <w:trPr>
          <w:trHeight w:val="855"/>
        </w:trPr>
        <w:tc>
          <w:tcPr>
            <w:tcW w:w="1720" w:type="dxa"/>
            <w:tcBorders>
              <w:top w:val="single" w:sz="4" w:space="0" w:color="auto"/>
              <w:left w:val="nil"/>
              <w:bottom w:val="single" w:sz="4" w:space="0" w:color="auto"/>
              <w:right w:val="nil"/>
            </w:tcBorders>
            <w:shd w:val="clear" w:color="000000" w:fill="F2F2F2"/>
            <w:vAlign w:val="center"/>
            <w:hideMark/>
          </w:tcPr>
          <w:p w14:paraId="3FD21A16"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Bedford</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7A3F97AE"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24</w:t>
            </w:r>
          </w:p>
        </w:tc>
        <w:tc>
          <w:tcPr>
            <w:tcW w:w="2180" w:type="dxa"/>
            <w:tcBorders>
              <w:top w:val="single" w:sz="4" w:space="0" w:color="auto"/>
              <w:left w:val="nil"/>
              <w:bottom w:val="single" w:sz="4" w:space="0" w:color="auto"/>
              <w:right w:val="nil"/>
            </w:tcBorders>
            <w:shd w:val="clear" w:color="000000" w:fill="F2F2F2"/>
            <w:vAlign w:val="center"/>
            <w:hideMark/>
          </w:tcPr>
          <w:p w14:paraId="74AAD84E"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(Almost all errands require a car) </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59393054"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7</w:t>
            </w:r>
          </w:p>
        </w:tc>
        <w:tc>
          <w:tcPr>
            <w:tcW w:w="1960" w:type="dxa"/>
            <w:tcBorders>
              <w:top w:val="single" w:sz="4" w:space="0" w:color="auto"/>
              <w:left w:val="nil"/>
              <w:bottom w:val="single" w:sz="4" w:space="0" w:color="auto"/>
              <w:right w:val="nil"/>
            </w:tcBorders>
            <w:shd w:val="clear" w:color="000000" w:fill="F2F2F2"/>
            <w:vAlign w:val="center"/>
            <w:hideMark/>
          </w:tcPr>
          <w:p w14:paraId="01FFFA6F"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136AB50C" w14:textId="77777777" w:rsidTr="00631058">
        <w:trPr>
          <w:trHeight w:val="855"/>
        </w:trPr>
        <w:tc>
          <w:tcPr>
            <w:tcW w:w="1720" w:type="dxa"/>
            <w:tcBorders>
              <w:top w:val="nil"/>
              <w:left w:val="nil"/>
              <w:bottom w:val="nil"/>
              <w:right w:val="nil"/>
            </w:tcBorders>
            <w:shd w:val="clear" w:color="auto" w:fill="auto"/>
            <w:vAlign w:val="center"/>
            <w:hideMark/>
          </w:tcPr>
          <w:p w14:paraId="62FBD546"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Candia</w:t>
            </w:r>
          </w:p>
        </w:tc>
        <w:tc>
          <w:tcPr>
            <w:tcW w:w="960" w:type="dxa"/>
            <w:tcBorders>
              <w:top w:val="nil"/>
              <w:left w:val="single" w:sz="4" w:space="0" w:color="auto"/>
              <w:bottom w:val="nil"/>
              <w:right w:val="nil"/>
            </w:tcBorders>
            <w:shd w:val="clear" w:color="auto" w:fill="auto"/>
            <w:vAlign w:val="center"/>
            <w:hideMark/>
          </w:tcPr>
          <w:p w14:paraId="7231D2F1"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35</w:t>
            </w:r>
          </w:p>
        </w:tc>
        <w:tc>
          <w:tcPr>
            <w:tcW w:w="2180" w:type="dxa"/>
            <w:tcBorders>
              <w:top w:val="nil"/>
              <w:left w:val="nil"/>
              <w:bottom w:val="nil"/>
              <w:right w:val="nil"/>
            </w:tcBorders>
            <w:shd w:val="clear" w:color="auto" w:fill="auto"/>
            <w:vAlign w:val="center"/>
            <w:hideMark/>
          </w:tcPr>
          <w:p w14:paraId="7C7652B2"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(Most errands require a car) </w:t>
            </w:r>
          </w:p>
        </w:tc>
        <w:tc>
          <w:tcPr>
            <w:tcW w:w="960" w:type="dxa"/>
            <w:tcBorders>
              <w:top w:val="nil"/>
              <w:left w:val="single" w:sz="4" w:space="0" w:color="auto"/>
              <w:bottom w:val="nil"/>
              <w:right w:val="nil"/>
            </w:tcBorders>
            <w:shd w:val="clear" w:color="auto" w:fill="auto"/>
            <w:vAlign w:val="center"/>
            <w:hideMark/>
          </w:tcPr>
          <w:p w14:paraId="624F6D46"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35</w:t>
            </w:r>
          </w:p>
        </w:tc>
        <w:tc>
          <w:tcPr>
            <w:tcW w:w="1960" w:type="dxa"/>
            <w:tcBorders>
              <w:top w:val="nil"/>
              <w:left w:val="nil"/>
              <w:bottom w:val="nil"/>
              <w:right w:val="nil"/>
            </w:tcBorders>
            <w:shd w:val="clear" w:color="auto" w:fill="auto"/>
            <w:vAlign w:val="center"/>
            <w:hideMark/>
          </w:tcPr>
          <w:p w14:paraId="1C2004F4"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201A9CD8" w14:textId="77777777" w:rsidTr="00631058">
        <w:trPr>
          <w:trHeight w:val="855"/>
        </w:trPr>
        <w:tc>
          <w:tcPr>
            <w:tcW w:w="1720" w:type="dxa"/>
            <w:tcBorders>
              <w:top w:val="single" w:sz="4" w:space="0" w:color="auto"/>
              <w:left w:val="nil"/>
              <w:bottom w:val="single" w:sz="4" w:space="0" w:color="auto"/>
              <w:right w:val="nil"/>
            </w:tcBorders>
            <w:shd w:val="clear" w:color="000000" w:fill="F2F2F2"/>
            <w:vAlign w:val="center"/>
            <w:hideMark/>
          </w:tcPr>
          <w:p w14:paraId="7FB04DDE"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Chester</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29A84CEA"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36</w:t>
            </w:r>
          </w:p>
        </w:tc>
        <w:tc>
          <w:tcPr>
            <w:tcW w:w="2180" w:type="dxa"/>
            <w:tcBorders>
              <w:top w:val="single" w:sz="4" w:space="0" w:color="auto"/>
              <w:left w:val="nil"/>
              <w:bottom w:val="single" w:sz="4" w:space="0" w:color="auto"/>
              <w:right w:val="nil"/>
            </w:tcBorders>
            <w:shd w:val="clear" w:color="000000" w:fill="F2F2F2"/>
            <w:vAlign w:val="center"/>
            <w:hideMark/>
          </w:tcPr>
          <w:p w14:paraId="389B6BE0"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(Most errands require a car) </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3D863310"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22</w:t>
            </w:r>
          </w:p>
        </w:tc>
        <w:tc>
          <w:tcPr>
            <w:tcW w:w="1960" w:type="dxa"/>
            <w:tcBorders>
              <w:top w:val="single" w:sz="4" w:space="0" w:color="auto"/>
              <w:left w:val="nil"/>
              <w:bottom w:val="single" w:sz="4" w:space="0" w:color="auto"/>
              <w:right w:val="nil"/>
            </w:tcBorders>
            <w:shd w:val="clear" w:color="000000" w:fill="F2F2F2"/>
            <w:vAlign w:val="center"/>
            <w:hideMark/>
          </w:tcPr>
          <w:p w14:paraId="6061B99D"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6A64C33F" w14:textId="77777777" w:rsidTr="00631058">
        <w:trPr>
          <w:trHeight w:val="855"/>
        </w:trPr>
        <w:tc>
          <w:tcPr>
            <w:tcW w:w="1720" w:type="dxa"/>
            <w:tcBorders>
              <w:top w:val="nil"/>
              <w:left w:val="nil"/>
              <w:bottom w:val="nil"/>
              <w:right w:val="nil"/>
            </w:tcBorders>
            <w:shd w:val="clear" w:color="auto" w:fill="auto"/>
            <w:vAlign w:val="center"/>
            <w:hideMark/>
          </w:tcPr>
          <w:p w14:paraId="37FFD805"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Deerfield</w:t>
            </w:r>
          </w:p>
        </w:tc>
        <w:tc>
          <w:tcPr>
            <w:tcW w:w="960" w:type="dxa"/>
            <w:tcBorders>
              <w:top w:val="nil"/>
              <w:left w:val="single" w:sz="4" w:space="0" w:color="auto"/>
              <w:bottom w:val="nil"/>
              <w:right w:val="nil"/>
            </w:tcBorders>
            <w:shd w:val="clear" w:color="auto" w:fill="auto"/>
            <w:vAlign w:val="center"/>
            <w:hideMark/>
          </w:tcPr>
          <w:p w14:paraId="6D0F1194"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1</w:t>
            </w:r>
          </w:p>
        </w:tc>
        <w:tc>
          <w:tcPr>
            <w:tcW w:w="2180" w:type="dxa"/>
            <w:tcBorders>
              <w:top w:val="nil"/>
              <w:left w:val="nil"/>
              <w:bottom w:val="nil"/>
              <w:right w:val="nil"/>
            </w:tcBorders>
            <w:shd w:val="clear" w:color="auto" w:fill="auto"/>
            <w:vAlign w:val="center"/>
            <w:hideMark/>
          </w:tcPr>
          <w:p w14:paraId="76224BD4"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(Almost all errands require a car) </w:t>
            </w:r>
          </w:p>
        </w:tc>
        <w:tc>
          <w:tcPr>
            <w:tcW w:w="960" w:type="dxa"/>
            <w:tcBorders>
              <w:top w:val="nil"/>
              <w:left w:val="single" w:sz="4" w:space="0" w:color="auto"/>
              <w:bottom w:val="nil"/>
              <w:right w:val="nil"/>
            </w:tcBorders>
            <w:shd w:val="clear" w:color="auto" w:fill="auto"/>
            <w:vAlign w:val="center"/>
            <w:hideMark/>
          </w:tcPr>
          <w:p w14:paraId="1CC407F8"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23</w:t>
            </w:r>
          </w:p>
        </w:tc>
        <w:tc>
          <w:tcPr>
            <w:tcW w:w="1960" w:type="dxa"/>
            <w:tcBorders>
              <w:top w:val="nil"/>
              <w:left w:val="nil"/>
              <w:bottom w:val="nil"/>
              <w:right w:val="nil"/>
            </w:tcBorders>
            <w:shd w:val="clear" w:color="auto" w:fill="auto"/>
            <w:vAlign w:val="center"/>
            <w:hideMark/>
          </w:tcPr>
          <w:p w14:paraId="277263A0"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358D3A75" w14:textId="77777777" w:rsidTr="00631058">
        <w:trPr>
          <w:trHeight w:val="855"/>
        </w:trPr>
        <w:tc>
          <w:tcPr>
            <w:tcW w:w="1720" w:type="dxa"/>
            <w:tcBorders>
              <w:top w:val="single" w:sz="4" w:space="0" w:color="auto"/>
              <w:left w:val="nil"/>
              <w:bottom w:val="single" w:sz="4" w:space="0" w:color="auto"/>
              <w:right w:val="nil"/>
            </w:tcBorders>
            <w:shd w:val="clear" w:color="000000" w:fill="F2F2F2"/>
            <w:vAlign w:val="center"/>
            <w:hideMark/>
          </w:tcPr>
          <w:p w14:paraId="36A324B9"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Derry</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2BC4A912"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28</w:t>
            </w:r>
          </w:p>
        </w:tc>
        <w:tc>
          <w:tcPr>
            <w:tcW w:w="2180" w:type="dxa"/>
            <w:tcBorders>
              <w:top w:val="single" w:sz="4" w:space="0" w:color="auto"/>
              <w:left w:val="nil"/>
              <w:bottom w:val="single" w:sz="4" w:space="0" w:color="auto"/>
              <w:right w:val="nil"/>
            </w:tcBorders>
            <w:shd w:val="clear" w:color="000000" w:fill="F2F2F2"/>
            <w:vAlign w:val="center"/>
            <w:hideMark/>
          </w:tcPr>
          <w:p w14:paraId="3296E58A"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(Most errands require a car) </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61F0BC58"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35</w:t>
            </w:r>
          </w:p>
        </w:tc>
        <w:tc>
          <w:tcPr>
            <w:tcW w:w="1960" w:type="dxa"/>
            <w:tcBorders>
              <w:top w:val="single" w:sz="4" w:space="0" w:color="auto"/>
              <w:left w:val="nil"/>
              <w:bottom w:val="single" w:sz="4" w:space="0" w:color="auto"/>
              <w:right w:val="nil"/>
            </w:tcBorders>
            <w:shd w:val="clear" w:color="000000" w:fill="F2F2F2"/>
            <w:vAlign w:val="center"/>
            <w:hideMark/>
          </w:tcPr>
          <w:p w14:paraId="6B76544F"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4847451C" w14:textId="77777777" w:rsidTr="00631058">
        <w:trPr>
          <w:trHeight w:val="855"/>
        </w:trPr>
        <w:tc>
          <w:tcPr>
            <w:tcW w:w="1720" w:type="dxa"/>
            <w:tcBorders>
              <w:top w:val="nil"/>
              <w:left w:val="nil"/>
              <w:bottom w:val="nil"/>
              <w:right w:val="nil"/>
            </w:tcBorders>
            <w:shd w:val="clear" w:color="auto" w:fill="auto"/>
            <w:vAlign w:val="center"/>
            <w:hideMark/>
          </w:tcPr>
          <w:p w14:paraId="060879BE" w14:textId="77777777" w:rsidR="00631058" w:rsidRPr="00C64BA4" w:rsidRDefault="00631058" w:rsidP="00206C45">
            <w:pPr>
              <w:spacing w:after="0" w:line="300" w:lineRule="auto"/>
              <w:jc w:val="center"/>
              <w:rPr>
                <w:rFonts w:eastAsia="Times New Roman" w:cs="Calibri"/>
                <w:color w:val="000000"/>
              </w:rPr>
            </w:pPr>
            <w:proofErr w:type="spellStart"/>
            <w:r w:rsidRPr="00C64BA4">
              <w:rPr>
                <w:rFonts w:eastAsia="Times New Roman" w:cs="Calibri"/>
                <w:color w:val="000000"/>
              </w:rPr>
              <w:t>Francestown</w:t>
            </w:r>
            <w:proofErr w:type="spellEnd"/>
            <w:r w:rsidRPr="00C64BA4">
              <w:rPr>
                <w:rFonts w:eastAsia="Times New Roman" w:cs="Calibri"/>
                <w:color w:val="000000"/>
              </w:rPr>
              <w:t xml:space="preserve"> </w:t>
            </w:r>
          </w:p>
        </w:tc>
        <w:tc>
          <w:tcPr>
            <w:tcW w:w="960" w:type="dxa"/>
            <w:tcBorders>
              <w:top w:val="nil"/>
              <w:left w:val="single" w:sz="4" w:space="0" w:color="auto"/>
              <w:bottom w:val="nil"/>
              <w:right w:val="nil"/>
            </w:tcBorders>
            <w:shd w:val="clear" w:color="auto" w:fill="auto"/>
            <w:vAlign w:val="center"/>
            <w:hideMark/>
          </w:tcPr>
          <w:p w14:paraId="0E331C55"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4</w:t>
            </w:r>
          </w:p>
        </w:tc>
        <w:tc>
          <w:tcPr>
            <w:tcW w:w="2180" w:type="dxa"/>
            <w:tcBorders>
              <w:top w:val="nil"/>
              <w:left w:val="nil"/>
              <w:bottom w:val="nil"/>
              <w:right w:val="nil"/>
            </w:tcBorders>
            <w:shd w:val="clear" w:color="auto" w:fill="auto"/>
            <w:vAlign w:val="center"/>
            <w:hideMark/>
          </w:tcPr>
          <w:p w14:paraId="59D2A618"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(Almost all errands require a car) </w:t>
            </w:r>
          </w:p>
        </w:tc>
        <w:tc>
          <w:tcPr>
            <w:tcW w:w="2920" w:type="dxa"/>
            <w:gridSpan w:val="2"/>
            <w:tcBorders>
              <w:top w:val="nil"/>
              <w:left w:val="single" w:sz="4" w:space="0" w:color="auto"/>
              <w:bottom w:val="nil"/>
              <w:right w:val="nil"/>
            </w:tcBorders>
            <w:shd w:val="clear" w:color="auto" w:fill="auto"/>
            <w:vAlign w:val="center"/>
            <w:hideMark/>
          </w:tcPr>
          <w:p w14:paraId="013ACFEC"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n/a</w:t>
            </w:r>
          </w:p>
        </w:tc>
      </w:tr>
      <w:tr w:rsidR="00631058" w:rsidRPr="00C64BA4" w14:paraId="5BF4EB3C" w14:textId="77777777" w:rsidTr="00631058">
        <w:trPr>
          <w:trHeight w:val="855"/>
        </w:trPr>
        <w:tc>
          <w:tcPr>
            <w:tcW w:w="1720" w:type="dxa"/>
            <w:tcBorders>
              <w:top w:val="single" w:sz="4" w:space="0" w:color="auto"/>
              <w:left w:val="nil"/>
              <w:bottom w:val="single" w:sz="4" w:space="0" w:color="auto"/>
              <w:right w:val="nil"/>
            </w:tcBorders>
            <w:shd w:val="clear" w:color="000000" w:fill="F2F2F2"/>
            <w:vAlign w:val="center"/>
            <w:hideMark/>
          </w:tcPr>
          <w:p w14:paraId="71331BBC"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Goffstown</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50BBFB6C"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56</w:t>
            </w:r>
          </w:p>
        </w:tc>
        <w:tc>
          <w:tcPr>
            <w:tcW w:w="2180" w:type="dxa"/>
            <w:tcBorders>
              <w:top w:val="single" w:sz="4" w:space="0" w:color="auto"/>
              <w:left w:val="nil"/>
              <w:bottom w:val="single" w:sz="4" w:space="0" w:color="auto"/>
              <w:right w:val="nil"/>
            </w:tcBorders>
            <w:shd w:val="clear" w:color="000000" w:fill="F2F2F2"/>
            <w:vAlign w:val="center"/>
            <w:hideMark/>
          </w:tcPr>
          <w:p w14:paraId="56A94F73"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Walkable (Some errands can be accomplished on foot)</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3859DA3A"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42</w:t>
            </w:r>
          </w:p>
        </w:tc>
        <w:tc>
          <w:tcPr>
            <w:tcW w:w="1960" w:type="dxa"/>
            <w:tcBorders>
              <w:top w:val="single" w:sz="4" w:space="0" w:color="auto"/>
              <w:left w:val="nil"/>
              <w:bottom w:val="single" w:sz="4" w:space="0" w:color="auto"/>
              <w:right w:val="nil"/>
            </w:tcBorders>
            <w:shd w:val="clear" w:color="000000" w:fill="F2F2F2"/>
            <w:vAlign w:val="center"/>
            <w:hideMark/>
          </w:tcPr>
          <w:p w14:paraId="6A15A8AD"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5DFC3248" w14:textId="77777777" w:rsidTr="00631058">
        <w:trPr>
          <w:trHeight w:val="855"/>
        </w:trPr>
        <w:tc>
          <w:tcPr>
            <w:tcW w:w="1720" w:type="dxa"/>
            <w:tcBorders>
              <w:top w:val="nil"/>
              <w:left w:val="nil"/>
              <w:bottom w:val="nil"/>
              <w:right w:val="nil"/>
            </w:tcBorders>
            <w:shd w:val="clear" w:color="auto" w:fill="auto"/>
            <w:vAlign w:val="center"/>
            <w:hideMark/>
          </w:tcPr>
          <w:p w14:paraId="5DF13656"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Hooksett</w:t>
            </w:r>
          </w:p>
        </w:tc>
        <w:tc>
          <w:tcPr>
            <w:tcW w:w="960" w:type="dxa"/>
            <w:tcBorders>
              <w:top w:val="nil"/>
              <w:left w:val="single" w:sz="4" w:space="0" w:color="auto"/>
              <w:bottom w:val="nil"/>
              <w:right w:val="nil"/>
            </w:tcBorders>
            <w:shd w:val="clear" w:color="auto" w:fill="auto"/>
            <w:vAlign w:val="center"/>
            <w:hideMark/>
          </w:tcPr>
          <w:p w14:paraId="09BE5D68"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17</w:t>
            </w:r>
          </w:p>
        </w:tc>
        <w:tc>
          <w:tcPr>
            <w:tcW w:w="2180" w:type="dxa"/>
            <w:tcBorders>
              <w:top w:val="nil"/>
              <w:left w:val="nil"/>
              <w:bottom w:val="nil"/>
              <w:right w:val="nil"/>
            </w:tcBorders>
            <w:shd w:val="clear" w:color="auto" w:fill="auto"/>
            <w:vAlign w:val="center"/>
            <w:hideMark/>
          </w:tcPr>
          <w:p w14:paraId="6712224A"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(Almost all errands require a car) </w:t>
            </w:r>
          </w:p>
        </w:tc>
        <w:tc>
          <w:tcPr>
            <w:tcW w:w="960" w:type="dxa"/>
            <w:tcBorders>
              <w:top w:val="nil"/>
              <w:left w:val="single" w:sz="4" w:space="0" w:color="auto"/>
              <w:bottom w:val="nil"/>
              <w:right w:val="nil"/>
            </w:tcBorders>
            <w:shd w:val="clear" w:color="auto" w:fill="auto"/>
            <w:vAlign w:val="center"/>
            <w:hideMark/>
          </w:tcPr>
          <w:p w14:paraId="3DBA63F9"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15</w:t>
            </w:r>
          </w:p>
        </w:tc>
        <w:tc>
          <w:tcPr>
            <w:tcW w:w="1960" w:type="dxa"/>
            <w:tcBorders>
              <w:top w:val="nil"/>
              <w:left w:val="nil"/>
              <w:bottom w:val="nil"/>
              <w:right w:val="nil"/>
            </w:tcBorders>
            <w:shd w:val="clear" w:color="auto" w:fill="auto"/>
            <w:vAlign w:val="center"/>
            <w:hideMark/>
          </w:tcPr>
          <w:p w14:paraId="329A214C"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62DB5CA3" w14:textId="77777777" w:rsidTr="00631058">
        <w:trPr>
          <w:trHeight w:val="855"/>
        </w:trPr>
        <w:tc>
          <w:tcPr>
            <w:tcW w:w="1720" w:type="dxa"/>
            <w:tcBorders>
              <w:top w:val="single" w:sz="4" w:space="0" w:color="auto"/>
              <w:left w:val="nil"/>
              <w:bottom w:val="single" w:sz="4" w:space="0" w:color="auto"/>
              <w:right w:val="nil"/>
            </w:tcBorders>
            <w:shd w:val="clear" w:color="000000" w:fill="F2F2F2"/>
            <w:vAlign w:val="center"/>
            <w:hideMark/>
          </w:tcPr>
          <w:p w14:paraId="2F21CD8C"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Londonderry</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3ED74216"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14</w:t>
            </w:r>
          </w:p>
        </w:tc>
        <w:tc>
          <w:tcPr>
            <w:tcW w:w="2180" w:type="dxa"/>
            <w:tcBorders>
              <w:top w:val="single" w:sz="4" w:space="0" w:color="auto"/>
              <w:left w:val="nil"/>
              <w:bottom w:val="single" w:sz="4" w:space="0" w:color="auto"/>
              <w:right w:val="nil"/>
            </w:tcBorders>
            <w:shd w:val="clear" w:color="000000" w:fill="F2F2F2"/>
            <w:vAlign w:val="center"/>
            <w:hideMark/>
          </w:tcPr>
          <w:p w14:paraId="630F11BE"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(Almost all errands require a car) </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5428985D"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37</w:t>
            </w:r>
          </w:p>
        </w:tc>
        <w:tc>
          <w:tcPr>
            <w:tcW w:w="1960" w:type="dxa"/>
            <w:tcBorders>
              <w:top w:val="single" w:sz="4" w:space="0" w:color="auto"/>
              <w:left w:val="nil"/>
              <w:bottom w:val="single" w:sz="4" w:space="0" w:color="auto"/>
              <w:right w:val="nil"/>
            </w:tcBorders>
            <w:shd w:val="clear" w:color="000000" w:fill="F2F2F2"/>
            <w:vAlign w:val="center"/>
            <w:hideMark/>
          </w:tcPr>
          <w:p w14:paraId="346A08AB"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5CE42E4D" w14:textId="77777777" w:rsidTr="00631058">
        <w:trPr>
          <w:trHeight w:val="855"/>
        </w:trPr>
        <w:tc>
          <w:tcPr>
            <w:tcW w:w="1720" w:type="dxa"/>
            <w:tcBorders>
              <w:top w:val="nil"/>
              <w:left w:val="nil"/>
              <w:bottom w:val="nil"/>
              <w:right w:val="nil"/>
            </w:tcBorders>
            <w:shd w:val="clear" w:color="auto" w:fill="auto"/>
            <w:vAlign w:val="center"/>
            <w:hideMark/>
          </w:tcPr>
          <w:p w14:paraId="147DD539"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Manchester</w:t>
            </w:r>
          </w:p>
        </w:tc>
        <w:tc>
          <w:tcPr>
            <w:tcW w:w="960" w:type="dxa"/>
            <w:tcBorders>
              <w:top w:val="nil"/>
              <w:left w:val="single" w:sz="4" w:space="0" w:color="auto"/>
              <w:bottom w:val="nil"/>
              <w:right w:val="nil"/>
            </w:tcBorders>
            <w:shd w:val="clear" w:color="auto" w:fill="auto"/>
            <w:vAlign w:val="center"/>
            <w:hideMark/>
          </w:tcPr>
          <w:p w14:paraId="3A69B6C9"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51</w:t>
            </w:r>
          </w:p>
        </w:tc>
        <w:tc>
          <w:tcPr>
            <w:tcW w:w="2180" w:type="dxa"/>
            <w:tcBorders>
              <w:top w:val="nil"/>
              <w:left w:val="nil"/>
              <w:bottom w:val="nil"/>
              <w:right w:val="nil"/>
            </w:tcBorders>
            <w:shd w:val="clear" w:color="auto" w:fill="auto"/>
            <w:vAlign w:val="center"/>
            <w:hideMark/>
          </w:tcPr>
          <w:p w14:paraId="04961703"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Walkable (Some errands can be accomplished on foot)</w:t>
            </w:r>
          </w:p>
        </w:tc>
        <w:tc>
          <w:tcPr>
            <w:tcW w:w="960" w:type="dxa"/>
            <w:tcBorders>
              <w:top w:val="nil"/>
              <w:left w:val="single" w:sz="4" w:space="0" w:color="auto"/>
              <w:bottom w:val="nil"/>
              <w:right w:val="nil"/>
            </w:tcBorders>
            <w:shd w:val="clear" w:color="auto" w:fill="auto"/>
            <w:vAlign w:val="center"/>
            <w:hideMark/>
          </w:tcPr>
          <w:p w14:paraId="0CFD8757"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42</w:t>
            </w:r>
          </w:p>
        </w:tc>
        <w:tc>
          <w:tcPr>
            <w:tcW w:w="1960" w:type="dxa"/>
            <w:tcBorders>
              <w:top w:val="nil"/>
              <w:left w:val="nil"/>
              <w:bottom w:val="nil"/>
              <w:right w:val="nil"/>
            </w:tcBorders>
            <w:shd w:val="clear" w:color="auto" w:fill="auto"/>
            <w:vAlign w:val="center"/>
            <w:hideMark/>
          </w:tcPr>
          <w:p w14:paraId="753DBF63"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7DF23CDC" w14:textId="77777777" w:rsidTr="00631058">
        <w:trPr>
          <w:trHeight w:val="855"/>
        </w:trPr>
        <w:tc>
          <w:tcPr>
            <w:tcW w:w="1720" w:type="dxa"/>
            <w:tcBorders>
              <w:top w:val="single" w:sz="4" w:space="0" w:color="auto"/>
              <w:left w:val="nil"/>
              <w:bottom w:val="single" w:sz="4" w:space="0" w:color="auto"/>
              <w:right w:val="nil"/>
            </w:tcBorders>
            <w:shd w:val="clear" w:color="000000" w:fill="F2F2F2"/>
            <w:vAlign w:val="center"/>
            <w:hideMark/>
          </w:tcPr>
          <w:p w14:paraId="38D12B32"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New Boston</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4B72F43B"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34</w:t>
            </w:r>
          </w:p>
        </w:tc>
        <w:tc>
          <w:tcPr>
            <w:tcW w:w="2180" w:type="dxa"/>
            <w:tcBorders>
              <w:top w:val="single" w:sz="4" w:space="0" w:color="auto"/>
              <w:left w:val="nil"/>
              <w:bottom w:val="single" w:sz="4" w:space="0" w:color="auto"/>
              <w:right w:val="nil"/>
            </w:tcBorders>
            <w:shd w:val="clear" w:color="000000" w:fill="F2F2F2"/>
            <w:vAlign w:val="center"/>
            <w:hideMark/>
          </w:tcPr>
          <w:p w14:paraId="141057D3"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(Most errands require a car) </w:t>
            </w:r>
          </w:p>
        </w:tc>
        <w:tc>
          <w:tcPr>
            <w:tcW w:w="960" w:type="dxa"/>
            <w:tcBorders>
              <w:top w:val="single" w:sz="4" w:space="0" w:color="auto"/>
              <w:left w:val="single" w:sz="4" w:space="0" w:color="auto"/>
              <w:bottom w:val="single" w:sz="4" w:space="0" w:color="auto"/>
              <w:right w:val="nil"/>
            </w:tcBorders>
            <w:shd w:val="clear" w:color="000000" w:fill="F2F2F2"/>
            <w:vAlign w:val="center"/>
            <w:hideMark/>
          </w:tcPr>
          <w:p w14:paraId="5205EBB4"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13</w:t>
            </w:r>
          </w:p>
        </w:tc>
        <w:tc>
          <w:tcPr>
            <w:tcW w:w="1960" w:type="dxa"/>
            <w:tcBorders>
              <w:top w:val="single" w:sz="4" w:space="0" w:color="auto"/>
              <w:left w:val="nil"/>
              <w:bottom w:val="single" w:sz="4" w:space="0" w:color="auto"/>
              <w:right w:val="nil"/>
            </w:tcBorders>
            <w:shd w:val="clear" w:color="000000" w:fill="F2F2F2"/>
            <w:vAlign w:val="center"/>
            <w:hideMark/>
          </w:tcPr>
          <w:p w14:paraId="48303F1E"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2B0D8764" w14:textId="77777777" w:rsidTr="00631058">
        <w:trPr>
          <w:trHeight w:val="855"/>
        </w:trPr>
        <w:tc>
          <w:tcPr>
            <w:tcW w:w="1720" w:type="dxa"/>
            <w:tcBorders>
              <w:top w:val="nil"/>
              <w:left w:val="nil"/>
              <w:bottom w:val="nil"/>
              <w:right w:val="nil"/>
            </w:tcBorders>
            <w:shd w:val="clear" w:color="auto" w:fill="auto"/>
            <w:vAlign w:val="center"/>
            <w:hideMark/>
          </w:tcPr>
          <w:p w14:paraId="5115B164" w14:textId="77777777" w:rsidR="00631058" w:rsidRPr="00C64BA4" w:rsidRDefault="00631058" w:rsidP="00206C45">
            <w:pPr>
              <w:spacing w:after="0" w:line="300" w:lineRule="auto"/>
              <w:jc w:val="center"/>
              <w:rPr>
                <w:rFonts w:eastAsia="Times New Roman" w:cs="Calibri"/>
                <w:color w:val="000000"/>
              </w:rPr>
            </w:pPr>
            <w:proofErr w:type="spellStart"/>
            <w:r w:rsidRPr="00C64BA4">
              <w:rPr>
                <w:rFonts w:eastAsia="Times New Roman" w:cs="Calibri"/>
                <w:color w:val="000000"/>
              </w:rPr>
              <w:t>Weare</w:t>
            </w:r>
            <w:proofErr w:type="spellEnd"/>
          </w:p>
        </w:tc>
        <w:tc>
          <w:tcPr>
            <w:tcW w:w="960" w:type="dxa"/>
            <w:tcBorders>
              <w:top w:val="nil"/>
              <w:left w:val="single" w:sz="4" w:space="0" w:color="auto"/>
              <w:bottom w:val="nil"/>
              <w:right w:val="nil"/>
            </w:tcBorders>
            <w:shd w:val="clear" w:color="auto" w:fill="auto"/>
            <w:vAlign w:val="center"/>
            <w:hideMark/>
          </w:tcPr>
          <w:p w14:paraId="484331B4"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26</w:t>
            </w:r>
          </w:p>
        </w:tc>
        <w:tc>
          <w:tcPr>
            <w:tcW w:w="2180" w:type="dxa"/>
            <w:tcBorders>
              <w:top w:val="nil"/>
              <w:left w:val="nil"/>
              <w:bottom w:val="nil"/>
              <w:right w:val="nil"/>
            </w:tcBorders>
            <w:shd w:val="clear" w:color="auto" w:fill="auto"/>
            <w:vAlign w:val="center"/>
            <w:hideMark/>
          </w:tcPr>
          <w:p w14:paraId="54D6A134"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(Most errands require a car) </w:t>
            </w:r>
          </w:p>
        </w:tc>
        <w:tc>
          <w:tcPr>
            <w:tcW w:w="960" w:type="dxa"/>
            <w:tcBorders>
              <w:top w:val="nil"/>
              <w:left w:val="single" w:sz="4" w:space="0" w:color="auto"/>
              <w:bottom w:val="nil"/>
              <w:right w:val="nil"/>
            </w:tcBorders>
            <w:shd w:val="clear" w:color="auto" w:fill="auto"/>
            <w:vAlign w:val="center"/>
            <w:hideMark/>
          </w:tcPr>
          <w:p w14:paraId="48F3276D"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30</w:t>
            </w:r>
          </w:p>
        </w:tc>
        <w:tc>
          <w:tcPr>
            <w:tcW w:w="1960" w:type="dxa"/>
            <w:tcBorders>
              <w:top w:val="nil"/>
              <w:left w:val="nil"/>
              <w:bottom w:val="nil"/>
              <w:right w:val="nil"/>
            </w:tcBorders>
            <w:shd w:val="clear" w:color="auto" w:fill="auto"/>
            <w:vAlign w:val="center"/>
            <w:hideMark/>
          </w:tcPr>
          <w:p w14:paraId="333C4AC7"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0DFFFBAB" w14:textId="77777777" w:rsidTr="00631058">
        <w:trPr>
          <w:trHeight w:val="855"/>
        </w:trPr>
        <w:tc>
          <w:tcPr>
            <w:tcW w:w="1720" w:type="dxa"/>
            <w:tcBorders>
              <w:top w:val="single" w:sz="4" w:space="0" w:color="auto"/>
              <w:left w:val="nil"/>
              <w:bottom w:val="nil"/>
              <w:right w:val="nil"/>
            </w:tcBorders>
            <w:shd w:val="clear" w:color="000000" w:fill="F2F2F2"/>
            <w:vAlign w:val="center"/>
            <w:hideMark/>
          </w:tcPr>
          <w:p w14:paraId="410FCBAA"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Windham</w:t>
            </w:r>
          </w:p>
        </w:tc>
        <w:tc>
          <w:tcPr>
            <w:tcW w:w="960" w:type="dxa"/>
            <w:tcBorders>
              <w:top w:val="single" w:sz="4" w:space="0" w:color="auto"/>
              <w:left w:val="single" w:sz="4" w:space="0" w:color="auto"/>
              <w:bottom w:val="nil"/>
              <w:right w:val="nil"/>
            </w:tcBorders>
            <w:shd w:val="clear" w:color="000000" w:fill="F2F2F2"/>
            <w:vAlign w:val="center"/>
            <w:hideMark/>
          </w:tcPr>
          <w:p w14:paraId="1605056A"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37</w:t>
            </w:r>
          </w:p>
        </w:tc>
        <w:tc>
          <w:tcPr>
            <w:tcW w:w="2180" w:type="dxa"/>
            <w:tcBorders>
              <w:top w:val="single" w:sz="4" w:space="0" w:color="auto"/>
              <w:left w:val="nil"/>
              <w:bottom w:val="nil"/>
              <w:right w:val="nil"/>
            </w:tcBorders>
            <w:shd w:val="clear" w:color="000000" w:fill="F2F2F2"/>
            <w:vAlign w:val="center"/>
            <w:hideMark/>
          </w:tcPr>
          <w:p w14:paraId="59AD6004"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 xml:space="preserve">Car-Dependent (Most errands require a car) </w:t>
            </w:r>
          </w:p>
        </w:tc>
        <w:tc>
          <w:tcPr>
            <w:tcW w:w="960" w:type="dxa"/>
            <w:tcBorders>
              <w:top w:val="single" w:sz="4" w:space="0" w:color="auto"/>
              <w:left w:val="single" w:sz="4" w:space="0" w:color="auto"/>
              <w:bottom w:val="nil"/>
              <w:right w:val="nil"/>
            </w:tcBorders>
            <w:shd w:val="clear" w:color="000000" w:fill="F2F2F2"/>
            <w:vAlign w:val="center"/>
            <w:hideMark/>
          </w:tcPr>
          <w:p w14:paraId="6B494F3E"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34</w:t>
            </w:r>
          </w:p>
        </w:tc>
        <w:tc>
          <w:tcPr>
            <w:tcW w:w="1960" w:type="dxa"/>
            <w:tcBorders>
              <w:top w:val="single" w:sz="4" w:space="0" w:color="auto"/>
              <w:left w:val="nil"/>
              <w:bottom w:val="nil"/>
              <w:right w:val="nil"/>
            </w:tcBorders>
            <w:shd w:val="clear" w:color="000000" w:fill="F2F2F2"/>
            <w:vAlign w:val="center"/>
            <w:hideMark/>
          </w:tcPr>
          <w:p w14:paraId="7671FCE6" w14:textId="77777777" w:rsidR="00631058" w:rsidRPr="00C64BA4" w:rsidRDefault="00631058" w:rsidP="00206C45">
            <w:pPr>
              <w:spacing w:after="0" w:line="300" w:lineRule="auto"/>
              <w:jc w:val="center"/>
              <w:rPr>
                <w:rFonts w:eastAsia="Times New Roman" w:cs="Calibri"/>
                <w:color w:val="000000"/>
              </w:rPr>
            </w:pPr>
            <w:r w:rsidRPr="00C64BA4">
              <w:rPr>
                <w:rFonts w:eastAsia="Times New Roman" w:cs="Calibri"/>
                <w:color w:val="000000"/>
              </w:rPr>
              <w:t>Somewhat Bikeable (Minimal bike infrastructure)</w:t>
            </w:r>
          </w:p>
        </w:tc>
      </w:tr>
      <w:tr w:rsidR="00631058" w:rsidRPr="00C64BA4" w14:paraId="68A9EDDF" w14:textId="77777777" w:rsidTr="00631058">
        <w:trPr>
          <w:trHeight w:val="300"/>
        </w:trPr>
        <w:tc>
          <w:tcPr>
            <w:tcW w:w="7780" w:type="dxa"/>
            <w:gridSpan w:val="5"/>
            <w:tcBorders>
              <w:top w:val="nil"/>
              <w:left w:val="nil"/>
              <w:bottom w:val="nil"/>
              <w:right w:val="nil"/>
            </w:tcBorders>
            <w:shd w:val="clear" w:color="auto" w:fill="auto"/>
            <w:vAlign w:val="center"/>
            <w:hideMark/>
          </w:tcPr>
          <w:p w14:paraId="30668931" w14:textId="77777777" w:rsidR="00631058" w:rsidRPr="00C64BA4" w:rsidRDefault="00631058"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Walkscore.com</w:t>
            </w:r>
          </w:p>
        </w:tc>
      </w:tr>
    </w:tbl>
    <w:p w14:paraId="4B6C0097" w14:textId="77777777" w:rsidR="00631058" w:rsidRPr="00C64BA4" w:rsidRDefault="00631058" w:rsidP="00206C45">
      <w:pPr>
        <w:tabs>
          <w:tab w:val="left" w:pos="1956"/>
        </w:tabs>
        <w:spacing w:line="300" w:lineRule="auto"/>
        <w:jc w:val="both"/>
      </w:pPr>
    </w:p>
    <w:p w14:paraId="2B47137C" w14:textId="24621799" w:rsidR="463F99FC" w:rsidRPr="00C64BA4" w:rsidRDefault="00E91543" w:rsidP="00206C45">
      <w:pPr>
        <w:tabs>
          <w:tab w:val="left" w:pos="1956"/>
        </w:tabs>
        <w:spacing w:line="300" w:lineRule="auto"/>
        <w:jc w:val="both"/>
        <w:rPr>
          <w:rFonts w:eastAsia="Tw Cen MT" w:cs="Tw Cen MT"/>
        </w:rPr>
      </w:pPr>
      <w:r>
        <w:rPr>
          <w:rFonts w:eastAsia="Tw Cen MT" w:cs="Tw Cen MT"/>
        </w:rPr>
        <w:lastRenderedPageBreak/>
        <w:fldChar w:fldCharType="begin"/>
      </w:r>
      <w:r>
        <w:rPr>
          <w:rFonts w:eastAsia="Tw Cen MT" w:cs="Tw Cen MT"/>
        </w:rPr>
        <w:instrText xml:space="preserve"> REF _Ref123203869 \h </w:instrText>
      </w:r>
      <w:r>
        <w:rPr>
          <w:rFonts w:eastAsia="Tw Cen MT" w:cs="Tw Cen MT"/>
        </w:rPr>
      </w:r>
      <w:r>
        <w:rPr>
          <w:rFonts w:eastAsia="Tw Cen MT" w:cs="Tw Cen MT"/>
        </w:rPr>
        <w:fldChar w:fldCharType="separate"/>
      </w:r>
      <w:r w:rsidR="00206C45">
        <w:t xml:space="preserve">Figure </w:t>
      </w:r>
      <w:r w:rsidR="00206C45">
        <w:rPr>
          <w:noProof/>
        </w:rPr>
        <w:t>22</w:t>
      </w:r>
      <w:r>
        <w:rPr>
          <w:rFonts w:eastAsia="Tw Cen MT" w:cs="Tw Cen MT"/>
        </w:rPr>
        <w:fldChar w:fldCharType="end"/>
      </w:r>
      <w:r>
        <w:rPr>
          <w:rFonts w:eastAsia="Tw Cen MT" w:cs="Tw Cen MT"/>
        </w:rPr>
        <w:t xml:space="preserve"> </w:t>
      </w:r>
      <w:r w:rsidR="192F52F6" w:rsidRPr="00C64BA4">
        <w:rPr>
          <w:rFonts w:eastAsia="Tw Cen MT" w:cs="Tw Cen MT"/>
        </w:rPr>
        <w:t>shows the relationship between transportation infrastructure and land use. The creation of the highway system in Manchester lead to the development of larger parcels of land further away from the city center after 1960.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31058" w:rsidRPr="00C64BA4" w14:paraId="421FD0E5" w14:textId="77777777" w:rsidTr="00631058">
        <w:tc>
          <w:tcPr>
            <w:tcW w:w="9576" w:type="dxa"/>
          </w:tcPr>
          <w:p w14:paraId="199091C2" w14:textId="77777777" w:rsidR="00E91543" w:rsidRDefault="00631058" w:rsidP="00206C45">
            <w:pPr>
              <w:keepNext/>
              <w:tabs>
                <w:tab w:val="left" w:pos="1956"/>
              </w:tabs>
              <w:spacing w:line="300" w:lineRule="auto"/>
              <w:jc w:val="both"/>
            </w:pPr>
            <w:r w:rsidRPr="00C64BA4">
              <w:rPr>
                <w:noProof/>
              </w:rPr>
              <w:drawing>
                <wp:inline distT="0" distB="0" distL="0" distR="0" wp14:anchorId="7ED712CA" wp14:editId="1BF8C240">
                  <wp:extent cx="6046470" cy="5262059"/>
                  <wp:effectExtent l="0" t="0" r="0" b="0"/>
                  <wp:docPr id="557637738" name="Picture 557637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637738"/>
                          <pic:cNvPicPr/>
                        </pic:nvPicPr>
                        <pic:blipFill rotWithShape="1">
                          <a:blip r:embed="rId75" cstate="print">
                            <a:extLst>
                              <a:ext uri="{28A0092B-C50C-407E-A947-70E740481C1C}">
                                <a14:useLocalDpi xmlns:a14="http://schemas.microsoft.com/office/drawing/2010/main" val="0"/>
                              </a:ext>
                            </a:extLst>
                          </a:blip>
                          <a:srcRect r="11187"/>
                          <a:stretch/>
                        </pic:blipFill>
                        <pic:spPr bwMode="auto">
                          <a:xfrm>
                            <a:off x="0" y="0"/>
                            <a:ext cx="6058575" cy="5272594"/>
                          </a:xfrm>
                          <a:prstGeom prst="rect">
                            <a:avLst/>
                          </a:prstGeom>
                          <a:ln>
                            <a:noFill/>
                          </a:ln>
                          <a:extLst>
                            <a:ext uri="{53640926-AAD7-44D8-BBD7-CCE9431645EC}">
                              <a14:shadowObscured xmlns:a14="http://schemas.microsoft.com/office/drawing/2010/main"/>
                            </a:ext>
                          </a:extLst>
                        </pic:spPr>
                      </pic:pic>
                    </a:graphicData>
                  </a:graphic>
                </wp:inline>
              </w:drawing>
            </w:r>
          </w:p>
          <w:p w14:paraId="7FD5A4CA" w14:textId="19A94E68" w:rsidR="00631058" w:rsidRPr="00C64BA4" w:rsidRDefault="00E91543" w:rsidP="00206C45">
            <w:pPr>
              <w:pStyle w:val="Caption"/>
              <w:spacing w:line="300" w:lineRule="auto"/>
              <w:jc w:val="both"/>
              <w:rPr>
                <w:rFonts w:eastAsia="Tw Cen MT" w:cs="Tw Cen MT"/>
              </w:rPr>
            </w:pPr>
            <w:bookmarkStart w:id="245" w:name="_Ref123203869"/>
            <w:bookmarkStart w:id="246" w:name="_Toc128137885"/>
            <w:r>
              <w:t xml:space="preserve">Figure </w:t>
            </w:r>
            <w:r w:rsidR="0062538A">
              <w:fldChar w:fldCharType="begin"/>
            </w:r>
            <w:r w:rsidR="0062538A">
              <w:instrText xml:space="preserve"> SEQ Figure \* ARABIC </w:instrText>
            </w:r>
            <w:r w:rsidR="0062538A">
              <w:fldChar w:fldCharType="separate"/>
            </w:r>
            <w:r w:rsidR="00E75682">
              <w:rPr>
                <w:noProof/>
              </w:rPr>
              <w:t>26</w:t>
            </w:r>
            <w:r w:rsidR="0062538A">
              <w:rPr>
                <w:noProof/>
              </w:rPr>
              <w:fldChar w:fldCharType="end"/>
            </w:r>
            <w:bookmarkEnd w:id="245"/>
            <w:r>
              <w:t xml:space="preserve">: </w:t>
            </w:r>
            <w:r w:rsidR="006255B4" w:rsidRPr="006255B4">
              <w:t>How Transportation Decisions Drive Land Use</w:t>
            </w:r>
            <w:bookmarkEnd w:id="246"/>
          </w:p>
        </w:tc>
      </w:tr>
    </w:tbl>
    <w:p w14:paraId="0B891157" w14:textId="77777777" w:rsidR="00E91543" w:rsidRDefault="00E91543" w:rsidP="00206C45">
      <w:pPr>
        <w:spacing w:line="300" w:lineRule="auto"/>
        <w:ind w:left="-180"/>
        <w:jc w:val="both"/>
      </w:pPr>
    </w:p>
    <w:p w14:paraId="06A129D6" w14:textId="4E4E359F" w:rsidR="00DD4285" w:rsidRPr="00C64BA4" w:rsidRDefault="192F52F6" w:rsidP="00206C45">
      <w:pPr>
        <w:spacing w:line="300" w:lineRule="auto"/>
        <w:ind w:left="-180"/>
        <w:jc w:val="both"/>
      </w:pPr>
      <w:r w:rsidRPr="00C64BA4">
        <w:t xml:space="preserve">As density decreases, an area becomes less conducive to walking, bicycling and public transportation. As private automobile dependency increases, the amount of infrastructure required to serve automobiles increases. </w:t>
      </w:r>
      <w:r w:rsidR="004040EF">
        <w:fldChar w:fldCharType="begin"/>
      </w:r>
      <w:r w:rsidR="004040EF">
        <w:instrText xml:space="preserve"> REF _Ref123203975 \h </w:instrText>
      </w:r>
      <w:r w:rsidR="004040EF">
        <w:fldChar w:fldCharType="separate"/>
      </w:r>
      <w:r w:rsidR="00206C45">
        <w:t xml:space="preserve">Figure </w:t>
      </w:r>
      <w:r w:rsidR="00206C45">
        <w:rPr>
          <w:noProof/>
        </w:rPr>
        <w:t>23</w:t>
      </w:r>
      <w:r w:rsidR="004040EF">
        <w:fldChar w:fldCharType="end"/>
      </w:r>
      <w:r w:rsidR="004040EF">
        <w:t xml:space="preserve"> </w:t>
      </w:r>
      <w:r w:rsidRPr="00C64BA4">
        <w:t>illustrates the amount of space that is reserved for off-street parking and driveways in the</w:t>
      </w:r>
      <w:r w:rsidR="00DD4285" w:rsidRPr="00C64BA4">
        <w:t xml:space="preserve"> downtown area of the</w:t>
      </w:r>
      <w:r w:rsidRPr="00C64BA4">
        <w:t xml:space="preserve"> City of Manchester</w:t>
      </w:r>
      <w:r w:rsidR="00DD4285" w:rsidRPr="00C64BA4">
        <w:t>, the densest and more valuable land in the region</w:t>
      </w:r>
      <w:r w:rsidRPr="00C64BA4">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6"/>
      </w:tblGrid>
      <w:tr w:rsidR="00DD4285" w:rsidRPr="00C64BA4" w14:paraId="69955D79" w14:textId="77777777" w:rsidTr="00DD4285">
        <w:trPr>
          <w:jc w:val="center"/>
        </w:trPr>
        <w:tc>
          <w:tcPr>
            <w:tcW w:w="5958" w:type="dxa"/>
          </w:tcPr>
          <w:p w14:paraId="4E6E71CE" w14:textId="77777777" w:rsidR="004040EF" w:rsidRDefault="00DD4285" w:rsidP="00206C45">
            <w:pPr>
              <w:keepNext/>
              <w:spacing w:line="300" w:lineRule="auto"/>
            </w:pPr>
            <w:r w:rsidRPr="00C64BA4">
              <w:rPr>
                <w:noProof/>
              </w:rPr>
              <w:lastRenderedPageBreak/>
              <w:drawing>
                <wp:inline distT="0" distB="0" distL="0" distR="0" wp14:anchorId="2880812A" wp14:editId="64E80265">
                  <wp:extent cx="4495800" cy="5816681"/>
                  <wp:effectExtent l="0" t="0" r="0" b="0"/>
                  <wp:docPr id="1526201501" name="Picture 15262015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01501" name="Picture 1526201501" descr="Map&#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4501190" cy="5823655"/>
                          </a:xfrm>
                          <a:prstGeom prst="rect">
                            <a:avLst/>
                          </a:prstGeom>
                        </pic:spPr>
                      </pic:pic>
                    </a:graphicData>
                  </a:graphic>
                </wp:inline>
              </w:drawing>
            </w:r>
          </w:p>
          <w:p w14:paraId="6936778D" w14:textId="1D1F25AF" w:rsidR="00DD4285" w:rsidRPr="00C64BA4" w:rsidRDefault="004040EF" w:rsidP="00206C45">
            <w:pPr>
              <w:pStyle w:val="Caption"/>
              <w:spacing w:line="300" w:lineRule="auto"/>
            </w:pPr>
            <w:bookmarkStart w:id="247" w:name="_Ref123203975"/>
            <w:bookmarkStart w:id="248" w:name="_Toc128137886"/>
            <w:r>
              <w:t xml:space="preserve">Figure </w:t>
            </w:r>
            <w:r w:rsidR="0062538A">
              <w:fldChar w:fldCharType="begin"/>
            </w:r>
            <w:r w:rsidR="0062538A">
              <w:instrText xml:space="preserve"> S</w:instrText>
            </w:r>
            <w:r w:rsidR="0062538A">
              <w:instrText xml:space="preserve">EQ Figure \* ARABIC </w:instrText>
            </w:r>
            <w:r w:rsidR="0062538A">
              <w:fldChar w:fldCharType="separate"/>
            </w:r>
            <w:r w:rsidR="00E75682">
              <w:rPr>
                <w:noProof/>
              </w:rPr>
              <w:t>27</w:t>
            </w:r>
            <w:r w:rsidR="0062538A">
              <w:rPr>
                <w:noProof/>
              </w:rPr>
              <w:fldChar w:fldCharType="end"/>
            </w:r>
            <w:bookmarkEnd w:id="247"/>
            <w:r>
              <w:t xml:space="preserve">: </w:t>
            </w:r>
            <w:r w:rsidR="006255B4" w:rsidRPr="006255B4">
              <w:t>Off-Street Spaced Reserved for Parking in Manchester</w:t>
            </w:r>
            <w:bookmarkEnd w:id="248"/>
          </w:p>
        </w:tc>
      </w:tr>
    </w:tbl>
    <w:p w14:paraId="75999836" w14:textId="1605DC17" w:rsidR="00972BFB" w:rsidRPr="00C64BA4" w:rsidRDefault="192F52F6" w:rsidP="00206C45">
      <w:pPr>
        <w:pStyle w:val="Heading2"/>
        <w:spacing w:line="300" w:lineRule="auto"/>
      </w:pPr>
      <w:bookmarkStart w:id="249" w:name="_Toc973026615"/>
      <w:bookmarkStart w:id="250" w:name="_Toc1848852592"/>
      <w:bookmarkStart w:id="251" w:name="_Toc128137996"/>
      <w:r w:rsidRPr="00C64BA4">
        <w:t>Water and Sewer</w:t>
      </w:r>
      <w:bookmarkEnd w:id="249"/>
      <w:bookmarkEnd w:id="250"/>
      <w:bookmarkEnd w:id="251"/>
    </w:p>
    <w:p w14:paraId="65E72C03" w14:textId="08EFFB24" w:rsidR="6BA77ABD" w:rsidRPr="00C64BA4" w:rsidRDefault="6BA77ABD" w:rsidP="00206C45">
      <w:pPr>
        <w:pStyle w:val="Body"/>
        <w:spacing w:line="300" w:lineRule="auto"/>
      </w:pPr>
      <w:r w:rsidRPr="00C64BA4">
        <w:t xml:space="preserve">The </w:t>
      </w:r>
      <w:r w:rsidR="65463BE6" w:rsidRPr="00C64BA4">
        <w:t>existence</w:t>
      </w:r>
      <w:r w:rsidRPr="00C64BA4">
        <w:t xml:space="preserve"> of water and sewer </w:t>
      </w:r>
      <w:r w:rsidR="3FCD3F45" w:rsidRPr="00C64BA4">
        <w:t>impacts the cost of housing and therefore the availab</w:t>
      </w:r>
      <w:r w:rsidR="5BC782EB" w:rsidRPr="00C64BA4">
        <w:t>ility of</w:t>
      </w:r>
      <w:r w:rsidR="3FCD3F45" w:rsidRPr="00C64BA4">
        <w:t xml:space="preserve"> housing stock.</w:t>
      </w:r>
      <w:r w:rsidR="2DF4ED09" w:rsidRPr="00C64BA4">
        <w:t xml:space="preserve"> During the Small Towns Municipal Focus Group Meeting on April 18, 2022, </w:t>
      </w:r>
      <w:r w:rsidR="321FFBA8" w:rsidRPr="00C64BA4">
        <w:t>a representative from Londonderry</w:t>
      </w:r>
      <w:r w:rsidR="679ABF8A" w:rsidRPr="00C64BA4">
        <w:t xml:space="preserve"> stated that infrastructure needs to move along ahead of development- it isn’t something that </w:t>
      </w:r>
      <w:r w:rsidR="6520F103" w:rsidRPr="00C64BA4">
        <w:t>they can go back and fix later.</w:t>
      </w:r>
      <w:r w:rsidR="676F84EE" w:rsidRPr="00C64BA4">
        <w:t xml:space="preserve"> The town currently has 900 residents who use bottled water for </w:t>
      </w:r>
      <w:r w:rsidR="0010672A" w:rsidRPr="00C64BA4">
        <w:t>everything. In</w:t>
      </w:r>
      <w:r w:rsidR="3DC9BA9B" w:rsidRPr="00C64BA4">
        <w:t xml:space="preserve"> smaller communities like Chester, sewer and utilities are not available in town unless a developer puts them in</w:t>
      </w:r>
      <w:r w:rsidR="0BD87B70" w:rsidRPr="00C64BA4">
        <w:t xml:space="preserve"> (Municipal Focus Group Meeting- Small Towns)</w:t>
      </w:r>
      <w:r w:rsidR="3DC9BA9B" w:rsidRPr="00C64BA4">
        <w:t xml:space="preserve">. </w:t>
      </w:r>
      <w:r w:rsidR="0AF1C029" w:rsidRPr="00C64BA4">
        <w:t xml:space="preserve"> </w:t>
      </w:r>
    </w:p>
    <w:p w14:paraId="5345E002" w14:textId="493B2108" w:rsidR="272622CD" w:rsidRPr="00C64BA4" w:rsidRDefault="0AF1C029" w:rsidP="00206C45">
      <w:pPr>
        <w:pStyle w:val="Body"/>
        <w:spacing w:line="300" w:lineRule="auto"/>
      </w:pPr>
      <w:r w:rsidRPr="00C64BA4">
        <w:t>It is difficult to increase density without water and sewer</w:t>
      </w:r>
      <w:r w:rsidR="34B8F209" w:rsidRPr="00C64BA4">
        <w:t xml:space="preserve">, and the ability to create density affects the </w:t>
      </w:r>
      <w:r w:rsidR="341A870F" w:rsidRPr="00C64BA4">
        <w:t>affordability</w:t>
      </w:r>
      <w:r w:rsidR="34B8F209" w:rsidRPr="00C64BA4">
        <w:t xml:space="preserve"> of housing.  </w:t>
      </w:r>
      <w:r w:rsidR="49087707" w:rsidRPr="00C64BA4">
        <w:t xml:space="preserve">For example, infill development allows access to existing infrastructure and </w:t>
      </w:r>
      <w:r w:rsidR="2D240BFA" w:rsidRPr="00C64BA4">
        <w:t>the opportunity for multiple units in a building or on a lot, both of which can help to redu</w:t>
      </w:r>
      <w:r w:rsidR="5EB0EAA3" w:rsidRPr="00C64BA4">
        <w:t>ce</w:t>
      </w:r>
      <w:r w:rsidR="2D240BFA" w:rsidRPr="00C64BA4">
        <w:t xml:space="preserve"> construction costs.</w:t>
      </w:r>
    </w:p>
    <w:p w14:paraId="7E1D85AB" w14:textId="77777777" w:rsidR="00631058" w:rsidRPr="00C64BA4" w:rsidRDefault="00631058" w:rsidP="00206C45">
      <w:pPr>
        <w:spacing w:line="300" w:lineRule="auto"/>
      </w:pPr>
      <w:r w:rsidRPr="00C64BA4">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631058" w:rsidRPr="00C64BA4" w14:paraId="4C8C1FE9" w14:textId="77777777" w:rsidTr="00631058">
        <w:tc>
          <w:tcPr>
            <w:tcW w:w="9576" w:type="dxa"/>
          </w:tcPr>
          <w:p w14:paraId="574DBB41" w14:textId="77777777" w:rsidR="004040EF" w:rsidRDefault="00631058" w:rsidP="00206C45">
            <w:pPr>
              <w:pStyle w:val="Body"/>
              <w:keepNext/>
              <w:spacing w:line="300" w:lineRule="auto"/>
            </w:pPr>
            <w:r w:rsidRPr="00C64BA4">
              <w:rPr>
                <w:noProof/>
              </w:rPr>
              <w:lastRenderedPageBreak/>
              <w:drawing>
                <wp:inline distT="0" distB="0" distL="0" distR="0" wp14:anchorId="3E4804DE" wp14:editId="6BEF7C88">
                  <wp:extent cx="6080760" cy="7867290"/>
                  <wp:effectExtent l="0" t="0" r="0" b="0"/>
                  <wp:docPr id="937973241" name="Picture 93797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080760" cy="7867290"/>
                          </a:xfrm>
                          <a:prstGeom prst="rect">
                            <a:avLst/>
                          </a:prstGeom>
                        </pic:spPr>
                      </pic:pic>
                    </a:graphicData>
                  </a:graphic>
                </wp:inline>
              </w:drawing>
            </w:r>
          </w:p>
          <w:p w14:paraId="7A1D2E74" w14:textId="565F9BBB" w:rsidR="00631058" w:rsidRPr="00C64BA4" w:rsidRDefault="004040EF" w:rsidP="00206C45">
            <w:pPr>
              <w:pStyle w:val="Caption"/>
              <w:spacing w:line="300" w:lineRule="auto"/>
              <w:jc w:val="both"/>
            </w:pPr>
            <w:bookmarkStart w:id="252" w:name="_Toc128137887"/>
            <w:r>
              <w:t xml:space="preserve">Figure </w:t>
            </w:r>
            <w:r w:rsidR="0062538A">
              <w:fldChar w:fldCharType="begin"/>
            </w:r>
            <w:r w:rsidR="0062538A">
              <w:instrText xml:space="preserve"> SEQ Figure \* ARABIC </w:instrText>
            </w:r>
            <w:r w:rsidR="0062538A">
              <w:fldChar w:fldCharType="separate"/>
            </w:r>
            <w:r w:rsidR="00E75682">
              <w:rPr>
                <w:noProof/>
              </w:rPr>
              <w:t>28</w:t>
            </w:r>
            <w:r w:rsidR="0062538A">
              <w:rPr>
                <w:noProof/>
              </w:rPr>
              <w:fldChar w:fldCharType="end"/>
            </w:r>
            <w:r>
              <w:t>: Water and Sewer Service</w:t>
            </w:r>
            <w:bookmarkEnd w:id="252"/>
          </w:p>
        </w:tc>
      </w:tr>
    </w:tbl>
    <w:p w14:paraId="46860B52" w14:textId="2C7AEC84" w:rsidR="3D6C7777" w:rsidRDefault="3D6C7777" w:rsidP="00206C45">
      <w:pPr>
        <w:pStyle w:val="Body"/>
        <w:spacing w:line="300" w:lineRule="auto"/>
      </w:pPr>
    </w:p>
    <w:p w14:paraId="42CBD2A5" w14:textId="77777777" w:rsidR="004040EF" w:rsidRPr="00C64BA4" w:rsidRDefault="004040EF" w:rsidP="00206C45">
      <w:pPr>
        <w:pStyle w:val="Body"/>
        <w:spacing w:line="300" w:lineRule="auto"/>
      </w:pPr>
    </w:p>
    <w:p w14:paraId="24C9AAB5" w14:textId="1EB1A787" w:rsidR="00293709" w:rsidRPr="00C64BA4" w:rsidRDefault="00293709" w:rsidP="00206C45">
      <w:pPr>
        <w:pStyle w:val="Heading3"/>
        <w:spacing w:line="300" w:lineRule="auto"/>
      </w:pPr>
      <w:bookmarkStart w:id="253" w:name="_Toc128137997"/>
      <w:bookmarkStart w:id="254" w:name="_Hlk123072826"/>
      <w:r w:rsidRPr="00C64BA4">
        <w:lastRenderedPageBreak/>
        <w:t>Service Coverage</w:t>
      </w:r>
      <w:bookmarkEnd w:id="253"/>
    </w:p>
    <w:p w14:paraId="214D1274" w14:textId="738E950B" w:rsidR="00293709" w:rsidRPr="00C64BA4" w:rsidRDefault="00A34A24" w:rsidP="00206C45">
      <w:pPr>
        <w:pStyle w:val="Body"/>
        <w:spacing w:line="300" w:lineRule="auto"/>
      </w:pPr>
      <w:r w:rsidRPr="00C64BA4">
        <w:t>The availability of water and sewer impacts both housing choices and availability.  The lack of this infrastructure is a barrier to development</w:t>
      </w:r>
      <w:r w:rsidR="00622AE5">
        <w:t xml:space="preserve"> by constraining land and new construction to rely on existing water supplies and septic systems</w:t>
      </w:r>
      <w:r w:rsidRPr="00C64BA4">
        <w:t>.  On-site wells and septic systems need more land area for housing than does housing that is served by a municipal or community system.</w:t>
      </w:r>
      <w:r w:rsidR="000119F1">
        <w:t xml:space="preserve"> In the SNHPC region, development density, including housing density, commercial and retail land uses are higher in areas with water and sewer infrastructure. </w:t>
      </w:r>
    </w:p>
    <w:p w14:paraId="328685B3" w14:textId="23752BA0" w:rsidR="00972BFB" w:rsidRPr="00C64BA4" w:rsidRDefault="29579F23" w:rsidP="00206C45">
      <w:pPr>
        <w:pStyle w:val="Heading2"/>
        <w:spacing w:line="300" w:lineRule="auto"/>
      </w:pPr>
      <w:bookmarkStart w:id="255" w:name="_Toc1162138122"/>
      <w:bookmarkStart w:id="256" w:name="_Toc766004926"/>
      <w:bookmarkStart w:id="257" w:name="_Toc128137998"/>
      <w:bookmarkEnd w:id="254"/>
      <w:r w:rsidRPr="00C64BA4">
        <w:t>Broadband</w:t>
      </w:r>
      <w:bookmarkEnd w:id="255"/>
      <w:bookmarkEnd w:id="256"/>
      <w:bookmarkEnd w:id="257"/>
    </w:p>
    <w:p w14:paraId="793BF5BA" w14:textId="7C0D5DDF" w:rsidR="00293709" w:rsidRPr="00C64BA4" w:rsidRDefault="192F52F6" w:rsidP="00206C45">
      <w:pPr>
        <w:pStyle w:val="Body"/>
        <w:spacing w:line="300" w:lineRule="auto"/>
        <w:rPr>
          <w:rStyle w:val="Hyperlink"/>
        </w:rPr>
      </w:pPr>
      <w:bookmarkStart w:id="258" w:name="_Toc128137999"/>
      <w:r w:rsidRPr="004040EF">
        <w:rPr>
          <w:rStyle w:val="Heading3Char"/>
        </w:rPr>
        <w:t>Overview:</w:t>
      </w:r>
      <w:bookmarkEnd w:id="258"/>
      <w:r w:rsidRPr="00C64BA4">
        <w:t xml:space="preserve"> As a component of public infrastructure, broadband access impacts neighborhoods and areas depending on its availability.  The lack of broadband disproportionately affects neighborhoods with higher concentrations of poverty as well as people living in rural, underserved areas.  The State of New Hampshire recognizes that access to broadband is essential for the state’s economy and to this end </w:t>
      </w:r>
      <w:r w:rsidRPr="00400683">
        <w:t>has allocated $50 million</w:t>
      </w:r>
      <w:r w:rsidRPr="00C64BA4">
        <w:t xml:space="preserve"> for the buildout of unserved and underserved locations in New Hampshire</w:t>
      </w:r>
      <w:r w:rsidR="009F4128">
        <w:rPr>
          <w:rStyle w:val="FootnoteReference"/>
        </w:rPr>
        <w:footnoteReference w:id="61"/>
      </w:r>
      <w:r w:rsidRPr="00C64BA4">
        <w:t>.</w:t>
      </w:r>
    </w:p>
    <w:p w14:paraId="192C83E7" w14:textId="0B3F0CE0" w:rsidR="00293709" w:rsidRPr="00C64BA4" w:rsidRDefault="192F52F6" w:rsidP="00206C45">
      <w:pPr>
        <w:pStyle w:val="Body"/>
        <w:spacing w:line="300" w:lineRule="auto"/>
        <w:rPr>
          <w:rStyle w:val="Hyperlink"/>
          <w:color w:val="auto"/>
          <w:u w:val="none"/>
        </w:rPr>
      </w:pPr>
      <w:r w:rsidRPr="00C64BA4">
        <w:rPr>
          <w:rStyle w:val="Hyperlink"/>
          <w:color w:val="auto"/>
          <w:u w:val="none"/>
        </w:rPr>
        <w:t>The importance of broadband for the economy extends to other areas as well that are impacted by economic health, such as education, property values, and telehealth.  In short, broadband should be treated like any other public utility that is necessary for economic growth and development.  In much the same way that electricity became a part of daily life in the early 20th century, today broadband is increasingly indispensable for conducting routine activities and meeting basic needs, such as:</w:t>
      </w:r>
      <w:r w:rsidRPr="00C64BA4">
        <w:rPr>
          <w:rStyle w:val="Hyperlink"/>
          <w:color w:val="auto"/>
        </w:rPr>
        <w:t xml:space="preserve">  </w:t>
      </w:r>
    </w:p>
    <w:p w14:paraId="4C4DE4E1" w14:textId="77777777" w:rsidR="000F7864" w:rsidRDefault="192F52F6" w:rsidP="00206C45">
      <w:pPr>
        <w:pStyle w:val="Body"/>
        <w:numPr>
          <w:ilvl w:val="0"/>
          <w:numId w:val="30"/>
        </w:numPr>
        <w:spacing w:line="300" w:lineRule="auto"/>
        <w:rPr>
          <w:rStyle w:val="Hyperlink"/>
          <w:color w:val="auto"/>
          <w:u w:val="none"/>
        </w:rPr>
      </w:pPr>
      <w:r w:rsidRPr="00C64BA4">
        <w:rPr>
          <w:rStyle w:val="Hyperlink"/>
          <w:color w:val="auto"/>
          <w:u w:val="none"/>
        </w:rPr>
        <w:t>Remote workforce. Even before the pandemic, the percentage of employees working remotely was growing. The public health emergency only hastened that trend. If communities want to attract and retain these workers, high-speed internet is a must</w:t>
      </w:r>
      <w:r w:rsidR="004857E8">
        <w:rPr>
          <w:rStyle w:val="Hyperlink"/>
          <w:color w:val="auto"/>
          <w:u w:val="none"/>
        </w:rPr>
        <w:t>.</w:t>
      </w:r>
      <w:r w:rsidRPr="00C64BA4">
        <w:rPr>
          <w:rStyle w:val="Hyperlink"/>
          <w:color w:val="auto"/>
        </w:rPr>
        <w:t xml:space="preserve"> </w:t>
      </w:r>
    </w:p>
    <w:p w14:paraId="34BE44E3" w14:textId="77777777" w:rsidR="000F7864" w:rsidRDefault="192F52F6" w:rsidP="00206C45">
      <w:pPr>
        <w:pStyle w:val="Body"/>
        <w:numPr>
          <w:ilvl w:val="0"/>
          <w:numId w:val="30"/>
        </w:numPr>
        <w:spacing w:line="300" w:lineRule="auto"/>
        <w:rPr>
          <w:rStyle w:val="Hyperlink"/>
          <w:color w:val="auto"/>
          <w:u w:val="none"/>
        </w:rPr>
      </w:pPr>
      <w:r w:rsidRPr="000F7864">
        <w:rPr>
          <w:rStyle w:val="Hyperlink"/>
          <w:color w:val="auto"/>
          <w:u w:val="none"/>
        </w:rPr>
        <w:t>Economic activity. Some businesses won’t even consider expanding or relocating to an area if high-speed internet isn’t available. Furthermore, many home-based businesses – integral to the New Hampshire economy, rely on internet connectivity.</w:t>
      </w:r>
    </w:p>
    <w:p w14:paraId="2A723F79" w14:textId="77777777" w:rsidR="000F7864" w:rsidRDefault="192F52F6" w:rsidP="00206C45">
      <w:pPr>
        <w:pStyle w:val="Body"/>
        <w:numPr>
          <w:ilvl w:val="0"/>
          <w:numId w:val="30"/>
        </w:numPr>
        <w:spacing w:line="300" w:lineRule="auto"/>
        <w:rPr>
          <w:rStyle w:val="Hyperlink"/>
          <w:color w:val="auto"/>
          <w:u w:val="none"/>
        </w:rPr>
      </w:pPr>
      <w:r w:rsidRPr="000F7864">
        <w:rPr>
          <w:rStyle w:val="Hyperlink"/>
          <w:color w:val="auto"/>
          <w:u w:val="none"/>
        </w:rPr>
        <w:t>Property values. Lack of broadband can be a dealbreaker for many homebuyers.</w:t>
      </w:r>
    </w:p>
    <w:p w14:paraId="64B8CB93" w14:textId="051FA7BA" w:rsidR="00293709" w:rsidRPr="000F7864" w:rsidRDefault="192F52F6" w:rsidP="00206C45">
      <w:pPr>
        <w:pStyle w:val="Body"/>
        <w:numPr>
          <w:ilvl w:val="0"/>
          <w:numId w:val="30"/>
        </w:numPr>
        <w:spacing w:line="300" w:lineRule="auto"/>
        <w:rPr>
          <w:rStyle w:val="Hyperlink"/>
          <w:color w:val="auto"/>
          <w:u w:val="none"/>
        </w:rPr>
      </w:pPr>
      <w:r w:rsidRPr="000F7864">
        <w:rPr>
          <w:rStyle w:val="Hyperlink"/>
          <w:color w:val="auto"/>
          <w:u w:val="none"/>
        </w:rPr>
        <w:t>Education. Without broadband, accessing remote learning opportunities, conducting research, and participating in training can be difficult or impossible.  This access is equally important to students and teachers alike.</w:t>
      </w:r>
    </w:p>
    <w:p w14:paraId="4560F605" w14:textId="7C6F26A1" w:rsidR="00293709" w:rsidRPr="00C64BA4" w:rsidRDefault="4C22DD6F" w:rsidP="00206C45">
      <w:pPr>
        <w:pStyle w:val="Heading2"/>
        <w:spacing w:line="300" w:lineRule="auto"/>
        <w:rPr>
          <w:color w:val="C00000"/>
        </w:rPr>
      </w:pPr>
      <w:bookmarkStart w:id="259" w:name="_Toc128138000"/>
      <w:r w:rsidRPr="00C64BA4">
        <w:t>Underserved Communities</w:t>
      </w:r>
      <w:bookmarkEnd w:id="259"/>
    </w:p>
    <w:p w14:paraId="6C348044" w14:textId="57A1869C" w:rsidR="3ECF986A" w:rsidRPr="00C64BA4" w:rsidRDefault="129ADAD9" w:rsidP="00206C45">
      <w:pPr>
        <w:pStyle w:val="Body"/>
        <w:spacing w:line="300" w:lineRule="auto"/>
      </w:pPr>
      <w:r w:rsidRPr="00DE637C">
        <w:t>The US Census</w:t>
      </w:r>
      <w:r w:rsidR="008C7AD7" w:rsidRPr="00DE637C">
        <w:t xml:space="preserve"> </w:t>
      </w:r>
      <w:r w:rsidRPr="00DE637C">
        <w:t>American Community Survey provides data on households with computers and with internet (including broadband) service.  These data are not broken</w:t>
      </w:r>
      <w:r w:rsidR="484477C1" w:rsidRPr="00DE637C">
        <w:t xml:space="preserve"> down beyond the county level, however, so it is</w:t>
      </w:r>
      <w:r w:rsidR="484477C1" w:rsidRPr="00C64BA4">
        <w:t xml:space="preserve"> </w:t>
      </w:r>
      <w:r w:rsidR="484477C1" w:rsidRPr="00C64BA4">
        <w:lastRenderedPageBreak/>
        <w:t xml:space="preserve">not possible to use the information to identify specific communities that may be underserved by broadband access.  </w:t>
      </w:r>
      <w:r w:rsidR="4118AC2B" w:rsidRPr="00C64BA4">
        <w:t xml:space="preserve">According to the Survey, </w:t>
      </w:r>
      <w:proofErr w:type="gramStart"/>
      <w:r w:rsidR="4118AC2B" w:rsidRPr="00C64BA4">
        <w:t>a majority of</w:t>
      </w:r>
      <w:proofErr w:type="gramEnd"/>
      <w:r w:rsidR="4118AC2B" w:rsidRPr="00C64BA4">
        <w:t xml:space="preserve"> all hous</w:t>
      </w:r>
      <w:r w:rsidR="5009A354" w:rsidRPr="00C64BA4">
        <w:t xml:space="preserve">eholds in </w:t>
      </w:r>
      <w:r w:rsidR="002C0864">
        <w:t>the</w:t>
      </w:r>
      <w:r w:rsidR="002C0864" w:rsidRPr="00C64BA4">
        <w:t xml:space="preserve"> </w:t>
      </w:r>
      <w:r w:rsidR="5009A354" w:rsidRPr="00C64BA4">
        <w:t>three counties</w:t>
      </w:r>
      <w:r w:rsidR="002C0864">
        <w:t xml:space="preserve"> of the Southern NH Region planning area</w:t>
      </w:r>
      <w:r w:rsidR="5009A354" w:rsidRPr="00C64BA4">
        <w:t xml:space="preserve"> have one or more computers and have internet/broadband </w:t>
      </w:r>
      <w:r w:rsidR="4D536DB7" w:rsidRPr="00C64BA4">
        <w:t>subscriptions</w:t>
      </w:r>
      <w:r w:rsidR="5009A354" w:rsidRPr="00C64BA4">
        <w:t xml:space="preserve"> (94-97%).  </w:t>
      </w:r>
      <w:r w:rsidR="44B3A37A" w:rsidRPr="00C64BA4">
        <w:t xml:space="preserve">However, these same data show that of all households earning less than $20,000 a year, 27-28% of them have no internet access.  </w:t>
      </w:r>
    </w:p>
    <w:p w14:paraId="100D49E9" w14:textId="61B4967C" w:rsidR="00293709" w:rsidRPr="00C64BA4" w:rsidRDefault="29579F23" w:rsidP="00206C45">
      <w:pPr>
        <w:pStyle w:val="Heading2"/>
        <w:spacing w:line="300" w:lineRule="auto"/>
      </w:pPr>
      <w:bookmarkStart w:id="260" w:name="_Toc1284674755"/>
      <w:bookmarkStart w:id="261" w:name="_Toc1308232782"/>
      <w:bookmarkStart w:id="262" w:name="_Toc128138001"/>
      <w:r w:rsidRPr="00C64BA4">
        <w:t>Community Development</w:t>
      </w:r>
      <w:bookmarkEnd w:id="260"/>
      <w:bookmarkEnd w:id="261"/>
      <w:bookmarkEnd w:id="262"/>
    </w:p>
    <w:p w14:paraId="67D170F3" w14:textId="025323E6" w:rsidR="42147179" w:rsidRPr="00C64BA4" w:rsidRDefault="42147179" w:rsidP="00206C45">
      <w:pPr>
        <w:pStyle w:val="Body"/>
        <w:spacing w:line="300" w:lineRule="auto"/>
      </w:pPr>
      <w:r w:rsidRPr="00C64BA4">
        <w:t>Government supported investments in underserved communities provide important and necessary financial resources that contribute to the provision of decent housing and livable environments, as well as expanding economic opportunities. The level of public investment in housing, economic, and community development affects the ability of households to access decent, safe, and affordable housing.  In New Hampshire, the agencies that provide financing and support for affordable housing are:</w:t>
      </w:r>
    </w:p>
    <w:p w14:paraId="5ACAC70C" w14:textId="77777777" w:rsidR="003010BF" w:rsidRDefault="42147179" w:rsidP="00206C45">
      <w:pPr>
        <w:pStyle w:val="ListParagraph"/>
        <w:numPr>
          <w:ilvl w:val="0"/>
          <w:numId w:val="28"/>
        </w:numPr>
        <w:spacing w:line="300" w:lineRule="auto"/>
      </w:pPr>
      <w:r w:rsidRPr="00C64BA4">
        <w:t xml:space="preserve">NH Housing Finance Authority (NHHFA).  NHHFA is a self-supporting public corporation that provides financing to construct or support affordable housing statewide.  It also manages both rental and home ownership programs that assist low- and moderate-income persons in attaining affordable housing.  </w:t>
      </w:r>
    </w:p>
    <w:p w14:paraId="5D7D4A76" w14:textId="7C0EB1E0" w:rsidR="42147179" w:rsidRPr="00C64BA4" w:rsidRDefault="42147179" w:rsidP="00206C45">
      <w:pPr>
        <w:pStyle w:val="ListParagraph"/>
        <w:numPr>
          <w:ilvl w:val="0"/>
          <w:numId w:val="28"/>
        </w:numPr>
        <w:spacing w:line="300" w:lineRule="auto"/>
      </w:pPr>
      <w:r w:rsidRPr="00C64BA4">
        <w:t xml:space="preserve">Community Development Finance Authority (CDFA).  CDFA is a state agency that administers federal Department of Housing and Urban Development (HUD) grants as well as contributions from New Hampshire businesses and other partners to support community and economic development projects.  A primary source of funding is the HUD Community Development Block Grant (CDBG) that provides millions of dollars annually to New Hampshire for various projects and programs, including those focused on housing.  </w:t>
      </w:r>
    </w:p>
    <w:p w14:paraId="4094D77D" w14:textId="737305C2" w:rsidR="42147179" w:rsidRPr="00C64BA4" w:rsidRDefault="42147179" w:rsidP="00206C45">
      <w:pPr>
        <w:spacing w:line="300" w:lineRule="auto"/>
      </w:pPr>
      <w:r w:rsidRPr="00C64BA4">
        <w:t xml:space="preserve">Within the Southern NH region, most of the funding goes to Manchester, since this is where most of the housing in the region is located, </w:t>
      </w:r>
      <w:proofErr w:type="gramStart"/>
      <w:r w:rsidRPr="00C64BA4">
        <w:t>in particular multi-</w:t>
      </w:r>
      <w:proofErr w:type="gramEnd"/>
      <w:r w:rsidRPr="00C64BA4">
        <w:t xml:space="preserve">family units that rely on municipal water and sewer.  </w:t>
      </w:r>
    </w:p>
    <w:p w14:paraId="585EAAE3" w14:textId="4D425F57" w:rsidR="42147179" w:rsidRPr="00C64BA4" w:rsidRDefault="42147179" w:rsidP="00206C45">
      <w:pPr>
        <w:spacing w:line="300" w:lineRule="auto"/>
      </w:pPr>
      <w:r w:rsidRPr="00C64BA4">
        <w:t>The City of Manchester is one of five cities in New Hampshire that receives CDBG funding directly from HUD, which amounts to roughly $1million annually that is utilized for housing programs.</w:t>
      </w:r>
    </w:p>
    <w:p w14:paraId="209BB64A" w14:textId="2A49BD0D" w:rsidR="42147179" w:rsidRPr="00C64BA4" w:rsidRDefault="42147179" w:rsidP="00206C45">
      <w:pPr>
        <w:pStyle w:val="Body"/>
        <w:numPr>
          <w:ilvl w:val="0"/>
          <w:numId w:val="29"/>
        </w:numPr>
        <w:spacing w:line="300" w:lineRule="auto"/>
      </w:pPr>
      <w:r w:rsidRPr="00C64BA4">
        <w:t>NH Community Loan Fund (NHCLF).  The NHCLF is a non-profit financial institution that relies on investments and donations to support its work in community and economic development.  Since 2003, CDFA has awarded more than $161 million in these Block Grants across the state.  The grants impact economic development, housing, and community-based projects and programs that primarily benefit low- and moderate-income people in the state.</w:t>
      </w:r>
    </w:p>
    <w:p w14:paraId="0C92C6DD" w14:textId="3E9F5494" w:rsidR="42147179" w:rsidRPr="00C64BA4" w:rsidRDefault="42147179" w:rsidP="00206C45">
      <w:pPr>
        <w:spacing w:line="300" w:lineRule="auto"/>
      </w:pPr>
      <w:r w:rsidRPr="00C64BA4">
        <w:t xml:space="preserve">One of the ways the agency supports housing in the state is to provide loans, training, and technical assistance to residents of manufactured home parks so they can buy and manage them on their own – thereby securing stability and affordability for their living situation.  These parks are known as Resident-Owned Communities (ROCs), and there are 13 of them in six communities of the Southern NH region; together, these ROCs provide 835 units of housing. </w:t>
      </w:r>
    </w:p>
    <w:p w14:paraId="5E62ACD2" w14:textId="548B2C74" w:rsidR="42147179" w:rsidRPr="00C64BA4" w:rsidRDefault="42147179" w:rsidP="00206C45">
      <w:pPr>
        <w:pStyle w:val="ListParagraph"/>
        <w:numPr>
          <w:ilvl w:val="0"/>
          <w:numId w:val="29"/>
        </w:numPr>
        <w:spacing w:line="300" w:lineRule="auto"/>
      </w:pPr>
      <w:r w:rsidRPr="00C64BA4">
        <w:t xml:space="preserve">In addition to the above-cited agencies, the cities of Manchester and Derry have Housing and Redevelopment Authorities that administer federal housing programs.  </w:t>
      </w:r>
    </w:p>
    <w:p w14:paraId="6D926904" w14:textId="48EAC657" w:rsidR="00293709" w:rsidRPr="00C64BA4" w:rsidRDefault="42147179" w:rsidP="006374F0">
      <w:pPr>
        <w:pStyle w:val="Heading2"/>
        <w:keepNext/>
        <w:keepLines/>
        <w:spacing w:line="300" w:lineRule="auto"/>
        <w:rPr>
          <w:rFonts w:eastAsia="IBM Plex Serif" w:cs="IBM Plex Serif"/>
          <w:color w:val="000000" w:themeColor="text1"/>
        </w:rPr>
      </w:pPr>
      <w:bookmarkStart w:id="263" w:name="_Toc128138002"/>
      <w:r w:rsidRPr="00C64BA4">
        <w:lastRenderedPageBreak/>
        <w:t>Childcare</w:t>
      </w:r>
      <w:bookmarkEnd w:id="263"/>
    </w:p>
    <w:p w14:paraId="3455484A" w14:textId="6C799B5A" w:rsidR="6DCB556B" w:rsidRPr="00C64BA4" w:rsidRDefault="42147179" w:rsidP="006374F0">
      <w:pPr>
        <w:keepNext/>
        <w:keepLines/>
        <w:spacing w:line="300" w:lineRule="auto"/>
      </w:pPr>
      <w:r w:rsidRPr="00C64BA4">
        <w:t>For working parents, childcare is essential, not only to allow the parents to participate in the economy, further their education and/or pursue career goals, but childcare programs also benefit the children by providing healthy learning environments.  In other words, everyone benefits.  The cost of childcare, however, can be a significant piece of the household budge</w:t>
      </w:r>
      <w:r w:rsidR="00B21D10">
        <w:t>t</w:t>
      </w:r>
      <w:r w:rsidRPr="00C64BA4">
        <w:t>, if it is even available.  Lower income families tend to pay a higher percentage of their income on childcare than higher earners; in addition, they have fewer options for childcare.</w:t>
      </w:r>
    </w:p>
    <w:p w14:paraId="3519C26E" w14:textId="68195DA5" w:rsidR="6DCB556B" w:rsidRPr="00C64BA4" w:rsidRDefault="42147179" w:rsidP="00206C45">
      <w:pPr>
        <w:spacing w:line="300" w:lineRule="auto"/>
      </w:pPr>
      <w:r w:rsidRPr="00C64BA4">
        <w:t xml:space="preserve">NH Connections provides information on family services in the state, including childcare facilities.  According to their 2020 data, there were 54,019 children under the age of 6 with both parents in the workforce; at the same time, there were 32,897 childcare spaces.  The gaps between numbers of children and number of available spaces </w:t>
      </w:r>
      <w:proofErr w:type="gramStart"/>
      <w:r w:rsidRPr="00C64BA4">
        <w:t>is</w:t>
      </w:r>
      <w:proofErr w:type="gramEnd"/>
      <w:r w:rsidRPr="00C64BA4">
        <w:t xml:space="preserve"> illustrated on a map </w:t>
      </w:r>
      <w:r w:rsidR="00B21D10">
        <w:t>at</w:t>
      </w:r>
      <w:r w:rsidRPr="00C64BA4">
        <w:t xml:space="preserve"> </w:t>
      </w:r>
      <w:r w:rsidR="00A772A7">
        <w:t xml:space="preserve">the </w:t>
      </w:r>
      <w:r w:rsidR="00A772A7" w:rsidRPr="00400683">
        <w:t>NH Connections</w:t>
      </w:r>
      <w:r w:rsidRPr="00400683">
        <w:t xml:space="preserve"> website</w:t>
      </w:r>
      <w:r w:rsidR="00A772A7">
        <w:rPr>
          <w:rStyle w:val="FootnoteReference"/>
        </w:rPr>
        <w:footnoteReference w:id="62"/>
      </w:r>
      <w:r w:rsidR="00A772A7">
        <w:t xml:space="preserve">. </w:t>
      </w:r>
      <w:r w:rsidRPr="00C64BA4">
        <w:t xml:space="preserve">For towns in the Southern NH region, the differences vary </w:t>
      </w:r>
      <w:r w:rsidR="0060319E" w:rsidRPr="00C64BA4">
        <w:t>widely</w:t>
      </w:r>
      <w:r w:rsidR="0060319E">
        <w:t xml:space="preserve">. </w:t>
      </w:r>
      <w:r w:rsidR="0060319E" w:rsidRPr="00C64BA4">
        <w:t>Four</w:t>
      </w:r>
      <w:r w:rsidRPr="00C64BA4">
        <w:t xml:space="preserve"> towns stand out for the gap between childcare spaces and the numbers of children under 6 whose </w:t>
      </w:r>
      <w:proofErr w:type="gramStart"/>
      <w:r w:rsidRPr="00C64BA4">
        <w:t>parents</w:t>
      </w:r>
      <w:proofErr w:type="gramEnd"/>
      <w:r w:rsidRPr="00C64BA4">
        <w:t xml:space="preserve"> work:  Chester – with only 20 spaces and 244 children; </w:t>
      </w:r>
      <w:proofErr w:type="spellStart"/>
      <w:r w:rsidRPr="00C64BA4">
        <w:t>Francestown</w:t>
      </w:r>
      <w:proofErr w:type="spellEnd"/>
      <w:r w:rsidRPr="00C64BA4">
        <w:t xml:space="preserve"> – with only 12 spaces and 22 children; Raymond – with 109 spaces and 443 children; and </w:t>
      </w:r>
      <w:proofErr w:type="spellStart"/>
      <w:r w:rsidRPr="00C64BA4">
        <w:t>Weare</w:t>
      </w:r>
      <w:proofErr w:type="spellEnd"/>
      <w:r w:rsidRPr="00C64BA4">
        <w:t xml:space="preserve"> – with 117 spaces and 264 children.</w:t>
      </w:r>
    </w:p>
    <w:p w14:paraId="69BC0AFC" w14:textId="7FF991B9" w:rsidR="00293709" w:rsidRPr="00C64BA4" w:rsidRDefault="00293709" w:rsidP="00206C45">
      <w:pPr>
        <w:pStyle w:val="Heading2"/>
        <w:spacing w:line="300" w:lineRule="auto"/>
      </w:pPr>
      <w:bookmarkStart w:id="264" w:name="_Toc128138003"/>
      <w:r w:rsidRPr="00C64BA4">
        <w:t>Food Access</w:t>
      </w:r>
      <w:bookmarkEnd w:id="264"/>
    </w:p>
    <w:p w14:paraId="31A677BC" w14:textId="38D08F9A" w:rsidR="00293709" w:rsidRPr="00C64BA4" w:rsidRDefault="42147179" w:rsidP="00206C45">
      <w:pPr>
        <w:pStyle w:val="Body"/>
        <w:spacing w:line="300" w:lineRule="auto"/>
      </w:pPr>
      <w:r w:rsidRPr="00C64BA4">
        <w:t xml:space="preserve">Access to food is a critical component of a household’s or community’s wellbeing.  Access to healthy food is even more important.  Many parts of the </w:t>
      </w:r>
      <w:r w:rsidR="00FD0852" w:rsidRPr="00C64BA4">
        <w:t>country</w:t>
      </w:r>
      <w:r w:rsidR="00FD0852">
        <w:t>,</w:t>
      </w:r>
      <w:r w:rsidR="00FD0852" w:rsidRPr="00C64BA4">
        <w:t xml:space="preserve"> especially</w:t>
      </w:r>
      <w:r w:rsidRPr="00C64BA4">
        <w:t xml:space="preserve"> low-income communities, do not have good access to food.  Such areas are known as “food deserts,” which the USDA defines as areas where people have limited access to a variety of healthy and affordable food. Living in a food desert makes a person </w:t>
      </w:r>
      <w:r w:rsidRPr="00400683">
        <w:t>more likely to experience food insecurity</w:t>
      </w:r>
      <w:r w:rsidRPr="00C64BA4">
        <w:t>, even when receiving food assistance because there are few places to use SNAP benefits (food stamps) where nutritious food is available</w:t>
      </w:r>
      <w:r w:rsidR="00A07E53">
        <w:rPr>
          <w:rStyle w:val="FootnoteReference"/>
        </w:rPr>
        <w:footnoteReference w:id="63"/>
      </w:r>
      <w:r w:rsidRPr="00C64BA4">
        <w:t xml:space="preserve">. </w:t>
      </w:r>
    </w:p>
    <w:p w14:paraId="2A4551DC" w14:textId="36752FC2" w:rsidR="00293709" w:rsidRPr="00C64BA4" w:rsidRDefault="42147179" w:rsidP="00206C45">
      <w:pPr>
        <w:pStyle w:val="Body"/>
        <w:spacing w:line="300" w:lineRule="auto"/>
      </w:pPr>
      <w:r w:rsidRPr="00C64BA4">
        <w:t xml:space="preserve">In New Hampshire, access to food is defined not only by the lack of grocery stores in a particular area, but also by how far away the closest grocery store is in rural areas, and whether someone has transportation to get there.  Seacoast Eat Local has developed a Food Access Map that depicts areas characterized by low-income and low access to food.  In the Southern NH region, only Manchester is identified as having these two characteristics.  </w:t>
      </w:r>
    </w:p>
    <w:p w14:paraId="3AD5B76C" w14:textId="77777777" w:rsidR="004040EF" w:rsidRDefault="36136C02" w:rsidP="006374F0">
      <w:pPr>
        <w:pStyle w:val="Body"/>
        <w:keepNext/>
        <w:spacing w:line="300" w:lineRule="auto"/>
        <w:jc w:val="center"/>
      </w:pPr>
      <w:r w:rsidRPr="00C64BA4">
        <w:rPr>
          <w:noProof/>
        </w:rPr>
        <w:lastRenderedPageBreak/>
        <w:drawing>
          <wp:inline distT="0" distB="0" distL="0" distR="0" wp14:anchorId="73EDAFBB" wp14:editId="555F02FB">
            <wp:extent cx="4572000" cy="2838450"/>
            <wp:effectExtent l="0" t="0" r="0" b="0"/>
            <wp:docPr id="1010278491" name="Picture 1010278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4572000" cy="2838450"/>
                    </a:xfrm>
                    <a:prstGeom prst="rect">
                      <a:avLst/>
                    </a:prstGeom>
                  </pic:spPr>
                </pic:pic>
              </a:graphicData>
            </a:graphic>
          </wp:inline>
        </w:drawing>
      </w:r>
    </w:p>
    <w:p w14:paraId="698B344E" w14:textId="3473C43F" w:rsidR="36136C02" w:rsidRPr="00C64BA4" w:rsidRDefault="004040EF" w:rsidP="00400683">
      <w:pPr>
        <w:pStyle w:val="Caption"/>
        <w:spacing w:line="300" w:lineRule="auto"/>
      </w:pPr>
      <w:bookmarkStart w:id="265" w:name="_Toc128137888"/>
      <w:r>
        <w:t xml:space="preserve">Figure </w:t>
      </w:r>
      <w:r w:rsidR="0062538A">
        <w:fldChar w:fldCharType="begin"/>
      </w:r>
      <w:r w:rsidR="0062538A">
        <w:instrText xml:space="preserve"> SEQ Figure \* ARABIC </w:instrText>
      </w:r>
      <w:r w:rsidR="0062538A">
        <w:fldChar w:fldCharType="separate"/>
      </w:r>
      <w:r w:rsidR="00E75682">
        <w:rPr>
          <w:noProof/>
        </w:rPr>
        <w:t>29</w:t>
      </w:r>
      <w:r w:rsidR="0062538A">
        <w:rPr>
          <w:noProof/>
        </w:rPr>
        <w:fldChar w:fldCharType="end"/>
      </w:r>
      <w:r>
        <w:t>: Food Access Map</w:t>
      </w:r>
      <w:bookmarkEnd w:id="265"/>
    </w:p>
    <w:p w14:paraId="583C7C07" w14:textId="77777777" w:rsidR="005547CC" w:rsidRPr="00C64BA4" w:rsidRDefault="005547CC" w:rsidP="005547CC">
      <w:pPr>
        <w:pStyle w:val="Caption"/>
        <w:spacing w:line="300" w:lineRule="auto"/>
      </w:pPr>
      <w:r>
        <w:t xml:space="preserve">Source: </w:t>
      </w:r>
      <w:hyperlink r:id="rId79" w:history="1">
        <w:r w:rsidRPr="00400683">
          <w:rPr>
            <w:rStyle w:val="Hyperlink"/>
          </w:rPr>
          <w:t>https://www.seacoasteatlocal.org/does-new-hampshire-have-food-deserts/</w:t>
        </w:r>
      </w:hyperlink>
    </w:p>
    <w:p w14:paraId="2A149609" w14:textId="5939BEAC" w:rsidR="4D23D13E" w:rsidRPr="00C64BA4" w:rsidRDefault="42147179" w:rsidP="00206C45">
      <w:pPr>
        <w:pStyle w:val="Body"/>
        <w:spacing w:line="300" w:lineRule="auto"/>
      </w:pPr>
      <w:r w:rsidRPr="00C64BA4">
        <w:t xml:space="preserve">A national organization – </w:t>
      </w:r>
      <w:r w:rsidRPr="00F61D72">
        <w:t>Healthy Food Access Portal</w:t>
      </w:r>
      <w:r w:rsidRPr="00C64BA4">
        <w:t>, also tracks food availability nationwide.  The site has a tool that allows user</w:t>
      </w:r>
      <w:r w:rsidR="00B90797">
        <w:t>s</w:t>
      </w:r>
      <w:r w:rsidRPr="00C64BA4">
        <w:t xml:space="preserve"> to select a municipality, </w:t>
      </w:r>
      <w:r w:rsidR="00B90797">
        <w:t>and</w:t>
      </w:r>
      <w:r w:rsidR="00B90797" w:rsidRPr="00C64BA4">
        <w:t xml:space="preserve"> </w:t>
      </w:r>
      <w:r w:rsidRPr="00C64BA4">
        <w:t xml:space="preserve">then illustrates various factors related to food security and access. </w:t>
      </w:r>
      <w:r w:rsidR="0060319E">
        <w:t>T</w:t>
      </w:r>
      <w:r w:rsidRPr="00C64BA4">
        <w:t>he data show how many full-service supermarkets, limited-service stores, SNAP Retailers, and Farmer’s Markets are in the community</w:t>
      </w:r>
      <w:r w:rsidR="00A07E53">
        <w:rPr>
          <w:rStyle w:val="FootnoteReference"/>
        </w:rPr>
        <w:footnoteReference w:id="64"/>
      </w:r>
      <w:r w:rsidRPr="00C64BA4">
        <w:t>.  Unfortunately, for most of the communities in the Southern NH region, no data is shown because either there is no data, or it has been suppressed for components of the area.</w:t>
      </w:r>
    </w:p>
    <w:p w14:paraId="4FB2950A" w14:textId="34F50B13" w:rsidR="00293709" w:rsidRPr="00C64BA4" w:rsidRDefault="00293709" w:rsidP="00206C45">
      <w:pPr>
        <w:pStyle w:val="Heading2"/>
        <w:spacing w:line="300" w:lineRule="auto"/>
      </w:pPr>
      <w:bookmarkStart w:id="266" w:name="_Toc128138004"/>
      <w:r w:rsidRPr="00C64BA4">
        <w:t>Parks and other Civic Resources</w:t>
      </w:r>
      <w:bookmarkEnd w:id="266"/>
    </w:p>
    <w:p w14:paraId="2198B35B" w14:textId="58BB6E71" w:rsidR="21622BAD" w:rsidRPr="00C64BA4" w:rsidRDefault="21622BAD" w:rsidP="00206C45">
      <w:pPr>
        <w:pStyle w:val="Body"/>
        <w:spacing w:line="300" w:lineRule="auto"/>
      </w:pPr>
      <w:r w:rsidRPr="00C64BA4">
        <w:t xml:space="preserve">Public parks, recreational facilities and other civic resources are an integral component of social equity.  They are places </w:t>
      </w:r>
      <w:r w:rsidR="3B349FD8" w:rsidRPr="00C64BA4">
        <w:t xml:space="preserve">everyone can access and enjoy, regardless of their socioeconomic circumstances, thus making them particularly important for people of modest means.  </w:t>
      </w:r>
      <w:r w:rsidR="7A091AC0" w:rsidRPr="00C64BA4">
        <w:t xml:space="preserve">Unfortunately, these are the people </w:t>
      </w:r>
      <w:r w:rsidR="7A091AC0" w:rsidRPr="00F61D72">
        <w:t>who may not have the same access to public spaces</w:t>
      </w:r>
      <w:r w:rsidR="7A091AC0" w:rsidRPr="00C64BA4">
        <w:t>, either in terms of quality or quantity</w:t>
      </w:r>
      <w:r w:rsidR="00DA1424">
        <w:rPr>
          <w:rStyle w:val="FootnoteReference"/>
        </w:rPr>
        <w:footnoteReference w:id="65"/>
      </w:r>
      <w:r w:rsidR="7A091AC0" w:rsidRPr="00C64BA4">
        <w:t>.</w:t>
      </w:r>
    </w:p>
    <w:p w14:paraId="2B3BFCAF" w14:textId="709927E8" w:rsidR="2A3452D3" w:rsidRPr="00C64BA4" w:rsidRDefault="46F2A712" w:rsidP="00206C45">
      <w:pPr>
        <w:pStyle w:val="Body"/>
        <w:spacing w:line="300" w:lineRule="auto"/>
      </w:pPr>
      <w:r w:rsidRPr="00C64BA4">
        <w:t xml:space="preserve">In the Southern New Hampshire region, </w:t>
      </w:r>
      <w:r w:rsidR="16BB8A80" w:rsidRPr="00C64BA4">
        <w:t xml:space="preserve">recreational facilities are being identified and mapped </w:t>
      </w:r>
      <w:r w:rsidR="2A3452D3" w:rsidRPr="00C64BA4">
        <w:t xml:space="preserve">through a program called Pathways to Play.  SNHPC was awarded a grant to work with local and regional stakeholders to identify recreation areas and </w:t>
      </w:r>
      <w:r w:rsidR="344B49FE" w:rsidRPr="00C64BA4">
        <w:t>programs and</w:t>
      </w:r>
      <w:r w:rsidR="2A3452D3" w:rsidRPr="00C64BA4">
        <w:t xml:space="preserve"> evaluate access to them for the 14 communities in the Commission region.</w:t>
      </w:r>
      <w:r w:rsidR="73C69025" w:rsidRPr="00C64BA4">
        <w:t xml:space="preserve"> In addition to mapping the recreation areas, the project will also map the transit, walking, biking routes, and parking facilities that people use to access</w:t>
      </w:r>
      <w:r w:rsidR="0010672A" w:rsidRPr="00C64BA4">
        <w:t xml:space="preserve"> them.</w:t>
      </w:r>
    </w:p>
    <w:p w14:paraId="270E0245" w14:textId="411929F1" w:rsidR="00293709" w:rsidRPr="00C64BA4" w:rsidRDefault="00DA1424" w:rsidP="00206C45">
      <w:pPr>
        <w:pStyle w:val="Heading2"/>
        <w:spacing w:line="300" w:lineRule="auto"/>
      </w:pPr>
      <w:bookmarkStart w:id="267" w:name="_Toc128138005"/>
      <w:r w:rsidRPr="00C64BA4">
        <w:rPr>
          <w:noProof/>
        </w:rPr>
        <w:lastRenderedPageBreak/>
        <w:drawing>
          <wp:anchor distT="0" distB="0" distL="114300" distR="114300" simplePos="0" relativeHeight="251694080" behindDoc="1" locked="0" layoutInCell="1" allowOverlap="1" wp14:anchorId="40CE1EA4" wp14:editId="7D6AE4C7">
            <wp:simplePos x="0" y="0"/>
            <wp:positionH relativeFrom="margin">
              <wp:align>left</wp:align>
            </wp:positionH>
            <wp:positionV relativeFrom="paragraph">
              <wp:posOffset>229235</wp:posOffset>
            </wp:positionV>
            <wp:extent cx="2695575" cy="4572000"/>
            <wp:effectExtent l="0" t="0" r="9525" b="0"/>
            <wp:wrapTight wrapText="bothSides">
              <wp:wrapPolygon edited="0">
                <wp:start x="0" y="0"/>
                <wp:lineTo x="0" y="21510"/>
                <wp:lineTo x="21524" y="21510"/>
                <wp:lineTo x="21524" y="0"/>
                <wp:lineTo x="0" y="0"/>
              </wp:wrapPolygon>
            </wp:wrapTight>
            <wp:docPr id="206553285" name="Picture 20655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2695575" cy="4572000"/>
                    </a:xfrm>
                    <a:prstGeom prst="rect">
                      <a:avLst/>
                    </a:prstGeom>
                  </pic:spPr>
                </pic:pic>
              </a:graphicData>
            </a:graphic>
          </wp:anchor>
        </w:drawing>
      </w:r>
      <w:r w:rsidR="00293709" w:rsidRPr="00C64BA4">
        <w:t>Housing related Health issues</w:t>
      </w:r>
      <w:bookmarkEnd w:id="267"/>
    </w:p>
    <w:p w14:paraId="2F4BE1EF" w14:textId="3E995B99" w:rsidR="00293709" w:rsidRPr="00C64BA4" w:rsidRDefault="64B0BC2E" w:rsidP="00206C45">
      <w:pPr>
        <w:pStyle w:val="Body"/>
        <w:spacing w:line="300" w:lineRule="auto"/>
      </w:pPr>
      <w:r w:rsidRPr="00C64BA4">
        <w:t xml:space="preserve">The presence of certain elements in a dwelling can cause a variety of health problems, </w:t>
      </w:r>
      <w:proofErr w:type="gramStart"/>
      <w:r w:rsidRPr="00C64BA4">
        <w:t>in particular from</w:t>
      </w:r>
      <w:proofErr w:type="gramEnd"/>
      <w:r w:rsidRPr="00C64BA4">
        <w:t xml:space="preserve"> these three elements:</w:t>
      </w:r>
    </w:p>
    <w:p w14:paraId="13B467E8" w14:textId="74AA3752" w:rsidR="00293709" w:rsidRPr="00C64BA4" w:rsidRDefault="64B0BC2E" w:rsidP="00206C45">
      <w:pPr>
        <w:pStyle w:val="Body"/>
        <w:numPr>
          <w:ilvl w:val="0"/>
          <w:numId w:val="29"/>
        </w:numPr>
        <w:spacing w:line="300" w:lineRule="auto"/>
      </w:pPr>
      <w:r w:rsidRPr="00C64BA4">
        <w:t>Lead.  Lead is commonly found in lead-based paint in older homes</w:t>
      </w:r>
      <w:r w:rsidR="3BCDF4F2" w:rsidRPr="00C64BA4">
        <w:t>, and can</w:t>
      </w:r>
      <w:r w:rsidRPr="00C64BA4">
        <w:t xml:space="preserve"> have serious health effects for children, including growth and learning problems. Federal and state regulations have reduced the amount of lead in air, drinking water, consumer products, and other settings</w:t>
      </w:r>
      <w:r w:rsidR="00BA553F">
        <w:t>.</w:t>
      </w:r>
      <w:r w:rsidRPr="00C64BA4">
        <w:t xml:space="preserve"> </w:t>
      </w:r>
      <w:r w:rsidR="00BA553F">
        <w:t>H</w:t>
      </w:r>
      <w:r w:rsidRPr="00C64BA4">
        <w:t>owever, if a home was built before 1978 – when the federal government banned the paint, it is more likely than not to have lead-based paint.</w:t>
      </w:r>
    </w:p>
    <w:p w14:paraId="41518164" w14:textId="40675DE5" w:rsidR="00293709" w:rsidRPr="00C64BA4" w:rsidRDefault="64B0BC2E" w:rsidP="00206C45">
      <w:pPr>
        <w:pStyle w:val="Body"/>
        <w:numPr>
          <w:ilvl w:val="0"/>
          <w:numId w:val="29"/>
        </w:numPr>
        <w:spacing w:line="300" w:lineRule="auto"/>
      </w:pPr>
      <w:r w:rsidRPr="00C64BA4">
        <w:t xml:space="preserve">Asbestos.  Asbestos is used in a variety of building materials, particularly for insulation.  Exposure to asbestos increases the risk of developing lung disease.  Exposure only occurs when the material containing asbestos is disturbed or damaged in a way that releases particles and fiber into the air. Most uses of asbestos are not banned, although some are under federal regulations.  </w:t>
      </w:r>
    </w:p>
    <w:p w14:paraId="0D304680" w14:textId="1B488681" w:rsidR="00293709" w:rsidRPr="00C64BA4" w:rsidRDefault="00DA1424" w:rsidP="00206C45">
      <w:pPr>
        <w:pStyle w:val="Body"/>
        <w:numPr>
          <w:ilvl w:val="0"/>
          <w:numId w:val="29"/>
        </w:numPr>
        <w:spacing w:line="300" w:lineRule="auto"/>
      </w:pPr>
      <w:r>
        <w:rPr>
          <w:noProof/>
        </w:rPr>
        <mc:AlternateContent>
          <mc:Choice Requires="wps">
            <w:drawing>
              <wp:anchor distT="0" distB="0" distL="114300" distR="114300" simplePos="0" relativeHeight="251696128" behindDoc="1" locked="0" layoutInCell="1" allowOverlap="1" wp14:anchorId="6695A3F2" wp14:editId="71DC74D1">
                <wp:simplePos x="0" y="0"/>
                <wp:positionH relativeFrom="margin">
                  <wp:posOffset>444666</wp:posOffset>
                </wp:positionH>
                <wp:positionV relativeFrom="paragraph">
                  <wp:posOffset>454052</wp:posOffset>
                </wp:positionV>
                <wp:extent cx="2273935" cy="635"/>
                <wp:effectExtent l="0" t="0" r="0" b="8890"/>
                <wp:wrapTight wrapText="bothSides">
                  <wp:wrapPolygon edited="0">
                    <wp:start x="0" y="0"/>
                    <wp:lineTo x="0" y="20749"/>
                    <wp:lineTo x="21353" y="20749"/>
                    <wp:lineTo x="21353"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2273935" cy="635"/>
                        </a:xfrm>
                        <a:prstGeom prst="rect">
                          <a:avLst/>
                        </a:prstGeom>
                        <a:solidFill>
                          <a:prstClr val="white"/>
                        </a:solidFill>
                        <a:ln>
                          <a:noFill/>
                        </a:ln>
                      </wps:spPr>
                      <wps:txbx>
                        <w:txbxContent>
                          <w:p w14:paraId="60DC293A" w14:textId="32030159" w:rsidR="006374F0" w:rsidRDefault="004040EF" w:rsidP="004040EF">
                            <w:pPr>
                              <w:pStyle w:val="Caption"/>
                            </w:pPr>
                            <w:bookmarkStart w:id="268" w:name="_Toc128137889"/>
                            <w:r>
                              <w:t xml:space="preserve">Figure </w:t>
                            </w:r>
                            <w:r w:rsidR="0062538A">
                              <w:fldChar w:fldCharType="begin"/>
                            </w:r>
                            <w:r w:rsidR="0062538A">
                              <w:instrText xml:space="preserve"> SEQ Figure</w:instrText>
                            </w:r>
                            <w:r w:rsidR="0062538A">
                              <w:instrText xml:space="preserve"> \* ARABIC </w:instrText>
                            </w:r>
                            <w:r w:rsidR="0062538A">
                              <w:fldChar w:fldCharType="separate"/>
                            </w:r>
                            <w:r w:rsidR="00E75682">
                              <w:rPr>
                                <w:noProof/>
                              </w:rPr>
                              <w:t>30</w:t>
                            </w:r>
                            <w:r w:rsidR="0062538A">
                              <w:rPr>
                                <w:noProof/>
                              </w:rPr>
                              <w:fldChar w:fldCharType="end"/>
                            </w:r>
                            <w:r>
                              <w:t xml:space="preserve">: </w:t>
                            </w:r>
                            <w:r w:rsidRPr="007965BC">
                              <w:t xml:space="preserve">Radon Risk </w:t>
                            </w:r>
                            <w:r w:rsidRPr="006374F0">
                              <w:t>by County</w:t>
                            </w:r>
                            <w:r w:rsidR="006374F0" w:rsidRPr="006374F0">
                              <w:t>.</w:t>
                            </w:r>
                            <w:bookmarkEnd w:id="268"/>
                            <w:r w:rsidR="006374F0" w:rsidRPr="006374F0">
                              <w:t xml:space="preserve"> </w:t>
                            </w:r>
                          </w:p>
                          <w:p w14:paraId="4FAC84A1" w14:textId="6A5F30B3" w:rsidR="004040EF" w:rsidRPr="003169EF" w:rsidRDefault="006374F0" w:rsidP="004040EF">
                            <w:pPr>
                              <w:pStyle w:val="Caption"/>
                            </w:pPr>
                            <w:r w:rsidRPr="006374F0">
                              <w:t>(The orange represents Zone 2, which has predicted average radon levels at or above the EPA’s action level</w:t>
                            </w:r>
                            <w:r w:rsidRPr="006374F0">
                              <w:rPr>
                                <w:rStyle w:val="CommentReference"/>
                              </w:rPr>
                              <w:t/>
                            </w:r>
                            <w:r w:rsidRPr="006374F0">
                              <w:rPr>
                                <w:rStyle w:val="CommentReference"/>
                              </w:rPr>
                              <w:t/>
                            </w:r>
                            <w:r w:rsidRPr="006374F0">
                              <w:rPr>
                                <w:rStyle w:val="CommentReference"/>
                              </w:rPr>
                              <w:t/>
                            </w:r>
                            <w:r w:rsidRPr="006374F0">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95A3F2" id="Text Box 32" o:spid="_x0000_s1037" type="#_x0000_t202" style="position:absolute;left:0;text-align:left;margin-left:35pt;margin-top:35.75pt;width:179.05pt;height:.05pt;z-index:-251620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" stroked="f">
                <v:textbox style="mso-fit-shape-to-text:t" inset="0,0,0,0">
                  <w:txbxContent>
                    <w:p w14:paraId="60DC293A" w14:textId="32030159" w:rsidR="006374F0" w:rsidRDefault="004040EF" w:rsidP="004040EF">
                      <w:pPr>
                        <w:pStyle w:val="Caption"/>
                      </w:pPr>
                      <w:bookmarkStart w:id="269" w:name="_Toc128137889"/>
                      <w:r>
                        <w:t xml:space="preserve">Figure </w:t>
                      </w:r>
                      <w:r w:rsidR="0062538A">
                        <w:fldChar w:fldCharType="begin"/>
                      </w:r>
                      <w:r w:rsidR="0062538A">
                        <w:instrText xml:space="preserve"> SEQ Figure</w:instrText>
                      </w:r>
                      <w:r w:rsidR="0062538A">
                        <w:instrText xml:space="preserve"> \* ARABIC </w:instrText>
                      </w:r>
                      <w:r w:rsidR="0062538A">
                        <w:fldChar w:fldCharType="separate"/>
                      </w:r>
                      <w:r w:rsidR="00E75682">
                        <w:rPr>
                          <w:noProof/>
                        </w:rPr>
                        <w:t>30</w:t>
                      </w:r>
                      <w:r w:rsidR="0062538A">
                        <w:rPr>
                          <w:noProof/>
                        </w:rPr>
                        <w:fldChar w:fldCharType="end"/>
                      </w:r>
                      <w:r>
                        <w:t xml:space="preserve">: </w:t>
                      </w:r>
                      <w:r w:rsidRPr="007965BC">
                        <w:t xml:space="preserve">Radon Risk </w:t>
                      </w:r>
                      <w:r w:rsidRPr="006374F0">
                        <w:t>by County</w:t>
                      </w:r>
                      <w:r w:rsidR="006374F0" w:rsidRPr="006374F0">
                        <w:t>.</w:t>
                      </w:r>
                      <w:bookmarkEnd w:id="269"/>
                      <w:r w:rsidR="006374F0" w:rsidRPr="006374F0">
                        <w:t xml:space="preserve"> </w:t>
                      </w:r>
                    </w:p>
                    <w:p w14:paraId="4FAC84A1" w14:textId="6A5F30B3" w:rsidR="004040EF" w:rsidRPr="003169EF" w:rsidRDefault="006374F0" w:rsidP="004040EF">
                      <w:pPr>
                        <w:pStyle w:val="Caption"/>
                      </w:pPr>
                      <w:r w:rsidRPr="006374F0">
                        <w:t>(The orange represents Zone 2, which has predicted average radon levels at or above the EPA’s action level</w:t>
                      </w:r>
                      <w:r w:rsidRPr="006374F0">
                        <w:rPr>
                          <w:rStyle w:val="CommentReference"/>
                        </w:rPr>
                        <w:t/>
                      </w:r>
                      <w:r w:rsidRPr="006374F0">
                        <w:rPr>
                          <w:rStyle w:val="CommentReference"/>
                        </w:rPr>
                        <w:t/>
                      </w:r>
                      <w:r w:rsidRPr="006374F0">
                        <w:rPr>
                          <w:rStyle w:val="CommentReference"/>
                        </w:rPr>
                        <w:t/>
                      </w:r>
                      <w:r w:rsidRPr="006374F0">
                        <w:t>.)</w:t>
                      </w:r>
                    </w:p>
                  </w:txbxContent>
                </v:textbox>
                <w10:wrap type="tight" anchorx="margin"/>
              </v:shape>
            </w:pict>
          </mc:Fallback>
        </mc:AlternateContent>
      </w:r>
      <w:r w:rsidR="64B0BC2E" w:rsidRPr="00C64BA4">
        <w:t xml:space="preserve">Radon.  Radon is a </w:t>
      </w:r>
      <w:proofErr w:type="gramStart"/>
      <w:r w:rsidR="64B0BC2E" w:rsidRPr="00C64BA4">
        <w:t>naturally-occurring</w:t>
      </w:r>
      <w:proofErr w:type="gramEnd"/>
      <w:r w:rsidR="64B0BC2E" w:rsidRPr="00C64BA4">
        <w:t xml:space="preserve"> radioactive gas.  It is odorless, tasteless, and colorless and emanates from soil and bedrock, including granite – which makes it extremely prevalent in New Hampshire.  It can seep into homes through foundations floors or </w:t>
      </w:r>
      <w:proofErr w:type="gramStart"/>
      <w:r w:rsidR="64B0BC2E" w:rsidRPr="00C64BA4">
        <w:t>walls, and</w:t>
      </w:r>
      <w:proofErr w:type="gramEnd"/>
      <w:r w:rsidR="64B0BC2E" w:rsidRPr="00C64BA4">
        <w:t xml:space="preserve"> may also be present in private well water.  Radon is a known carcinogen. Unlike lead and asbestos, radon cannot be regulated; </w:t>
      </w:r>
      <w:r w:rsidR="009B0BE5">
        <w:t>but there are</w:t>
      </w:r>
      <w:r w:rsidR="64B0BC2E" w:rsidRPr="00C64BA4">
        <w:t xml:space="preserve"> construction techniques that can minimize radon entry into a home. Unless a home has been constructed using these techniques, all homes in New Hampshire are vulnerable to some amount of radon.  The Environmental Protection Agency (EPA) produces state maps that show the radon risks by county.  In New Hampshire, every county but Belknap is considered to have elevated risk for radon.  </w:t>
      </w:r>
    </w:p>
    <w:p w14:paraId="63D80535" w14:textId="51CB8FFF" w:rsidR="0030642C" w:rsidRPr="00C64BA4" w:rsidRDefault="5A55324A" w:rsidP="00206C45">
      <w:pPr>
        <w:pStyle w:val="Heading2"/>
        <w:spacing w:line="300" w:lineRule="auto"/>
      </w:pPr>
      <w:bookmarkStart w:id="270" w:name="_Toc1405952811"/>
      <w:bookmarkStart w:id="271" w:name="_Toc1155007401"/>
      <w:bookmarkStart w:id="272" w:name="_Toc128138006"/>
      <w:r w:rsidRPr="00C64BA4">
        <w:t xml:space="preserve">Fair Housing </w:t>
      </w:r>
      <w:r w:rsidR="16C0BE27" w:rsidRPr="00C64BA4">
        <w:t>Approaches</w:t>
      </w:r>
      <w:bookmarkEnd w:id="270"/>
      <w:bookmarkEnd w:id="271"/>
      <w:bookmarkEnd w:id="272"/>
    </w:p>
    <w:p w14:paraId="35963218" w14:textId="6576C7D3" w:rsidR="0053133F" w:rsidRPr="00C64BA4" w:rsidRDefault="0053133F" w:rsidP="00206C45">
      <w:pPr>
        <w:pStyle w:val="Body"/>
        <w:spacing w:line="300" w:lineRule="auto"/>
      </w:pPr>
      <w:bookmarkStart w:id="273" w:name="_Toc1376007853"/>
      <w:bookmarkStart w:id="274" w:name="_Toc1422738617"/>
      <w:r w:rsidRPr="00C64BA4">
        <w:rPr>
          <w:color w:val="111111"/>
          <w:shd w:val="clear" w:color="auto" w:fill="FFFFFF"/>
        </w:rPr>
        <w:t>Fair housing is the right to choose housing free from unlawful discrimination, specifically discrimination based on factors including race, national origin, religion, or disability.  The following review of fair housing infrastructure is intended to further identify barriers and opportunities to the provision of housing choices in the region.  This section examines the existing statutes and case law that shape housing choice; highlights the most common complaints/barriers to housing choice; and describes resources that exist to help overcome the barriers.</w:t>
      </w:r>
    </w:p>
    <w:p w14:paraId="7B84CBCE" w14:textId="1CFEFDF8" w:rsidR="00293709" w:rsidRPr="00C64BA4" w:rsidRDefault="6AF7086B" w:rsidP="00206C45">
      <w:pPr>
        <w:pStyle w:val="Heading3"/>
        <w:spacing w:line="300" w:lineRule="auto"/>
      </w:pPr>
      <w:bookmarkStart w:id="275" w:name="_Toc128138007"/>
      <w:r w:rsidRPr="00C64BA4">
        <w:lastRenderedPageBreak/>
        <w:t>History of Fair Housing</w:t>
      </w:r>
      <w:bookmarkEnd w:id="273"/>
      <w:bookmarkEnd w:id="274"/>
      <w:bookmarkEnd w:id="275"/>
    </w:p>
    <w:p w14:paraId="6FA265D8" w14:textId="4E005912" w:rsidR="5E003348" w:rsidRPr="00C64BA4" w:rsidRDefault="5E003348" w:rsidP="00206C45">
      <w:pPr>
        <w:pStyle w:val="Body"/>
        <w:spacing w:line="300" w:lineRule="auto"/>
      </w:pPr>
      <w:r w:rsidRPr="00C64BA4">
        <w:t>Fair housing was first legislated in 1968 during the civil rights movement and in the wake of Dr. Martin Luther King, J</w:t>
      </w:r>
      <w:r w:rsidR="009B0BE5">
        <w:t>r.</w:t>
      </w:r>
      <w:r w:rsidRPr="00C64BA4">
        <w:t xml:space="preserve">’s assassination. The Federal Fair Housing Act (FHA) was initially adopted to prohibit discrimination based on race, color, national origin, and religion. It has since been amended to further 75 include gender or sex, familial status, </w:t>
      </w:r>
      <w:proofErr w:type="gramStart"/>
      <w:r w:rsidRPr="00C64BA4">
        <w:t>disability</w:t>
      </w:r>
      <w:proofErr w:type="gramEnd"/>
      <w:r w:rsidRPr="00C64BA4">
        <w:t xml:space="preserve"> and gender identity. Combined these represent the “protected classes.” The Act’s goals were to promote integration and suppress segregation in housing and to stop discriminatory practices against these protected classes in the housing arena. </w:t>
      </w:r>
    </w:p>
    <w:p w14:paraId="0561EB34" w14:textId="3D08B6C4" w:rsidR="5E003348" w:rsidRPr="00C64BA4" w:rsidRDefault="5E003348" w:rsidP="00206C45">
      <w:pPr>
        <w:pStyle w:val="Body"/>
        <w:spacing w:line="300" w:lineRule="auto"/>
      </w:pPr>
      <w:r w:rsidRPr="00C64BA4">
        <w:t xml:space="preserve">Since the enactment of the FHA, </w:t>
      </w:r>
      <w:r w:rsidR="009B0BE5">
        <w:t>t</w:t>
      </w:r>
      <w:r w:rsidRPr="00C64BA4">
        <w:t xml:space="preserve">he Department of Housing and Urban Development (HUD) has been active in promoting fair housing practices and requires all grantees to further fair housing opportunities. To support improvements in Fair Housing, HUD also </w:t>
      </w:r>
      <w:r w:rsidR="009B0BE5">
        <w:t>offers</w:t>
      </w:r>
      <w:r w:rsidR="009B0BE5" w:rsidRPr="00C64BA4">
        <w:t xml:space="preserve"> </w:t>
      </w:r>
      <w:r w:rsidRPr="00C64BA4">
        <w:t xml:space="preserve">a fair housing complaint process which allows residents to bring fair housing issues to the forefront. </w:t>
      </w:r>
    </w:p>
    <w:p w14:paraId="148535D3" w14:textId="36C8D698" w:rsidR="5E003348" w:rsidRPr="00C64BA4" w:rsidRDefault="5E003348" w:rsidP="00206C45">
      <w:pPr>
        <w:pStyle w:val="Body"/>
        <w:spacing w:line="300" w:lineRule="auto"/>
      </w:pPr>
      <w:r w:rsidRPr="00C64BA4">
        <w:t>Local efforts to promote fair housing in New Hampshire predate the FHA with adoption of the State’s anti-discrimination laws in 1965 (</w:t>
      </w:r>
      <w:hyperlink r:id="rId81" w:history="1">
        <w:r w:rsidRPr="001316AA">
          <w:rPr>
            <w:rStyle w:val="Hyperlink"/>
          </w:rPr>
          <w:t>RSA 354-A</w:t>
        </w:r>
      </w:hyperlink>
      <w:r w:rsidRPr="00C64BA4">
        <w:t>), which created a legal obligation for those renting or selling to do so independent of an individual’s race, color, national origin, religion, gender, disability or familial status, and including age, marital status, or sexual orientation. The New Hampshire Housing Finance Authority (NHHFA) was established in 1981 to further housing opportunities for NH residents. NHHFA furthers fair housing opportunities in the state through their grant funding programs for municipalities, affordable housing financing mechanisms, and education programs. They are also responsible for adoption of the State’s Analysis of Impediments to Fair Housing, which is the primary source for a complete understanding of fair housing barriers and opportunities in the State. Additionally, in 2014 NHHFA produced “</w:t>
      </w:r>
      <w:hyperlink r:id="rId82" w:history="1">
        <w:r w:rsidRPr="001316AA">
          <w:rPr>
            <w:rStyle w:val="Hyperlink"/>
          </w:rPr>
          <w:t>Fair Housing for Regional and Municipal Planning: A Guidebook for New Hampshire Planners</w:t>
        </w:r>
      </w:hyperlink>
      <w:r w:rsidRPr="00C64BA4">
        <w:t xml:space="preserve">” that provides a full background of the legal history of federal and state fair housing law and case law, highlights of which follow. </w:t>
      </w:r>
    </w:p>
    <w:p w14:paraId="77C1D160" w14:textId="339FE3AA" w:rsidR="00293709" w:rsidRPr="00C64BA4" w:rsidRDefault="4E6A626A" w:rsidP="00206C45">
      <w:pPr>
        <w:pStyle w:val="Heading3"/>
        <w:spacing w:line="300" w:lineRule="auto"/>
      </w:pPr>
      <w:bookmarkStart w:id="276" w:name="_Toc649519634"/>
      <w:bookmarkStart w:id="277" w:name="_Toc1709508203"/>
      <w:bookmarkStart w:id="278" w:name="_Toc128138008"/>
      <w:r w:rsidRPr="00C64BA4">
        <w:t>Disparate Impacts and Discrimination</w:t>
      </w:r>
      <w:bookmarkEnd w:id="276"/>
      <w:bookmarkEnd w:id="277"/>
      <w:bookmarkEnd w:id="278"/>
    </w:p>
    <w:p w14:paraId="74B04E9B" w14:textId="0809295C" w:rsidR="20A224F9" w:rsidRPr="00596F6D" w:rsidRDefault="27B1D0C4" w:rsidP="00206C45">
      <w:pPr>
        <w:spacing w:line="300" w:lineRule="auto"/>
        <w:jc w:val="both"/>
        <w:rPr>
          <w:rFonts w:eastAsia="Tw Cen MT" w:cs="Tw Cen MT"/>
        </w:rPr>
      </w:pPr>
      <w:r w:rsidRPr="00596F6D">
        <w:rPr>
          <w:rFonts w:eastAsia="Tw Cen MT" w:cs="Tw Cen MT"/>
          <w:lang w:val="en"/>
        </w:rPr>
        <w:t>According</w:t>
      </w:r>
      <w:r w:rsidR="757A2EF2" w:rsidRPr="00596F6D">
        <w:rPr>
          <w:rFonts w:eastAsia="Tw Cen MT" w:cs="Tw Cen MT"/>
          <w:lang w:val="en"/>
        </w:rPr>
        <w:t xml:space="preserve"> to the </w:t>
      </w:r>
      <w:r w:rsidR="757A2EF2" w:rsidRPr="003210CD">
        <w:rPr>
          <w:rFonts w:eastAsia="Tw Cen MT" w:cs="Tw Cen MT"/>
          <w:lang w:val="en"/>
        </w:rPr>
        <w:t>New Hampshire Commission for Human Rights</w:t>
      </w:r>
      <w:r w:rsidR="757A2EF2" w:rsidRPr="00596F6D">
        <w:rPr>
          <w:rFonts w:eastAsia="Tw Cen MT" w:cs="Tw Cen MT"/>
          <w:lang w:val="en"/>
        </w:rPr>
        <w:t>, there</w:t>
      </w:r>
      <w:r w:rsidR="5C104C15" w:rsidRPr="00596F6D">
        <w:rPr>
          <w:rFonts w:eastAsia="Tw Cen MT" w:cs="Tw Cen MT"/>
          <w:lang w:val="en"/>
        </w:rPr>
        <w:t xml:space="preserve"> were 59 cases of </w:t>
      </w:r>
      <w:r w:rsidR="7FA769A6" w:rsidRPr="00596F6D">
        <w:rPr>
          <w:rFonts w:eastAsia="Tw Cen MT" w:cs="Tw Cen MT"/>
          <w:lang w:val="en"/>
        </w:rPr>
        <w:t>housing discrimination in the state between 2015 and May 2022</w:t>
      </w:r>
      <w:r w:rsidR="00E4559F">
        <w:rPr>
          <w:rStyle w:val="FootnoteReference"/>
          <w:rFonts w:eastAsia="Tw Cen MT" w:cs="Tw Cen MT"/>
          <w:lang w:val="en"/>
        </w:rPr>
        <w:footnoteReference w:id="66"/>
      </w:r>
      <w:r w:rsidR="7FA769A6" w:rsidRPr="00596F6D">
        <w:rPr>
          <w:rFonts w:eastAsia="Tw Cen MT" w:cs="Tw Cen MT"/>
          <w:lang w:val="en"/>
        </w:rPr>
        <w:t xml:space="preserve">. </w:t>
      </w:r>
      <w:r w:rsidR="006841D5">
        <w:rPr>
          <w:rFonts w:eastAsia="Tw Cen MT" w:cs="Tw Cen MT"/>
          <w:lang w:val="en"/>
        </w:rPr>
        <w:t>Of these cases, the majority (75%) had a basis in disability discrimination. Other common bases were familial status (12%)</w:t>
      </w:r>
      <w:r w:rsidR="006D5C90">
        <w:rPr>
          <w:rFonts w:eastAsia="Tw Cen MT" w:cs="Tw Cen MT"/>
          <w:lang w:val="en"/>
        </w:rPr>
        <w:t xml:space="preserve">, retaliation (10%) and national origin (10%). </w:t>
      </w:r>
      <w:r w:rsidR="5F752A17" w:rsidRPr="00596F6D">
        <w:rPr>
          <w:rFonts w:eastAsia="Tw Cen MT" w:cs="Tw Cen MT"/>
          <w:lang w:val="en"/>
        </w:rPr>
        <w:t xml:space="preserve">Approximately 78% of social service workers surveyed </w:t>
      </w:r>
      <w:r w:rsidR="0BD7F2B1" w:rsidRPr="00596F6D">
        <w:rPr>
          <w:rFonts w:eastAsia="Tw Cen MT" w:cs="Tw Cen MT"/>
          <w:lang w:val="en"/>
        </w:rPr>
        <w:t xml:space="preserve">in the SNHPC region </w:t>
      </w:r>
      <w:r w:rsidR="5F752A17" w:rsidRPr="00596F6D">
        <w:rPr>
          <w:rFonts w:eastAsia="Tw Cen MT" w:cs="Tw Cen MT"/>
          <w:lang w:val="en"/>
        </w:rPr>
        <w:t xml:space="preserve">reported that demand for housing units greatly exceeds supply and approximately 74% said that the number of individuals/families facing housing challenges has increased over time. It was reported that the people who have the hardest time finding and keeping housing in our area include people who receive assistance (like vouchers), have poor credit, eviction history, and domestic violence history. In contrast, </w:t>
      </w:r>
      <w:proofErr w:type="gramStart"/>
      <w:r w:rsidR="5F752A17" w:rsidRPr="00596F6D">
        <w:rPr>
          <w:rFonts w:eastAsia="Tw Cen MT" w:cs="Tw Cen MT"/>
          <w:lang w:val="en"/>
        </w:rPr>
        <w:t>the majority of</w:t>
      </w:r>
      <w:proofErr w:type="gramEnd"/>
      <w:r w:rsidR="5F752A17" w:rsidRPr="00596F6D">
        <w:rPr>
          <w:rFonts w:eastAsia="Tw Cen MT" w:cs="Tw Cen MT"/>
          <w:lang w:val="en"/>
        </w:rPr>
        <w:t xml:space="preserve"> respondents to the general public survey (26%) stated that "housing discrimination" is a challenge that "does not apply to my community". Homelessness was an important topic at the Manchester municipal focus group meeting as well as with the Manchester Housing Commission.</w:t>
      </w:r>
    </w:p>
    <w:p w14:paraId="62723C28" w14:textId="562EEC74" w:rsidR="004C608B" w:rsidRPr="00C64BA4" w:rsidRDefault="192F52F6" w:rsidP="00C8049F">
      <w:pPr>
        <w:pStyle w:val="Heading4"/>
        <w:keepNext/>
        <w:keepLines/>
        <w:spacing w:line="300" w:lineRule="auto"/>
      </w:pPr>
      <w:r w:rsidRPr="00C64BA4">
        <w:lastRenderedPageBreak/>
        <w:t>Municipal Data</w:t>
      </w:r>
    </w:p>
    <w:p w14:paraId="5CE1D851" w14:textId="772FE792" w:rsidR="6166D031" w:rsidRPr="00C64BA4" w:rsidRDefault="6166D031" w:rsidP="00C8049F">
      <w:pPr>
        <w:keepNext/>
        <w:keepLines/>
        <w:spacing w:line="300" w:lineRule="auto"/>
      </w:pPr>
      <w:r w:rsidRPr="00C64BA4">
        <w:t>The 2020-2024 Manchester, NH Analysis of Impediments to Fair Housing Choice</w:t>
      </w:r>
      <w:r w:rsidR="29288164" w:rsidRPr="00C64BA4">
        <w:t xml:space="preserve"> include</w:t>
      </w:r>
      <w:r w:rsidR="2E9C1CFC" w:rsidRPr="00C64BA4">
        <w:t>s</w:t>
      </w:r>
      <w:r w:rsidR="29288164" w:rsidRPr="00C64BA4">
        <w:t xml:space="preserve"> a review of applicable City policies, practices, and procedures resulting in the development of a plan of action to eliminate or improve </w:t>
      </w:r>
      <w:r w:rsidR="60F37AB0" w:rsidRPr="00C64BA4">
        <w:t>identified</w:t>
      </w:r>
      <w:r w:rsidR="29288164" w:rsidRPr="00C64BA4">
        <w:t xml:space="preserve"> </w:t>
      </w:r>
      <w:r w:rsidR="58F1D052" w:rsidRPr="00C64BA4">
        <w:t>conditions</w:t>
      </w:r>
      <w:r w:rsidR="29288164" w:rsidRPr="00C64BA4">
        <w:t xml:space="preserve"> that limit fair housing choice. </w:t>
      </w:r>
    </w:p>
    <w:p w14:paraId="7DD18F4C" w14:textId="5890C7D1" w:rsidR="7C4B3D43" w:rsidRPr="00C64BA4" w:rsidRDefault="7C4B3D43" w:rsidP="00206C45">
      <w:pPr>
        <w:spacing w:line="300" w:lineRule="auto"/>
        <w:rPr>
          <w:rFonts w:eastAsia="Tw Cen MT" w:cs="Tw Cen MT"/>
        </w:rPr>
      </w:pPr>
      <w:r w:rsidRPr="00C64BA4">
        <w:t>According to the report, f</w:t>
      </w:r>
      <w:r w:rsidRPr="00C64BA4">
        <w:rPr>
          <w:rFonts w:eastAsia="Tw Cen MT" w:cs="Tw Cen MT"/>
        </w:rPr>
        <w:t>rom January 2013 to December 2019 NHLA handled a total of 146 fair housing cases related to discrimination in the City of Manchester, of which 18 cases involved discrimination in more than one protected class. Close to half of these were related to the protected class of those with a mental disability (68 cases). The protected class of those with a physical disability was also largely represented in this timeframe with 45 cases.</w:t>
      </w:r>
    </w:p>
    <w:p w14:paraId="38168B46" w14:textId="3BC75BE6" w:rsidR="006954BD" w:rsidRPr="00C64BA4" w:rsidRDefault="729F344D" w:rsidP="00206C45">
      <w:pPr>
        <w:spacing w:line="300" w:lineRule="auto"/>
      </w:pPr>
      <w:r w:rsidRPr="00C64BA4">
        <w:t xml:space="preserve">Although there were 779 home mortgage denials in Manchester in 2019, the evidence indicates that mortgage </w:t>
      </w:r>
      <w:r w:rsidRPr="003210CD">
        <w:t>denials do not disproportionately affect mor</w:t>
      </w:r>
      <w:r w:rsidR="7813DF52" w:rsidRPr="003210CD">
        <w:t>tgage applicants based on race or ethnicity</w:t>
      </w:r>
      <w:r w:rsidR="7813DF52" w:rsidRPr="00C64BA4">
        <w:t>.</w:t>
      </w:r>
      <w:r w:rsidR="00443B5B">
        <w:rPr>
          <w:rStyle w:val="FootnoteReference"/>
        </w:rPr>
        <w:footnoteReference w:id="67"/>
      </w:r>
    </w:p>
    <w:p w14:paraId="27DA6A51" w14:textId="24D91C11" w:rsidR="004C608B" w:rsidRPr="00C64BA4" w:rsidRDefault="004C608B" w:rsidP="00206C45">
      <w:pPr>
        <w:pStyle w:val="Heading4"/>
        <w:spacing w:line="300" w:lineRule="auto"/>
      </w:pPr>
      <w:r w:rsidRPr="00C64BA4">
        <w:t>Violations</w:t>
      </w:r>
    </w:p>
    <w:p w14:paraId="012D6F3C" w14:textId="1D5E2C1C" w:rsidR="004C608B" w:rsidRPr="00C64BA4" w:rsidRDefault="2900556D" w:rsidP="00206C45">
      <w:pPr>
        <w:pStyle w:val="Body"/>
        <w:spacing w:line="300" w:lineRule="auto"/>
      </w:pPr>
      <w:r w:rsidRPr="00C64BA4">
        <w:t xml:space="preserve">From 2014-2022 there were 262 </w:t>
      </w:r>
      <w:r w:rsidR="7B16D293" w:rsidRPr="00C64BA4">
        <w:t xml:space="preserve">fair housing </w:t>
      </w:r>
      <w:r w:rsidRPr="00C64BA4">
        <w:t xml:space="preserve">complaints filed </w:t>
      </w:r>
      <w:r w:rsidR="26F643C2" w:rsidRPr="00C64BA4">
        <w:t>with</w:t>
      </w:r>
      <w:r w:rsidR="03B69CD1" w:rsidRPr="00C64BA4">
        <w:t xml:space="preserve"> New Hampshire Legal </w:t>
      </w:r>
      <w:r w:rsidR="19D6B948" w:rsidRPr="00C64BA4">
        <w:t>Assistance</w:t>
      </w:r>
      <w:r w:rsidR="7B6A6BF9" w:rsidRPr="00C64BA4">
        <w:t xml:space="preserve"> within the SNHPC region.</w:t>
      </w:r>
      <w:r w:rsidR="141D89D9" w:rsidRPr="00C64BA4">
        <w:t xml:space="preserve"> The</w:t>
      </w:r>
      <w:r w:rsidR="0DCBD20C" w:rsidRPr="00C64BA4">
        <w:t xml:space="preserve"> </w:t>
      </w:r>
      <w:r w:rsidR="141D89D9" w:rsidRPr="00C64BA4">
        <w:t>protected class</w:t>
      </w:r>
      <w:r w:rsidR="6981ED8F" w:rsidRPr="00C64BA4">
        <w:t xml:space="preserve"> with the highest number of complaints filed was</w:t>
      </w:r>
      <w:r w:rsidR="141D89D9" w:rsidRPr="00C64BA4">
        <w:t xml:space="preserve"> </w:t>
      </w:r>
      <w:r w:rsidR="286C8B80" w:rsidRPr="00C64BA4">
        <w:t>Mental Health Disability (45%).</w:t>
      </w:r>
    </w:p>
    <w:tbl>
      <w:tblPr>
        <w:tblStyle w:val="TableGrid"/>
        <w:tblW w:w="0" w:type="auto"/>
        <w:tblLayout w:type="fixed"/>
        <w:tblLook w:val="06A0" w:firstRow="1" w:lastRow="0" w:firstColumn="1" w:lastColumn="0" w:noHBand="1" w:noVBand="1"/>
      </w:tblPr>
      <w:tblGrid>
        <w:gridCol w:w="3735"/>
        <w:gridCol w:w="5550"/>
      </w:tblGrid>
      <w:tr w:rsidR="2A12A8AF" w:rsidRPr="00C64BA4" w14:paraId="26FBBB62" w14:textId="77777777" w:rsidTr="00AE1D4C">
        <w:trPr>
          <w:trHeight w:val="300"/>
        </w:trPr>
        <w:tc>
          <w:tcPr>
            <w:tcW w:w="3735" w:type="dxa"/>
            <w:tcBorders>
              <w:top w:val="nil"/>
              <w:left w:val="nil"/>
              <w:bottom w:val="nil"/>
              <w:right w:val="nil"/>
            </w:tcBorders>
            <w:vAlign w:val="bottom"/>
          </w:tcPr>
          <w:p w14:paraId="38933BB1" w14:textId="14D484D3" w:rsidR="004040EF" w:rsidRDefault="004040EF" w:rsidP="00206C45">
            <w:pPr>
              <w:pStyle w:val="Caption"/>
              <w:keepNext/>
              <w:spacing w:line="300" w:lineRule="auto"/>
            </w:pPr>
            <w:bookmarkStart w:id="279" w:name="_Toc128137929"/>
            <w:r>
              <w:t xml:space="preserve">Table </w:t>
            </w:r>
            <w:r w:rsidR="0062538A">
              <w:fldChar w:fldCharType="begin"/>
            </w:r>
            <w:r w:rsidR="0062538A">
              <w:instrText xml:space="preserve"> SEQ Table \* ARABIC </w:instrText>
            </w:r>
            <w:r w:rsidR="0062538A">
              <w:fldChar w:fldCharType="separate"/>
            </w:r>
            <w:r w:rsidR="008B512A">
              <w:rPr>
                <w:noProof/>
              </w:rPr>
              <w:t>38</w:t>
            </w:r>
            <w:r w:rsidR="0062538A">
              <w:rPr>
                <w:noProof/>
              </w:rPr>
              <w:fldChar w:fldCharType="end"/>
            </w:r>
            <w:r>
              <w:t>: Fair Housing Complaints in SNHPC Region 2014-2022</w:t>
            </w:r>
            <w:bookmarkEnd w:id="279"/>
          </w:p>
          <w:tbl>
            <w:tblPr>
              <w:tblW w:w="3720" w:type="dxa"/>
              <w:tblLayout w:type="fixed"/>
              <w:tblLook w:val="04A0" w:firstRow="1" w:lastRow="0" w:firstColumn="1" w:lastColumn="0" w:noHBand="0" w:noVBand="1"/>
            </w:tblPr>
            <w:tblGrid>
              <w:gridCol w:w="2340"/>
              <w:gridCol w:w="1380"/>
            </w:tblGrid>
            <w:tr w:rsidR="0019381A" w:rsidRPr="00C64BA4" w14:paraId="4AA36234" w14:textId="77777777" w:rsidTr="0019381A">
              <w:trPr>
                <w:trHeight w:val="300"/>
              </w:trPr>
              <w:tc>
                <w:tcPr>
                  <w:tcW w:w="3720" w:type="dxa"/>
                  <w:gridSpan w:val="2"/>
                  <w:tcBorders>
                    <w:top w:val="nil"/>
                    <w:left w:val="nil"/>
                    <w:bottom w:val="nil"/>
                    <w:right w:val="nil"/>
                  </w:tcBorders>
                  <w:shd w:val="clear" w:color="auto" w:fill="auto"/>
                  <w:noWrap/>
                  <w:vAlign w:val="bottom"/>
                  <w:hideMark/>
                </w:tcPr>
                <w:p w14:paraId="3AA442CC" w14:textId="77777777" w:rsidR="0019381A" w:rsidRPr="00C64BA4" w:rsidRDefault="0019381A" w:rsidP="00206C45">
                  <w:pPr>
                    <w:spacing w:after="0" w:line="300" w:lineRule="auto"/>
                    <w:jc w:val="center"/>
                    <w:rPr>
                      <w:rFonts w:eastAsia="Times New Roman" w:cs="Calibri"/>
                      <w:b/>
                      <w:bCs/>
                      <w:color w:val="595959"/>
                    </w:rPr>
                  </w:pPr>
                  <w:r w:rsidRPr="00C64BA4">
                    <w:rPr>
                      <w:rFonts w:eastAsia="Times New Roman" w:cs="Calibri"/>
                      <w:b/>
                      <w:bCs/>
                      <w:color w:val="595959"/>
                    </w:rPr>
                    <w:t>2014-2022</w:t>
                  </w:r>
                </w:p>
              </w:tc>
            </w:tr>
            <w:tr w:rsidR="0019381A" w:rsidRPr="00C64BA4" w14:paraId="39656749" w14:textId="77777777" w:rsidTr="0019381A">
              <w:trPr>
                <w:trHeight w:val="585"/>
              </w:trPr>
              <w:tc>
                <w:tcPr>
                  <w:tcW w:w="2340" w:type="dxa"/>
                  <w:tcBorders>
                    <w:top w:val="nil"/>
                    <w:left w:val="nil"/>
                    <w:bottom w:val="single" w:sz="4" w:space="0" w:color="auto"/>
                    <w:right w:val="nil"/>
                  </w:tcBorders>
                  <w:shd w:val="clear" w:color="auto" w:fill="auto"/>
                  <w:vAlign w:val="bottom"/>
                  <w:hideMark/>
                </w:tcPr>
                <w:p w14:paraId="78FB336A" w14:textId="77777777" w:rsidR="0019381A" w:rsidRPr="00C64BA4" w:rsidRDefault="0019381A" w:rsidP="00206C45">
                  <w:pPr>
                    <w:spacing w:after="0" w:line="300" w:lineRule="auto"/>
                    <w:jc w:val="center"/>
                    <w:rPr>
                      <w:rFonts w:eastAsia="Times New Roman" w:cs="Calibri"/>
                      <w:b/>
                      <w:bCs/>
                      <w:color w:val="595959"/>
                    </w:rPr>
                  </w:pPr>
                  <w:r w:rsidRPr="00C64BA4">
                    <w:rPr>
                      <w:rFonts w:eastAsia="Times New Roman" w:cs="Calibri"/>
                      <w:b/>
                      <w:bCs/>
                      <w:color w:val="595959"/>
                    </w:rPr>
                    <w:t>Protected Class</w:t>
                  </w:r>
                </w:p>
              </w:tc>
              <w:tc>
                <w:tcPr>
                  <w:tcW w:w="1380" w:type="dxa"/>
                  <w:tcBorders>
                    <w:top w:val="nil"/>
                    <w:left w:val="nil"/>
                    <w:bottom w:val="single" w:sz="4" w:space="0" w:color="auto"/>
                    <w:right w:val="nil"/>
                  </w:tcBorders>
                  <w:shd w:val="clear" w:color="auto" w:fill="auto"/>
                  <w:vAlign w:val="bottom"/>
                  <w:hideMark/>
                </w:tcPr>
                <w:p w14:paraId="57F05122" w14:textId="77777777" w:rsidR="0019381A" w:rsidRPr="00C64BA4" w:rsidRDefault="0019381A" w:rsidP="00206C45">
                  <w:pPr>
                    <w:spacing w:after="0" w:line="300" w:lineRule="auto"/>
                    <w:jc w:val="center"/>
                    <w:rPr>
                      <w:rFonts w:eastAsia="Times New Roman" w:cs="Calibri"/>
                      <w:b/>
                      <w:bCs/>
                      <w:color w:val="595959"/>
                    </w:rPr>
                  </w:pPr>
                  <w:r w:rsidRPr="00C64BA4">
                    <w:rPr>
                      <w:rFonts w:eastAsia="Times New Roman" w:cs="Calibri"/>
                      <w:b/>
                      <w:bCs/>
                      <w:color w:val="595959"/>
                    </w:rPr>
                    <w:t>Number of Complaints</w:t>
                  </w:r>
                  <w:r w:rsidRPr="00C64BA4">
                    <w:rPr>
                      <w:rFonts w:eastAsia="Times New Roman" w:cs="Calibri"/>
                      <w:b/>
                      <w:bCs/>
                      <w:color w:val="595959"/>
                      <w:sz w:val="16"/>
                      <w:szCs w:val="16"/>
                    </w:rPr>
                    <w:t> </w:t>
                  </w:r>
                </w:p>
              </w:tc>
            </w:tr>
            <w:tr w:rsidR="0019381A" w:rsidRPr="00C64BA4" w14:paraId="4D1B3575" w14:textId="77777777" w:rsidTr="0019381A">
              <w:trPr>
                <w:trHeight w:val="570"/>
              </w:trPr>
              <w:tc>
                <w:tcPr>
                  <w:tcW w:w="2340" w:type="dxa"/>
                  <w:tcBorders>
                    <w:top w:val="nil"/>
                    <w:left w:val="nil"/>
                    <w:bottom w:val="nil"/>
                    <w:right w:val="nil"/>
                  </w:tcBorders>
                  <w:shd w:val="clear" w:color="auto" w:fill="auto"/>
                  <w:vAlign w:val="center"/>
                  <w:hideMark/>
                </w:tcPr>
                <w:p w14:paraId="02381E82"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Mental Health Disability</w:t>
                  </w:r>
                </w:p>
              </w:tc>
              <w:tc>
                <w:tcPr>
                  <w:tcW w:w="1380" w:type="dxa"/>
                  <w:tcBorders>
                    <w:top w:val="nil"/>
                    <w:left w:val="nil"/>
                    <w:bottom w:val="nil"/>
                    <w:right w:val="nil"/>
                  </w:tcBorders>
                  <w:shd w:val="clear" w:color="auto" w:fill="auto"/>
                  <w:vAlign w:val="center"/>
                  <w:hideMark/>
                </w:tcPr>
                <w:p w14:paraId="3DF7238A"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118</w:t>
                  </w:r>
                </w:p>
              </w:tc>
            </w:tr>
            <w:tr w:rsidR="0019381A" w:rsidRPr="00C64BA4" w14:paraId="4FB83125" w14:textId="77777777" w:rsidTr="0019381A">
              <w:trPr>
                <w:trHeight w:val="300"/>
              </w:trPr>
              <w:tc>
                <w:tcPr>
                  <w:tcW w:w="2340" w:type="dxa"/>
                  <w:tcBorders>
                    <w:top w:val="single" w:sz="4" w:space="0" w:color="auto"/>
                    <w:left w:val="nil"/>
                    <w:bottom w:val="single" w:sz="4" w:space="0" w:color="auto"/>
                    <w:right w:val="nil"/>
                  </w:tcBorders>
                  <w:shd w:val="clear" w:color="000000" w:fill="F2F2F2"/>
                  <w:vAlign w:val="center"/>
                  <w:hideMark/>
                </w:tcPr>
                <w:p w14:paraId="27DEAF8F"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Physical Disability</w:t>
                  </w:r>
                </w:p>
              </w:tc>
              <w:tc>
                <w:tcPr>
                  <w:tcW w:w="1380" w:type="dxa"/>
                  <w:tcBorders>
                    <w:top w:val="single" w:sz="4" w:space="0" w:color="auto"/>
                    <w:left w:val="nil"/>
                    <w:bottom w:val="single" w:sz="4" w:space="0" w:color="auto"/>
                    <w:right w:val="nil"/>
                  </w:tcBorders>
                  <w:shd w:val="clear" w:color="000000" w:fill="F2F2F2"/>
                  <w:vAlign w:val="center"/>
                  <w:hideMark/>
                </w:tcPr>
                <w:p w14:paraId="2501C390"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76</w:t>
                  </w:r>
                </w:p>
              </w:tc>
            </w:tr>
            <w:tr w:rsidR="0019381A" w:rsidRPr="00C64BA4" w14:paraId="3D5A6739" w14:textId="77777777" w:rsidTr="0019381A">
              <w:trPr>
                <w:trHeight w:val="300"/>
              </w:trPr>
              <w:tc>
                <w:tcPr>
                  <w:tcW w:w="2340" w:type="dxa"/>
                  <w:tcBorders>
                    <w:top w:val="nil"/>
                    <w:left w:val="nil"/>
                    <w:bottom w:val="nil"/>
                    <w:right w:val="nil"/>
                  </w:tcBorders>
                  <w:shd w:val="clear" w:color="auto" w:fill="auto"/>
                  <w:vAlign w:val="center"/>
                  <w:hideMark/>
                </w:tcPr>
                <w:p w14:paraId="68423D5E"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Race</w:t>
                  </w:r>
                </w:p>
              </w:tc>
              <w:tc>
                <w:tcPr>
                  <w:tcW w:w="1380" w:type="dxa"/>
                  <w:tcBorders>
                    <w:top w:val="nil"/>
                    <w:left w:val="nil"/>
                    <w:bottom w:val="nil"/>
                    <w:right w:val="nil"/>
                  </w:tcBorders>
                  <w:shd w:val="clear" w:color="auto" w:fill="auto"/>
                  <w:vAlign w:val="center"/>
                  <w:hideMark/>
                </w:tcPr>
                <w:p w14:paraId="503932B0"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42</w:t>
                  </w:r>
                </w:p>
              </w:tc>
            </w:tr>
            <w:tr w:rsidR="0019381A" w:rsidRPr="00C64BA4" w14:paraId="4FA00FD0" w14:textId="77777777" w:rsidTr="0019381A">
              <w:trPr>
                <w:trHeight w:val="300"/>
              </w:trPr>
              <w:tc>
                <w:tcPr>
                  <w:tcW w:w="2340" w:type="dxa"/>
                  <w:tcBorders>
                    <w:top w:val="single" w:sz="4" w:space="0" w:color="auto"/>
                    <w:left w:val="nil"/>
                    <w:bottom w:val="single" w:sz="4" w:space="0" w:color="auto"/>
                    <w:right w:val="nil"/>
                  </w:tcBorders>
                  <w:shd w:val="clear" w:color="000000" w:fill="F2F2F2"/>
                  <w:vAlign w:val="center"/>
                  <w:hideMark/>
                </w:tcPr>
                <w:p w14:paraId="5036D504"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National Origin</w:t>
                  </w:r>
                </w:p>
              </w:tc>
              <w:tc>
                <w:tcPr>
                  <w:tcW w:w="1380" w:type="dxa"/>
                  <w:tcBorders>
                    <w:top w:val="single" w:sz="4" w:space="0" w:color="auto"/>
                    <w:left w:val="nil"/>
                    <w:bottom w:val="single" w:sz="4" w:space="0" w:color="auto"/>
                    <w:right w:val="nil"/>
                  </w:tcBorders>
                  <w:shd w:val="clear" w:color="000000" w:fill="F2F2F2"/>
                  <w:vAlign w:val="center"/>
                  <w:hideMark/>
                </w:tcPr>
                <w:p w14:paraId="6296D617"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27</w:t>
                  </w:r>
                </w:p>
              </w:tc>
            </w:tr>
            <w:tr w:rsidR="0019381A" w:rsidRPr="00C64BA4" w14:paraId="22D5FDC9" w14:textId="77777777" w:rsidTr="0019381A">
              <w:trPr>
                <w:trHeight w:val="300"/>
              </w:trPr>
              <w:tc>
                <w:tcPr>
                  <w:tcW w:w="2340" w:type="dxa"/>
                  <w:tcBorders>
                    <w:top w:val="nil"/>
                    <w:left w:val="nil"/>
                    <w:bottom w:val="nil"/>
                    <w:right w:val="nil"/>
                  </w:tcBorders>
                  <w:shd w:val="clear" w:color="auto" w:fill="auto"/>
                  <w:vAlign w:val="center"/>
                  <w:hideMark/>
                </w:tcPr>
                <w:p w14:paraId="4A8B8823"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Familial Status</w:t>
                  </w:r>
                </w:p>
              </w:tc>
              <w:tc>
                <w:tcPr>
                  <w:tcW w:w="1380" w:type="dxa"/>
                  <w:tcBorders>
                    <w:top w:val="nil"/>
                    <w:left w:val="nil"/>
                    <w:bottom w:val="nil"/>
                    <w:right w:val="nil"/>
                  </w:tcBorders>
                  <w:shd w:val="clear" w:color="auto" w:fill="auto"/>
                  <w:vAlign w:val="center"/>
                  <w:hideMark/>
                </w:tcPr>
                <w:p w14:paraId="65F27DEE"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25</w:t>
                  </w:r>
                </w:p>
              </w:tc>
            </w:tr>
            <w:tr w:rsidR="0019381A" w:rsidRPr="00C64BA4" w14:paraId="2DCAF2B7" w14:textId="77777777" w:rsidTr="0019381A">
              <w:trPr>
                <w:trHeight w:val="300"/>
              </w:trPr>
              <w:tc>
                <w:tcPr>
                  <w:tcW w:w="2340" w:type="dxa"/>
                  <w:tcBorders>
                    <w:top w:val="single" w:sz="4" w:space="0" w:color="auto"/>
                    <w:left w:val="nil"/>
                    <w:bottom w:val="single" w:sz="4" w:space="0" w:color="auto"/>
                    <w:right w:val="nil"/>
                  </w:tcBorders>
                  <w:shd w:val="clear" w:color="000000" w:fill="F2F2F2"/>
                  <w:vAlign w:val="center"/>
                  <w:hideMark/>
                </w:tcPr>
                <w:p w14:paraId="0675D832"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Sex</w:t>
                  </w:r>
                </w:p>
              </w:tc>
              <w:tc>
                <w:tcPr>
                  <w:tcW w:w="1380" w:type="dxa"/>
                  <w:tcBorders>
                    <w:top w:val="single" w:sz="4" w:space="0" w:color="auto"/>
                    <w:left w:val="nil"/>
                    <w:bottom w:val="single" w:sz="4" w:space="0" w:color="auto"/>
                    <w:right w:val="nil"/>
                  </w:tcBorders>
                  <w:shd w:val="clear" w:color="000000" w:fill="F2F2F2"/>
                  <w:vAlign w:val="center"/>
                  <w:hideMark/>
                </w:tcPr>
                <w:p w14:paraId="71F3B746"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10</w:t>
                  </w:r>
                </w:p>
              </w:tc>
            </w:tr>
            <w:tr w:rsidR="0019381A" w:rsidRPr="00C64BA4" w14:paraId="4E5BE6BF" w14:textId="77777777" w:rsidTr="0019381A">
              <w:trPr>
                <w:trHeight w:val="300"/>
              </w:trPr>
              <w:tc>
                <w:tcPr>
                  <w:tcW w:w="2340" w:type="dxa"/>
                  <w:tcBorders>
                    <w:top w:val="nil"/>
                    <w:left w:val="nil"/>
                    <w:bottom w:val="nil"/>
                    <w:right w:val="nil"/>
                  </w:tcBorders>
                  <w:shd w:val="clear" w:color="auto" w:fill="auto"/>
                  <w:vAlign w:val="center"/>
                  <w:hideMark/>
                </w:tcPr>
                <w:p w14:paraId="5DCE1ABD"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Sexual Orientation</w:t>
                  </w:r>
                </w:p>
              </w:tc>
              <w:tc>
                <w:tcPr>
                  <w:tcW w:w="1380" w:type="dxa"/>
                  <w:tcBorders>
                    <w:top w:val="nil"/>
                    <w:left w:val="nil"/>
                    <w:bottom w:val="nil"/>
                    <w:right w:val="nil"/>
                  </w:tcBorders>
                  <w:shd w:val="clear" w:color="auto" w:fill="auto"/>
                  <w:vAlign w:val="center"/>
                  <w:hideMark/>
                </w:tcPr>
                <w:p w14:paraId="46E4B0B5"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4</w:t>
                  </w:r>
                </w:p>
              </w:tc>
            </w:tr>
            <w:tr w:rsidR="0019381A" w:rsidRPr="00C64BA4" w14:paraId="576BA3DD" w14:textId="77777777" w:rsidTr="0019381A">
              <w:trPr>
                <w:trHeight w:val="300"/>
              </w:trPr>
              <w:tc>
                <w:tcPr>
                  <w:tcW w:w="2340" w:type="dxa"/>
                  <w:tcBorders>
                    <w:top w:val="single" w:sz="4" w:space="0" w:color="auto"/>
                    <w:left w:val="nil"/>
                    <w:bottom w:val="single" w:sz="4" w:space="0" w:color="auto"/>
                    <w:right w:val="nil"/>
                  </w:tcBorders>
                  <w:shd w:val="clear" w:color="000000" w:fill="F2F2F2"/>
                  <w:vAlign w:val="center"/>
                  <w:hideMark/>
                </w:tcPr>
                <w:p w14:paraId="36B002CE"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Age</w:t>
                  </w:r>
                </w:p>
              </w:tc>
              <w:tc>
                <w:tcPr>
                  <w:tcW w:w="1380" w:type="dxa"/>
                  <w:tcBorders>
                    <w:top w:val="single" w:sz="4" w:space="0" w:color="auto"/>
                    <w:left w:val="nil"/>
                    <w:bottom w:val="single" w:sz="4" w:space="0" w:color="auto"/>
                    <w:right w:val="nil"/>
                  </w:tcBorders>
                  <w:shd w:val="clear" w:color="000000" w:fill="F2F2F2"/>
                  <w:vAlign w:val="center"/>
                  <w:hideMark/>
                </w:tcPr>
                <w:p w14:paraId="19687560"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3</w:t>
                  </w:r>
                </w:p>
              </w:tc>
            </w:tr>
            <w:tr w:rsidR="0019381A" w:rsidRPr="00C64BA4" w14:paraId="377BD239" w14:textId="77777777" w:rsidTr="0019381A">
              <w:trPr>
                <w:trHeight w:val="300"/>
              </w:trPr>
              <w:tc>
                <w:tcPr>
                  <w:tcW w:w="2340" w:type="dxa"/>
                  <w:tcBorders>
                    <w:top w:val="nil"/>
                    <w:left w:val="nil"/>
                    <w:bottom w:val="nil"/>
                    <w:right w:val="nil"/>
                  </w:tcBorders>
                  <w:shd w:val="clear" w:color="auto" w:fill="auto"/>
                  <w:vAlign w:val="center"/>
                  <w:hideMark/>
                </w:tcPr>
                <w:p w14:paraId="577A33C5"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Marital Status</w:t>
                  </w:r>
                </w:p>
              </w:tc>
              <w:tc>
                <w:tcPr>
                  <w:tcW w:w="1380" w:type="dxa"/>
                  <w:tcBorders>
                    <w:top w:val="nil"/>
                    <w:left w:val="nil"/>
                    <w:bottom w:val="nil"/>
                    <w:right w:val="nil"/>
                  </w:tcBorders>
                  <w:shd w:val="clear" w:color="auto" w:fill="auto"/>
                  <w:vAlign w:val="center"/>
                  <w:hideMark/>
                </w:tcPr>
                <w:p w14:paraId="0620E848" w14:textId="77777777" w:rsidR="0019381A" w:rsidRPr="00C64BA4" w:rsidRDefault="0019381A" w:rsidP="00206C45">
                  <w:pPr>
                    <w:spacing w:after="0" w:line="300" w:lineRule="auto"/>
                    <w:jc w:val="center"/>
                    <w:rPr>
                      <w:rFonts w:eastAsia="Times New Roman" w:cs="Calibri"/>
                      <w:color w:val="000000"/>
                    </w:rPr>
                  </w:pPr>
                  <w:r w:rsidRPr="00C64BA4">
                    <w:rPr>
                      <w:rFonts w:eastAsia="Times New Roman" w:cs="Calibri"/>
                      <w:color w:val="000000"/>
                    </w:rPr>
                    <w:t>1</w:t>
                  </w:r>
                </w:p>
              </w:tc>
            </w:tr>
            <w:tr w:rsidR="0019381A" w:rsidRPr="00C64BA4" w14:paraId="42FED0B3" w14:textId="77777777" w:rsidTr="0019381A">
              <w:trPr>
                <w:trHeight w:val="300"/>
              </w:trPr>
              <w:tc>
                <w:tcPr>
                  <w:tcW w:w="3720" w:type="dxa"/>
                  <w:gridSpan w:val="2"/>
                  <w:tcBorders>
                    <w:top w:val="nil"/>
                    <w:left w:val="nil"/>
                    <w:bottom w:val="nil"/>
                    <w:right w:val="nil"/>
                  </w:tcBorders>
                  <w:shd w:val="clear" w:color="auto" w:fill="auto"/>
                  <w:vAlign w:val="bottom"/>
                  <w:hideMark/>
                </w:tcPr>
                <w:p w14:paraId="243C93CC" w14:textId="77777777" w:rsidR="0019381A" w:rsidRPr="00C64BA4" w:rsidRDefault="0019381A"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New Hampshire Legal Assistance</w:t>
                  </w:r>
                </w:p>
              </w:tc>
            </w:tr>
          </w:tbl>
          <w:p w14:paraId="158AD831" w14:textId="3435D1F1" w:rsidR="2A12A8AF" w:rsidRPr="00C64BA4" w:rsidRDefault="2A12A8AF" w:rsidP="00206C45">
            <w:pPr>
              <w:spacing w:line="300" w:lineRule="auto"/>
            </w:pPr>
          </w:p>
        </w:tc>
        <w:tc>
          <w:tcPr>
            <w:tcW w:w="5550" w:type="dxa"/>
            <w:tcBorders>
              <w:top w:val="nil"/>
              <w:left w:val="nil"/>
              <w:bottom w:val="nil"/>
              <w:right w:val="nil"/>
            </w:tcBorders>
            <w:vAlign w:val="bottom"/>
          </w:tcPr>
          <w:p w14:paraId="3D7B8600" w14:textId="6E906313" w:rsidR="2A12A8AF" w:rsidRPr="00C64BA4" w:rsidRDefault="2A12A8AF" w:rsidP="00206C45">
            <w:pPr>
              <w:spacing w:line="300" w:lineRule="auto"/>
            </w:pPr>
          </w:p>
        </w:tc>
      </w:tr>
    </w:tbl>
    <w:p w14:paraId="0B79CB39" w14:textId="77777777" w:rsidR="0019381A" w:rsidRPr="00C64BA4" w:rsidRDefault="0019381A" w:rsidP="00206C45">
      <w:pPr>
        <w:pStyle w:val="Body"/>
        <w:spacing w:line="300" w:lineRule="auto"/>
      </w:pPr>
    </w:p>
    <w:p w14:paraId="4711010D" w14:textId="09792E86" w:rsidR="004C608B" w:rsidRPr="00C64BA4" w:rsidRDefault="004C608B" w:rsidP="00206C45">
      <w:pPr>
        <w:pStyle w:val="Heading4"/>
        <w:spacing w:line="300" w:lineRule="auto"/>
      </w:pPr>
      <w:r w:rsidRPr="00C64BA4">
        <w:t xml:space="preserve">Federal </w:t>
      </w:r>
      <w:r w:rsidR="004706CF">
        <w:t>C</w:t>
      </w:r>
      <w:r w:rsidRPr="00C64BA4">
        <w:t>ases</w:t>
      </w:r>
    </w:p>
    <w:p w14:paraId="2CECB9E4" w14:textId="6FD157CF" w:rsidR="00DA4A80" w:rsidRDefault="1E9BF9FF" w:rsidP="00206C45">
      <w:pPr>
        <w:pStyle w:val="Body"/>
        <w:spacing w:line="300" w:lineRule="auto"/>
      </w:pPr>
      <w:r w:rsidRPr="00C64BA4">
        <w:t>New Hampshire has had t</w:t>
      </w:r>
      <w:r w:rsidR="693FA800" w:rsidRPr="00C64BA4">
        <w:t xml:space="preserve">hree housing discrimination cases </w:t>
      </w:r>
      <w:r w:rsidR="30A23604" w:rsidRPr="00C64BA4">
        <w:t xml:space="preserve">filed with the United States Department of Justice. </w:t>
      </w:r>
      <w:r w:rsidR="74E75C7C" w:rsidRPr="00C64BA4">
        <w:t>One of these was in the SNHPC region (Manchester)</w:t>
      </w:r>
      <w:r w:rsidR="7B7DB16B" w:rsidRPr="00C64BA4">
        <w:t xml:space="preserve"> and was a violation the Fair Housing Act based upon </w:t>
      </w:r>
      <w:r w:rsidR="7B7DB16B" w:rsidRPr="00C64BA4">
        <w:lastRenderedPageBreak/>
        <w:t>sex</w:t>
      </w:r>
      <w:r w:rsidR="74E75C7C" w:rsidRPr="00C64BA4">
        <w:t>.</w:t>
      </w:r>
      <w:r w:rsidR="657C3CAA" w:rsidRPr="00C64BA4">
        <w:t xml:space="preserve"> In the case United States v. Mills d/b/a Chestnut Properties (D. N.H.), </w:t>
      </w:r>
      <w:r w:rsidR="17922FF6" w:rsidRPr="00C64BA4">
        <w:t xml:space="preserve">the property owner and former rental manager were </w:t>
      </w:r>
      <w:r w:rsidR="38071D09" w:rsidRPr="00C64BA4">
        <w:t xml:space="preserve">found guilty of sexual harassment and sexual assault against female tenants. The </w:t>
      </w:r>
      <w:r w:rsidR="3A3ED4BE" w:rsidRPr="00C64BA4">
        <w:t>tenants</w:t>
      </w:r>
      <w:r w:rsidR="38071D09" w:rsidRPr="00C64BA4">
        <w:t xml:space="preserve"> were primarily, if not all</w:t>
      </w:r>
      <w:r w:rsidR="6B64F678" w:rsidRPr="00C64BA4">
        <w:t>, Section 8 tenants</w:t>
      </w:r>
      <w:r w:rsidR="00DC3295">
        <w:t>.</w:t>
      </w:r>
    </w:p>
    <w:p w14:paraId="10A43D91" w14:textId="77777777" w:rsidR="00DA4A80" w:rsidRPr="00C64BA4" w:rsidRDefault="00DA4A80" w:rsidP="00206C45">
      <w:pPr>
        <w:pStyle w:val="Heading5"/>
        <w:widowControl w:val="0"/>
        <w:spacing w:line="300" w:lineRule="auto"/>
      </w:pPr>
      <w:r w:rsidRPr="002E43EE">
        <w:t>HUD Discrimination Cases</w:t>
      </w:r>
    </w:p>
    <w:p w14:paraId="07DAA012" w14:textId="77777777" w:rsidR="00DA4A80" w:rsidRPr="00C64BA4" w:rsidRDefault="00DA4A80" w:rsidP="00206C45">
      <w:pPr>
        <w:spacing w:line="300" w:lineRule="auto"/>
      </w:pPr>
      <w:r w:rsidRPr="00C64BA4">
        <w:t>Between 2014 and the first half of 2022, there have been 58 cases of discrimination filed with the U.S. Department of Housing and Urban Development (HUD) in the SNHPC region. The most common base for the complaints was disability (76%).</w:t>
      </w:r>
    </w:p>
    <w:p w14:paraId="1A9BC1A8" w14:textId="19BBF004" w:rsidR="00443B5B" w:rsidRDefault="00443B5B" w:rsidP="00206C45">
      <w:pPr>
        <w:pStyle w:val="Caption"/>
        <w:keepNext/>
        <w:spacing w:line="300" w:lineRule="auto"/>
      </w:pPr>
      <w:bookmarkStart w:id="280" w:name="_Toc128137930"/>
      <w:r>
        <w:t xml:space="preserve">Table </w:t>
      </w:r>
      <w:r w:rsidR="0062538A">
        <w:fldChar w:fldCharType="begin"/>
      </w:r>
      <w:r w:rsidR="0062538A">
        <w:instrText xml:space="preserve"> SEQ Table \* ARABIC </w:instrText>
      </w:r>
      <w:r w:rsidR="0062538A">
        <w:fldChar w:fldCharType="separate"/>
      </w:r>
      <w:r w:rsidR="008B512A">
        <w:rPr>
          <w:noProof/>
        </w:rPr>
        <w:t>39</w:t>
      </w:r>
      <w:r w:rsidR="0062538A">
        <w:rPr>
          <w:noProof/>
        </w:rPr>
        <w:fldChar w:fldCharType="end"/>
      </w:r>
      <w:r>
        <w:t>: HUD Discrimination Cases 2014- Q2 2022</w:t>
      </w:r>
      <w:bookmarkEnd w:id="280"/>
    </w:p>
    <w:tbl>
      <w:tblPr>
        <w:tblW w:w="2760" w:type="dxa"/>
        <w:tblInd w:w="108" w:type="dxa"/>
        <w:tblLook w:val="04A0" w:firstRow="1" w:lastRow="0" w:firstColumn="1" w:lastColumn="0" w:noHBand="0" w:noVBand="1"/>
      </w:tblPr>
      <w:tblGrid>
        <w:gridCol w:w="1640"/>
        <w:gridCol w:w="1120"/>
      </w:tblGrid>
      <w:tr w:rsidR="00DA4A80" w:rsidRPr="00C64BA4" w14:paraId="74C5A1F9" w14:textId="77777777" w:rsidTr="00D65D0C">
        <w:trPr>
          <w:trHeight w:val="300"/>
        </w:trPr>
        <w:tc>
          <w:tcPr>
            <w:tcW w:w="2760" w:type="dxa"/>
            <w:gridSpan w:val="2"/>
            <w:tcBorders>
              <w:top w:val="nil"/>
              <w:left w:val="nil"/>
              <w:bottom w:val="nil"/>
              <w:right w:val="nil"/>
            </w:tcBorders>
            <w:shd w:val="clear" w:color="auto" w:fill="auto"/>
            <w:noWrap/>
            <w:vAlign w:val="bottom"/>
            <w:hideMark/>
          </w:tcPr>
          <w:p w14:paraId="31BE8373" w14:textId="77777777" w:rsidR="00DA4A80" w:rsidRPr="00C64BA4" w:rsidRDefault="00DA4A80" w:rsidP="00206C45">
            <w:pPr>
              <w:spacing w:after="0" w:line="300" w:lineRule="auto"/>
              <w:jc w:val="center"/>
              <w:rPr>
                <w:rFonts w:eastAsia="Times New Roman" w:cs="Calibri"/>
                <w:b/>
                <w:bCs/>
                <w:color w:val="595959"/>
              </w:rPr>
            </w:pPr>
            <w:r w:rsidRPr="00C64BA4">
              <w:rPr>
                <w:rFonts w:eastAsia="Times New Roman" w:cs="Calibri"/>
                <w:b/>
                <w:bCs/>
                <w:color w:val="595959"/>
              </w:rPr>
              <w:t>2014 to Q2 2022</w:t>
            </w:r>
          </w:p>
        </w:tc>
      </w:tr>
      <w:tr w:rsidR="00DA4A80" w:rsidRPr="00C64BA4" w14:paraId="66CA8DE4" w14:textId="77777777" w:rsidTr="00D65D0C">
        <w:trPr>
          <w:trHeight w:val="570"/>
        </w:trPr>
        <w:tc>
          <w:tcPr>
            <w:tcW w:w="1640" w:type="dxa"/>
            <w:tcBorders>
              <w:top w:val="nil"/>
              <w:left w:val="nil"/>
              <w:bottom w:val="single" w:sz="4" w:space="0" w:color="auto"/>
              <w:right w:val="nil"/>
            </w:tcBorders>
            <w:shd w:val="clear" w:color="auto" w:fill="auto"/>
            <w:vAlign w:val="center"/>
            <w:hideMark/>
          </w:tcPr>
          <w:p w14:paraId="5CE3CD6F" w14:textId="77777777" w:rsidR="00DA4A80" w:rsidRPr="00C64BA4" w:rsidRDefault="00DA4A80" w:rsidP="00206C45">
            <w:pPr>
              <w:spacing w:after="0" w:line="300" w:lineRule="auto"/>
              <w:jc w:val="center"/>
              <w:rPr>
                <w:rFonts w:eastAsia="Times New Roman" w:cs="Calibri"/>
                <w:b/>
                <w:bCs/>
                <w:color w:val="595959"/>
              </w:rPr>
            </w:pPr>
            <w:r w:rsidRPr="00C64BA4">
              <w:rPr>
                <w:rFonts w:eastAsia="Arial" w:cs="Calibri"/>
                <w:b/>
                <w:bCs/>
                <w:color w:val="595959"/>
              </w:rPr>
              <w:t>Base</w:t>
            </w:r>
          </w:p>
        </w:tc>
        <w:tc>
          <w:tcPr>
            <w:tcW w:w="1120" w:type="dxa"/>
            <w:tcBorders>
              <w:top w:val="nil"/>
              <w:left w:val="nil"/>
              <w:bottom w:val="single" w:sz="4" w:space="0" w:color="auto"/>
              <w:right w:val="nil"/>
            </w:tcBorders>
            <w:shd w:val="clear" w:color="auto" w:fill="auto"/>
            <w:vAlign w:val="center"/>
            <w:hideMark/>
          </w:tcPr>
          <w:p w14:paraId="2A4CFE75" w14:textId="77777777" w:rsidR="00DA4A80" w:rsidRPr="00C64BA4" w:rsidRDefault="00DA4A80" w:rsidP="00206C45">
            <w:pPr>
              <w:spacing w:after="0" w:line="300" w:lineRule="auto"/>
              <w:jc w:val="center"/>
              <w:rPr>
                <w:rFonts w:eastAsia="Times New Roman" w:cs="Calibri"/>
                <w:b/>
                <w:bCs/>
                <w:color w:val="595959"/>
              </w:rPr>
            </w:pPr>
            <w:r w:rsidRPr="00C64BA4">
              <w:rPr>
                <w:rFonts w:eastAsia="Arial" w:cs="Calibri"/>
                <w:b/>
                <w:bCs/>
                <w:color w:val="595959"/>
              </w:rPr>
              <w:t>Number of Cases</w:t>
            </w:r>
            <w:r w:rsidRPr="00C64BA4">
              <w:rPr>
                <w:rFonts w:eastAsia="Arial" w:cs="Calibri"/>
                <w:color w:val="595959"/>
              </w:rPr>
              <w:t> </w:t>
            </w:r>
          </w:p>
        </w:tc>
      </w:tr>
      <w:tr w:rsidR="00DA4A80" w:rsidRPr="00C64BA4" w14:paraId="7FF4ADBD" w14:textId="77777777" w:rsidTr="00D65D0C">
        <w:trPr>
          <w:trHeight w:val="300"/>
        </w:trPr>
        <w:tc>
          <w:tcPr>
            <w:tcW w:w="1640" w:type="dxa"/>
            <w:tcBorders>
              <w:top w:val="nil"/>
              <w:left w:val="nil"/>
              <w:bottom w:val="nil"/>
              <w:right w:val="nil"/>
            </w:tcBorders>
            <w:shd w:val="clear" w:color="auto" w:fill="auto"/>
            <w:vAlign w:val="center"/>
            <w:hideMark/>
          </w:tcPr>
          <w:p w14:paraId="03B2574C"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 xml:space="preserve">Disability </w:t>
            </w:r>
          </w:p>
        </w:tc>
        <w:tc>
          <w:tcPr>
            <w:tcW w:w="1120" w:type="dxa"/>
            <w:tcBorders>
              <w:top w:val="nil"/>
              <w:left w:val="nil"/>
              <w:bottom w:val="nil"/>
              <w:right w:val="nil"/>
            </w:tcBorders>
            <w:shd w:val="clear" w:color="auto" w:fill="auto"/>
            <w:vAlign w:val="center"/>
            <w:hideMark/>
          </w:tcPr>
          <w:p w14:paraId="6BCBAE90"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44</w:t>
            </w:r>
          </w:p>
        </w:tc>
      </w:tr>
      <w:tr w:rsidR="00DA4A80" w:rsidRPr="00C64BA4" w14:paraId="2AC94C14" w14:textId="77777777" w:rsidTr="00D65D0C">
        <w:trPr>
          <w:trHeight w:val="300"/>
        </w:trPr>
        <w:tc>
          <w:tcPr>
            <w:tcW w:w="1640" w:type="dxa"/>
            <w:tcBorders>
              <w:top w:val="single" w:sz="4" w:space="0" w:color="auto"/>
              <w:left w:val="nil"/>
              <w:bottom w:val="single" w:sz="4" w:space="0" w:color="auto"/>
              <w:right w:val="nil"/>
            </w:tcBorders>
            <w:shd w:val="clear" w:color="000000" w:fill="F2F2F2"/>
            <w:vAlign w:val="center"/>
            <w:hideMark/>
          </w:tcPr>
          <w:p w14:paraId="68BA2D5C"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 xml:space="preserve">Familial Status </w:t>
            </w:r>
          </w:p>
        </w:tc>
        <w:tc>
          <w:tcPr>
            <w:tcW w:w="1120" w:type="dxa"/>
            <w:tcBorders>
              <w:top w:val="single" w:sz="4" w:space="0" w:color="auto"/>
              <w:left w:val="nil"/>
              <w:bottom w:val="single" w:sz="4" w:space="0" w:color="auto"/>
              <w:right w:val="nil"/>
            </w:tcBorders>
            <w:shd w:val="clear" w:color="000000" w:fill="F2F2F2"/>
            <w:vAlign w:val="center"/>
            <w:hideMark/>
          </w:tcPr>
          <w:p w14:paraId="496B0C72"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7</w:t>
            </w:r>
          </w:p>
        </w:tc>
      </w:tr>
      <w:tr w:rsidR="00DA4A80" w:rsidRPr="00C64BA4" w14:paraId="25C0EE1A" w14:textId="77777777" w:rsidTr="00D65D0C">
        <w:trPr>
          <w:trHeight w:val="300"/>
        </w:trPr>
        <w:tc>
          <w:tcPr>
            <w:tcW w:w="1640" w:type="dxa"/>
            <w:tcBorders>
              <w:top w:val="nil"/>
              <w:left w:val="nil"/>
              <w:bottom w:val="nil"/>
              <w:right w:val="nil"/>
            </w:tcBorders>
            <w:shd w:val="clear" w:color="auto" w:fill="auto"/>
            <w:vAlign w:val="center"/>
            <w:hideMark/>
          </w:tcPr>
          <w:p w14:paraId="07786CDE"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Retaliation</w:t>
            </w:r>
          </w:p>
        </w:tc>
        <w:tc>
          <w:tcPr>
            <w:tcW w:w="1120" w:type="dxa"/>
            <w:tcBorders>
              <w:top w:val="nil"/>
              <w:left w:val="nil"/>
              <w:bottom w:val="nil"/>
              <w:right w:val="nil"/>
            </w:tcBorders>
            <w:shd w:val="clear" w:color="auto" w:fill="auto"/>
            <w:vAlign w:val="center"/>
            <w:hideMark/>
          </w:tcPr>
          <w:p w14:paraId="31F52CB5"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6</w:t>
            </w:r>
          </w:p>
        </w:tc>
      </w:tr>
      <w:tr w:rsidR="00DA4A80" w:rsidRPr="00C64BA4" w14:paraId="1549735F" w14:textId="77777777" w:rsidTr="00D65D0C">
        <w:trPr>
          <w:trHeight w:val="300"/>
        </w:trPr>
        <w:tc>
          <w:tcPr>
            <w:tcW w:w="1640" w:type="dxa"/>
            <w:tcBorders>
              <w:top w:val="single" w:sz="4" w:space="0" w:color="auto"/>
              <w:left w:val="nil"/>
              <w:bottom w:val="single" w:sz="4" w:space="0" w:color="auto"/>
              <w:right w:val="nil"/>
            </w:tcBorders>
            <w:shd w:val="clear" w:color="000000" w:fill="F2F2F2"/>
            <w:vAlign w:val="center"/>
            <w:hideMark/>
          </w:tcPr>
          <w:p w14:paraId="757B26D2"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 xml:space="preserve">National Origin </w:t>
            </w:r>
          </w:p>
        </w:tc>
        <w:tc>
          <w:tcPr>
            <w:tcW w:w="1120" w:type="dxa"/>
            <w:tcBorders>
              <w:top w:val="single" w:sz="4" w:space="0" w:color="auto"/>
              <w:left w:val="nil"/>
              <w:bottom w:val="single" w:sz="4" w:space="0" w:color="auto"/>
              <w:right w:val="nil"/>
            </w:tcBorders>
            <w:shd w:val="clear" w:color="000000" w:fill="F2F2F2"/>
            <w:vAlign w:val="center"/>
            <w:hideMark/>
          </w:tcPr>
          <w:p w14:paraId="108D3C28"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6</w:t>
            </w:r>
          </w:p>
        </w:tc>
      </w:tr>
      <w:tr w:rsidR="00DA4A80" w:rsidRPr="00C64BA4" w14:paraId="4A5FC4D9" w14:textId="77777777" w:rsidTr="00D65D0C">
        <w:trPr>
          <w:trHeight w:val="300"/>
        </w:trPr>
        <w:tc>
          <w:tcPr>
            <w:tcW w:w="1640" w:type="dxa"/>
            <w:tcBorders>
              <w:top w:val="nil"/>
              <w:left w:val="nil"/>
              <w:bottom w:val="nil"/>
              <w:right w:val="nil"/>
            </w:tcBorders>
            <w:shd w:val="clear" w:color="auto" w:fill="auto"/>
            <w:vAlign w:val="center"/>
            <w:hideMark/>
          </w:tcPr>
          <w:p w14:paraId="3DDBB6C3"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Race</w:t>
            </w:r>
          </w:p>
        </w:tc>
        <w:tc>
          <w:tcPr>
            <w:tcW w:w="1120" w:type="dxa"/>
            <w:tcBorders>
              <w:top w:val="nil"/>
              <w:left w:val="nil"/>
              <w:bottom w:val="nil"/>
              <w:right w:val="nil"/>
            </w:tcBorders>
            <w:shd w:val="clear" w:color="auto" w:fill="auto"/>
            <w:vAlign w:val="center"/>
            <w:hideMark/>
          </w:tcPr>
          <w:p w14:paraId="30FF39F9"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5</w:t>
            </w:r>
          </w:p>
        </w:tc>
      </w:tr>
      <w:tr w:rsidR="00DA4A80" w:rsidRPr="00C64BA4" w14:paraId="3FE96082" w14:textId="77777777" w:rsidTr="00D65D0C">
        <w:trPr>
          <w:trHeight w:val="300"/>
        </w:trPr>
        <w:tc>
          <w:tcPr>
            <w:tcW w:w="1640" w:type="dxa"/>
            <w:tcBorders>
              <w:top w:val="single" w:sz="4" w:space="0" w:color="auto"/>
              <w:left w:val="nil"/>
              <w:bottom w:val="single" w:sz="4" w:space="0" w:color="auto"/>
              <w:right w:val="nil"/>
            </w:tcBorders>
            <w:shd w:val="clear" w:color="000000" w:fill="F2F2F2"/>
            <w:vAlign w:val="center"/>
            <w:hideMark/>
          </w:tcPr>
          <w:p w14:paraId="570F85EF"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Sex</w:t>
            </w:r>
          </w:p>
        </w:tc>
        <w:tc>
          <w:tcPr>
            <w:tcW w:w="1120" w:type="dxa"/>
            <w:tcBorders>
              <w:top w:val="single" w:sz="4" w:space="0" w:color="auto"/>
              <w:left w:val="nil"/>
              <w:bottom w:val="single" w:sz="4" w:space="0" w:color="auto"/>
              <w:right w:val="nil"/>
            </w:tcBorders>
            <w:shd w:val="clear" w:color="000000" w:fill="F2F2F2"/>
            <w:vAlign w:val="center"/>
            <w:hideMark/>
          </w:tcPr>
          <w:p w14:paraId="0991F825"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4</w:t>
            </w:r>
          </w:p>
        </w:tc>
      </w:tr>
      <w:tr w:rsidR="00DA4A80" w:rsidRPr="00C64BA4" w14:paraId="2F7CA038" w14:textId="77777777" w:rsidTr="00D65D0C">
        <w:trPr>
          <w:trHeight w:val="300"/>
        </w:trPr>
        <w:tc>
          <w:tcPr>
            <w:tcW w:w="1640" w:type="dxa"/>
            <w:tcBorders>
              <w:top w:val="nil"/>
              <w:left w:val="nil"/>
              <w:bottom w:val="nil"/>
              <w:right w:val="nil"/>
            </w:tcBorders>
            <w:shd w:val="clear" w:color="auto" w:fill="auto"/>
            <w:vAlign w:val="center"/>
            <w:hideMark/>
          </w:tcPr>
          <w:p w14:paraId="7728367C"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Religion</w:t>
            </w:r>
          </w:p>
        </w:tc>
        <w:tc>
          <w:tcPr>
            <w:tcW w:w="1120" w:type="dxa"/>
            <w:tcBorders>
              <w:top w:val="nil"/>
              <w:left w:val="nil"/>
              <w:bottom w:val="nil"/>
              <w:right w:val="nil"/>
            </w:tcBorders>
            <w:shd w:val="clear" w:color="auto" w:fill="auto"/>
            <w:vAlign w:val="center"/>
            <w:hideMark/>
          </w:tcPr>
          <w:p w14:paraId="5CBF3C64"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2</w:t>
            </w:r>
          </w:p>
        </w:tc>
      </w:tr>
      <w:tr w:rsidR="00DA4A80" w:rsidRPr="00C64BA4" w14:paraId="79FED92A" w14:textId="77777777" w:rsidTr="00D65D0C">
        <w:trPr>
          <w:trHeight w:val="300"/>
        </w:trPr>
        <w:tc>
          <w:tcPr>
            <w:tcW w:w="1640" w:type="dxa"/>
            <w:tcBorders>
              <w:top w:val="single" w:sz="4" w:space="0" w:color="auto"/>
              <w:left w:val="nil"/>
              <w:bottom w:val="nil"/>
              <w:right w:val="nil"/>
            </w:tcBorders>
            <w:shd w:val="clear" w:color="000000" w:fill="F2F2F2"/>
            <w:vAlign w:val="center"/>
            <w:hideMark/>
          </w:tcPr>
          <w:p w14:paraId="5B1B60A7"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Color</w:t>
            </w:r>
          </w:p>
        </w:tc>
        <w:tc>
          <w:tcPr>
            <w:tcW w:w="1120" w:type="dxa"/>
            <w:tcBorders>
              <w:top w:val="single" w:sz="4" w:space="0" w:color="auto"/>
              <w:left w:val="nil"/>
              <w:bottom w:val="nil"/>
              <w:right w:val="nil"/>
            </w:tcBorders>
            <w:shd w:val="clear" w:color="000000" w:fill="F2F2F2"/>
            <w:vAlign w:val="center"/>
            <w:hideMark/>
          </w:tcPr>
          <w:p w14:paraId="4457DE7A" w14:textId="77777777" w:rsidR="00DA4A80" w:rsidRPr="00C64BA4" w:rsidRDefault="00DA4A80" w:rsidP="00206C45">
            <w:pPr>
              <w:spacing w:after="0" w:line="300" w:lineRule="auto"/>
              <w:jc w:val="center"/>
              <w:rPr>
                <w:rFonts w:eastAsia="Times New Roman" w:cs="Calibri"/>
                <w:color w:val="000000"/>
              </w:rPr>
            </w:pPr>
            <w:r w:rsidRPr="00C64BA4">
              <w:rPr>
                <w:rFonts w:eastAsia="Times New Roman" w:cs="Calibri"/>
                <w:color w:val="000000"/>
              </w:rPr>
              <w:t>1</w:t>
            </w:r>
          </w:p>
        </w:tc>
      </w:tr>
      <w:tr w:rsidR="00DA4A80" w:rsidRPr="00C64BA4" w14:paraId="24ACDF53" w14:textId="77777777" w:rsidTr="00D65D0C">
        <w:trPr>
          <w:trHeight w:val="525"/>
        </w:trPr>
        <w:tc>
          <w:tcPr>
            <w:tcW w:w="2760" w:type="dxa"/>
            <w:gridSpan w:val="2"/>
            <w:tcBorders>
              <w:top w:val="nil"/>
              <w:left w:val="nil"/>
              <w:bottom w:val="nil"/>
              <w:right w:val="nil"/>
            </w:tcBorders>
            <w:shd w:val="clear" w:color="auto" w:fill="auto"/>
            <w:vAlign w:val="bottom"/>
            <w:hideMark/>
          </w:tcPr>
          <w:p w14:paraId="40DE2136" w14:textId="77777777" w:rsidR="00DA4A80" w:rsidRPr="00C64BA4" w:rsidRDefault="00DA4A80" w:rsidP="00206C45">
            <w:pPr>
              <w:spacing w:after="0" w:line="300" w:lineRule="auto"/>
              <w:jc w:val="right"/>
              <w:rPr>
                <w:rFonts w:eastAsia="Times New Roman" w:cs="Calibri"/>
                <w:color w:val="000000"/>
                <w:sz w:val="20"/>
                <w:szCs w:val="20"/>
              </w:rPr>
            </w:pPr>
            <w:r w:rsidRPr="00C64BA4">
              <w:rPr>
                <w:rFonts w:eastAsia="Times New Roman" w:cs="Calibri"/>
                <w:color w:val="000000"/>
                <w:sz w:val="20"/>
                <w:szCs w:val="20"/>
              </w:rPr>
              <w:t>Source: US Department of Housing &amp; Urban Development</w:t>
            </w:r>
          </w:p>
        </w:tc>
      </w:tr>
    </w:tbl>
    <w:p w14:paraId="17002A4D" w14:textId="77777777" w:rsidR="00DA4A80" w:rsidRPr="00C64BA4" w:rsidRDefault="00DA4A80" w:rsidP="00206C45">
      <w:pPr>
        <w:spacing w:line="300" w:lineRule="auto"/>
      </w:pPr>
    </w:p>
    <w:p w14:paraId="7C6399D2" w14:textId="77777777" w:rsidR="00DA4A80" w:rsidRPr="00C64BA4" w:rsidRDefault="00DA4A80" w:rsidP="00206C45">
      <w:pPr>
        <w:pStyle w:val="Heading3"/>
        <w:spacing w:line="300" w:lineRule="auto"/>
      </w:pPr>
      <w:bookmarkStart w:id="281" w:name="_Toc1502472869"/>
      <w:bookmarkStart w:id="282" w:name="_Toc237842317"/>
      <w:bookmarkStart w:id="283" w:name="_Toc128138009"/>
      <w:r w:rsidRPr="00C64BA4">
        <w:t>Initiatives to respond to unfair housing</w:t>
      </w:r>
      <w:bookmarkEnd w:id="281"/>
      <w:bookmarkEnd w:id="282"/>
      <w:bookmarkEnd w:id="283"/>
    </w:p>
    <w:p w14:paraId="141102EE" w14:textId="32AAFAC9" w:rsidR="00DA4A80" w:rsidRPr="00C64BA4" w:rsidRDefault="00DA4A80" w:rsidP="00206C45">
      <w:pPr>
        <w:spacing w:line="300" w:lineRule="auto"/>
      </w:pPr>
      <w:r w:rsidRPr="00C64BA4">
        <w:t xml:space="preserve">The Sustainable Communities Initiative (SCI) is a joint program among HUD and the U.S. Department of Transportation and the federal Environmental Protection Agency. The goal of the program is aimed at improving “regional planning efforts that integrate housing and transportation decisions, and increase state, regional, and local capacity to incorporate livability, sustainability, and social equity values into land use planning and zoning”. </w:t>
      </w:r>
      <w:r w:rsidR="00443B5B">
        <w:rPr>
          <w:rStyle w:val="FootnoteReference"/>
        </w:rPr>
        <w:footnoteReference w:id="68"/>
      </w:r>
      <w:r w:rsidRPr="00C64BA4">
        <w:t xml:space="preserve"> </w:t>
      </w:r>
    </w:p>
    <w:p w14:paraId="7ED90702" w14:textId="6CBEF4F3" w:rsidR="00251F36" w:rsidRPr="00C64BA4" w:rsidRDefault="00DA4A80" w:rsidP="00206C45">
      <w:pPr>
        <w:spacing w:line="300" w:lineRule="auto"/>
      </w:pPr>
      <w:r w:rsidRPr="00C64BA4">
        <w:t xml:space="preserve">SCI provides grants to improve regional and local planning efforts that integrate housing and transportation </w:t>
      </w:r>
      <w:proofErr w:type="gramStart"/>
      <w:r w:rsidRPr="00C64BA4">
        <w:t>decisions, and</w:t>
      </w:r>
      <w:proofErr w:type="gramEnd"/>
      <w:r w:rsidRPr="00C64BA4">
        <w:t xml:space="preserve"> increase the capacity to improve land use and zoning to support market investments that support sustainable communities. For more information on the program and applicant eligibility, please visit </w:t>
      </w:r>
      <w:hyperlink r:id="rId83" w:history="1">
        <w:r w:rsidRPr="00C64BA4">
          <w:rPr>
            <w:rStyle w:val="Hyperlink"/>
          </w:rPr>
          <w:t>https://www.hud.gov/hudprograms/sci</w:t>
        </w:r>
      </w:hyperlink>
      <w:r>
        <w:rPr>
          <w:rStyle w:val="Hyperlink"/>
        </w:rPr>
        <w:t>.</w:t>
      </w:r>
      <w:r w:rsidRPr="00C64BA4">
        <w:t xml:space="preserve">  </w:t>
      </w:r>
    </w:p>
    <w:p w14:paraId="7D75C5C1" w14:textId="77777777" w:rsidR="00DA4A80" w:rsidRPr="00C64BA4" w:rsidRDefault="00DA4A80" w:rsidP="00C8049F">
      <w:pPr>
        <w:pStyle w:val="Heading2"/>
        <w:keepNext/>
        <w:keepLines/>
        <w:spacing w:line="300" w:lineRule="auto"/>
      </w:pPr>
      <w:bookmarkStart w:id="284" w:name="_Toc128138010"/>
      <w:r w:rsidRPr="00C64BA4">
        <w:lastRenderedPageBreak/>
        <w:t xml:space="preserve">Access to </w:t>
      </w:r>
      <w:bookmarkStart w:id="285" w:name="_Toc643594615"/>
      <w:bookmarkStart w:id="286" w:name="_Toc886918484"/>
      <w:r w:rsidRPr="00C64BA4">
        <w:t>Opportunities</w:t>
      </w:r>
      <w:bookmarkEnd w:id="285"/>
      <w:bookmarkEnd w:id="286"/>
      <w:bookmarkEnd w:id="284"/>
    </w:p>
    <w:p w14:paraId="2A30833D" w14:textId="1B8D39D4" w:rsidR="00DA4A80" w:rsidRPr="00C64BA4" w:rsidRDefault="00DA4A80" w:rsidP="00C8049F">
      <w:pPr>
        <w:keepNext/>
        <w:keepLines/>
        <w:spacing w:line="300" w:lineRule="auto"/>
      </w:pPr>
      <w:r w:rsidRPr="00C64BA4">
        <w:t>High opportunity areas often provide access to certain amenities or community attributes that are believed to increase economic mobility for their residents. As a result, development in these areas can be impeded by high costs of living and dense populations.</w:t>
      </w:r>
      <w:r w:rsidR="00A21322">
        <w:rPr>
          <w:rStyle w:val="FootnoteReference"/>
        </w:rPr>
        <w:footnoteReference w:id="69"/>
      </w:r>
    </w:p>
    <w:p w14:paraId="22277408" w14:textId="6AC9D344" w:rsidR="00DA4A80" w:rsidRPr="00C64BA4" w:rsidRDefault="00DA4A80" w:rsidP="00206C45">
      <w:pPr>
        <w:pStyle w:val="NormalWeb"/>
        <w:shd w:val="clear" w:color="auto" w:fill="FFFFFF"/>
        <w:spacing w:before="0" w:beforeAutospacing="0" w:after="375" w:afterAutospacing="0" w:line="300" w:lineRule="auto"/>
        <w:rPr>
          <w:rFonts w:asciiTheme="minorHAnsi" w:eastAsiaTheme="minorHAnsi" w:hAnsiTheme="minorHAnsi" w:cstheme="minorBidi"/>
          <w:sz w:val="22"/>
          <w:szCs w:val="22"/>
        </w:rPr>
      </w:pPr>
      <w:bookmarkStart w:id="287" w:name="_Toc787365933"/>
      <w:bookmarkStart w:id="288" w:name="_Toc1682102138"/>
      <w:r w:rsidRPr="00C64BA4">
        <w:rPr>
          <w:rFonts w:asciiTheme="minorHAnsi" w:eastAsiaTheme="minorHAnsi" w:hAnsiTheme="minorHAnsi" w:cstheme="minorBidi"/>
          <w:sz w:val="22"/>
          <w:szCs w:val="22"/>
        </w:rPr>
        <w:t xml:space="preserve">Consider where you live and ask yourself, does my neighborhood have access to transportation options, employment, better performing schools, medical and shopping options, clean </w:t>
      </w:r>
      <w:proofErr w:type="gramStart"/>
      <w:r w:rsidRPr="00C64BA4">
        <w:rPr>
          <w:rFonts w:asciiTheme="minorHAnsi" w:eastAsiaTheme="minorHAnsi" w:hAnsiTheme="minorHAnsi" w:cstheme="minorBidi"/>
          <w:sz w:val="22"/>
          <w:szCs w:val="22"/>
        </w:rPr>
        <w:t>park</w:t>
      </w:r>
      <w:proofErr w:type="gramEnd"/>
      <w:r w:rsidRPr="00C64BA4">
        <w:rPr>
          <w:rFonts w:asciiTheme="minorHAnsi" w:eastAsiaTheme="minorHAnsi" w:hAnsiTheme="minorHAnsi" w:cstheme="minorBidi"/>
          <w:sz w:val="22"/>
          <w:szCs w:val="22"/>
        </w:rPr>
        <w:t xml:space="preserve"> and areas to recreate, lower crime and greater availability of quality, affordable housing options</w:t>
      </w:r>
      <w:r>
        <w:rPr>
          <w:rFonts w:asciiTheme="minorHAnsi" w:eastAsiaTheme="minorHAnsi" w:hAnsiTheme="minorHAnsi" w:cstheme="minorBidi"/>
          <w:sz w:val="22"/>
          <w:szCs w:val="22"/>
        </w:rPr>
        <w:t>?</w:t>
      </w:r>
      <w:r w:rsidRPr="00C64BA4">
        <w:rPr>
          <w:rFonts w:asciiTheme="minorHAnsi" w:eastAsiaTheme="minorHAnsi" w:hAnsiTheme="minorHAnsi" w:cstheme="minorBidi"/>
          <w:sz w:val="22"/>
          <w:szCs w:val="22"/>
        </w:rPr>
        <w:t xml:space="preserve"> If you had to move, could you find options that included these elements</w:t>
      </w:r>
      <w:r>
        <w:rPr>
          <w:rFonts w:asciiTheme="minorHAnsi" w:eastAsiaTheme="minorHAnsi" w:hAnsiTheme="minorHAnsi" w:cstheme="minorBidi"/>
          <w:sz w:val="22"/>
          <w:szCs w:val="22"/>
        </w:rPr>
        <w:t>?</w:t>
      </w:r>
      <w:r w:rsidRPr="00C64BA4">
        <w:rPr>
          <w:rFonts w:asciiTheme="minorHAnsi" w:eastAsiaTheme="minorHAnsi" w:hAnsiTheme="minorHAnsi" w:cstheme="minorBidi"/>
          <w:sz w:val="22"/>
          <w:szCs w:val="22"/>
        </w:rPr>
        <w:t xml:space="preserve">  Access to these opportunities varies for every neighborhood and every community.  Further, depending on the ind</w:t>
      </w:r>
      <w:r>
        <w:rPr>
          <w:rFonts w:asciiTheme="minorHAnsi" w:eastAsiaTheme="minorHAnsi" w:hAnsiTheme="minorHAnsi" w:cstheme="minorBidi"/>
          <w:sz w:val="22"/>
          <w:szCs w:val="22"/>
        </w:rPr>
        <w:t>ividual</w:t>
      </w:r>
      <w:r w:rsidRPr="00C64BA4">
        <w:rPr>
          <w:rFonts w:asciiTheme="minorHAnsi" w:eastAsiaTheme="minorHAnsi" w:hAnsiTheme="minorHAnsi" w:cstheme="minorBidi"/>
          <w:sz w:val="22"/>
          <w:szCs w:val="22"/>
        </w:rPr>
        <w:t xml:space="preserve"> or famil</w:t>
      </w:r>
      <w:r>
        <w:rPr>
          <w:rFonts w:asciiTheme="minorHAnsi" w:eastAsiaTheme="minorHAnsi" w:hAnsiTheme="minorHAnsi" w:cstheme="minorBidi"/>
          <w:sz w:val="22"/>
          <w:szCs w:val="22"/>
        </w:rPr>
        <w:t>y</w:t>
      </w:r>
      <w:r w:rsidRPr="00C64BA4">
        <w:rPr>
          <w:rFonts w:asciiTheme="minorHAnsi" w:eastAsiaTheme="minorHAnsi" w:hAnsiTheme="minorHAnsi" w:cstheme="minorBidi"/>
          <w:sz w:val="22"/>
          <w:szCs w:val="22"/>
        </w:rPr>
        <w:t xml:space="preserve"> situation, the critical elements would vary and may only include a few of the elements to ensure a higher quality of life. Children growing up in higher opportunity neighborhoods generally have better education, a high quality of health, and opportunities later in life of </w:t>
      </w:r>
      <w:hyperlink r:id="rId84" w:tgtFrame="_blank" w:history="1">
        <w:r w:rsidRPr="00C64BA4">
          <w:rPr>
            <w:rFonts w:asciiTheme="minorHAnsi" w:eastAsiaTheme="minorHAnsi" w:hAnsiTheme="minorHAnsi" w:cstheme="minorBidi"/>
            <w:sz w:val="22"/>
            <w:szCs w:val="22"/>
          </w:rPr>
          <w:t>upward economic mobility</w:t>
        </w:r>
      </w:hyperlink>
      <w:r w:rsidRPr="00C64BA4">
        <w:rPr>
          <w:rFonts w:asciiTheme="minorHAnsi" w:eastAsiaTheme="minorHAnsi" w:hAnsiTheme="minorHAnsi" w:cstheme="minorBidi"/>
          <w:sz w:val="22"/>
          <w:szCs w:val="22"/>
        </w:rPr>
        <w:t>.</w:t>
      </w:r>
    </w:p>
    <w:p w14:paraId="5E9B2B93" w14:textId="77777777" w:rsidR="00DA4A80" w:rsidRPr="00C64BA4" w:rsidRDefault="00DA4A80" w:rsidP="00206C45">
      <w:pPr>
        <w:pStyle w:val="NormalWeb"/>
        <w:shd w:val="clear" w:color="auto" w:fill="FFFFFF"/>
        <w:spacing w:before="0" w:beforeAutospacing="0" w:after="375" w:afterAutospacing="0" w:line="300" w:lineRule="auto"/>
        <w:rPr>
          <w:rFonts w:asciiTheme="minorHAnsi" w:eastAsiaTheme="minorHAnsi" w:hAnsiTheme="minorHAnsi" w:cstheme="minorBidi"/>
          <w:sz w:val="22"/>
          <w:szCs w:val="22"/>
        </w:rPr>
      </w:pPr>
      <w:r w:rsidRPr="00C64BA4">
        <w:rPr>
          <w:rFonts w:asciiTheme="minorHAnsi" w:eastAsiaTheme="minorHAnsi" w:hAnsiTheme="minorHAnsi" w:cstheme="minorBidi"/>
          <w:sz w:val="22"/>
          <w:szCs w:val="22"/>
        </w:rPr>
        <w:t>Unfortunately, low-income residents and people of color disproportionately face the challenges of living in low opportunity neighborhoods. This contributes to negative long-term educational, economic and health outcomes.</w:t>
      </w:r>
    </w:p>
    <w:p w14:paraId="01E389FC" w14:textId="337898A0" w:rsidR="00DA4A80" w:rsidRPr="00C64BA4" w:rsidRDefault="00DA4A80" w:rsidP="00206C45">
      <w:pPr>
        <w:pStyle w:val="NormalWeb"/>
        <w:shd w:val="clear" w:color="auto" w:fill="FFFFFF"/>
        <w:spacing w:before="0" w:beforeAutospacing="0" w:after="375" w:afterAutospacing="0" w:line="300" w:lineRule="auto"/>
        <w:rPr>
          <w:rFonts w:asciiTheme="minorHAnsi" w:eastAsiaTheme="minorHAnsi" w:hAnsiTheme="minorHAnsi" w:cstheme="minorBidi"/>
          <w:sz w:val="22"/>
          <w:szCs w:val="22"/>
        </w:rPr>
      </w:pPr>
      <w:r w:rsidRPr="00C64BA4">
        <w:rPr>
          <w:rFonts w:asciiTheme="minorHAnsi" w:eastAsiaTheme="minorHAnsi" w:hAnsiTheme="minorHAnsi" w:cstheme="minorBidi"/>
          <w:sz w:val="22"/>
          <w:szCs w:val="22"/>
        </w:rPr>
        <w:t xml:space="preserve">Naturally, one of the challenges to housing is to ensure new development is focused in higher opportunity areas.  According to Freddie Mac’s Spotlight on Underserved Markets, Affordable Housing in High Opportunity Areas, </w:t>
      </w:r>
    </w:p>
    <w:p w14:paraId="2B25C958" w14:textId="73731542" w:rsidR="00DA4A80" w:rsidRPr="00A21322" w:rsidRDefault="00DA4A80" w:rsidP="00206C45">
      <w:pPr>
        <w:pStyle w:val="NormalWeb"/>
        <w:shd w:val="clear" w:color="auto" w:fill="FFFFFF"/>
        <w:spacing w:before="0" w:beforeAutospacing="0" w:after="375" w:afterAutospacing="0" w:line="300" w:lineRule="auto"/>
        <w:ind w:left="540" w:right="810"/>
        <w:rPr>
          <w:rFonts w:asciiTheme="minorHAnsi" w:hAnsiTheme="minorHAnsi"/>
          <w:i/>
          <w:iCs/>
          <w:sz w:val="22"/>
          <w:szCs w:val="22"/>
        </w:rPr>
      </w:pPr>
      <w:r w:rsidRPr="00C64BA4">
        <w:rPr>
          <w:rFonts w:asciiTheme="minorHAnsi" w:hAnsiTheme="minorHAnsi"/>
          <w:i/>
          <w:iCs/>
          <w:sz w:val="22"/>
          <w:szCs w:val="22"/>
        </w:rPr>
        <w:t xml:space="preserve">More than 56 million people live in communities that are classified as high opportunity areas. These neighborhoods often provide access to certain amenities or community attributes that are believed to increase economic mobility for their residents. However, they are also often encumbered by high costs of living and dense populations. As a result, the supply of affordable housing is unable to support the demand. </w:t>
      </w:r>
      <w:proofErr w:type="gramStart"/>
      <w:r w:rsidRPr="00C64BA4">
        <w:rPr>
          <w:rFonts w:asciiTheme="minorHAnsi" w:hAnsiTheme="minorHAnsi"/>
          <w:i/>
          <w:iCs/>
          <w:sz w:val="22"/>
          <w:szCs w:val="22"/>
        </w:rPr>
        <w:t>In an effort to</w:t>
      </w:r>
      <w:proofErr w:type="gramEnd"/>
      <w:r w:rsidRPr="00C64BA4">
        <w:rPr>
          <w:rFonts w:asciiTheme="minorHAnsi" w:hAnsiTheme="minorHAnsi"/>
          <w:i/>
          <w:iCs/>
          <w:sz w:val="22"/>
          <w:szCs w:val="22"/>
        </w:rPr>
        <w:t xml:space="preserve"> combat this, there has been an increased focus from research, policy and affordable housing groups on deconcentrating poverty and promoting affordable housing in high opportunity areas.</w:t>
      </w:r>
      <w:r w:rsidR="00A21322">
        <w:rPr>
          <w:rStyle w:val="FootnoteReference"/>
          <w:rFonts w:asciiTheme="minorHAnsi" w:hAnsiTheme="minorHAnsi"/>
          <w:i/>
          <w:iCs/>
          <w:sz w:val="22"/>
          <w:szCs w:val="22"/>
        </w:rPr>
        <w:footnoteReference w:id="70"/>
      </w:r>
    </w:p>
    <w:p w14:paraId="63A9FE2C" w14:textId="77777777" w:rsidR="00DA4A80" w:rsidRPr="00C64BA4" w:rsidRDefault="00DA4A80" w:rsidP="00206C45">
      <w:pPr>
        <w:pStyle w:val="Heading3"/>
        <w:spacing w:line="300" w:lineRule="auto"/>
      </w:pPr>
      <w:bookmarkStart w:id="289" w:name="_Toc128138011"/>
      <w:r w:rsidRPr="00C64BA4">
        <w:t>Areas of High Opportunity</w:t>
      </w:r>
      <w:bookmarkEnd w:id="289"/>
    </w:p>
    <w:p w14:paraId="0B88C996" w14:textId="77777777" w:rsidR="00DA4A80" w:rsidRPr="00C64BA4" w:rsidRDefault="00DA4A80" w:rsidP="00206C45">
      <w:pPr>
        <w:spacing w:line="300" w:lineRule="auto"/>
      </w:pPr>
      <w:r w:rsidRPr="00C64BA4">
        <w:t xml:space="preserve">High Opportunity areas are typically determined through an assembly of data sets, developing specific criteria, and analyzing outcomes via a mapping exercise that provides a visual result that showcases areas where accessibility to multiple opportunities exist.  This sounds complicated and it is.  There are a variety of resources available that provide the user with various results depending on the specific resources criteria focus.  For example, Enterprise Community Partners is a nonprofit program which seeks to understand what makes communities effective in promoting positive outcomes for its residents and, what hinders residents </w:t>
      </w:r>
      <w:r w:rsidRPr="00C64BA4">
        <w:lastRenderedPageBreak/>
        <w:t>from achieving these positive outcomes. HUD is another agency that also provides insight through their own set of indices.  Included here are a variety of resources which provide opportunities for exploration.</w:t>
      </w:r>
    </w:p>
    <w:p w14:paraId="19AA2CAD" w14:textId="269740B8" w:rsidR="00DA4A80" w:rsidRPr="00C64BA4" w:rsidRDefault="00DA4A80" w:rsidP="00206C45">
      <w:pPr>
        <w:spacing w:line="300" w:lineRule="auto"/>
      </w:pPr>
      <w:r w:rsidRPr="00C64BA4">
        <w:t>Resource</w:t>
      </w:r>
      <w:r w:rsidR="003F2E67">
        <w:t>s</w:t>
      </w:r>
      <w:r w:rsidRPr="00C64BA4">
        <w:t xml:space="preserve">: </w:t>
      </w:r>
    </w:p>
    <w:p w14:paraId="3080B0A1" w14:textId="26EEB401" w:rsidR="00DA4A80" w:rsidRPr="00C64BA4" w:rsidRDefault="0062538A" w:rsidP="00206C45">
      <w:pPr>
        <w:spacing w:line="300" w:lineRule="auto"/>
      </w:pPr>
      <w:hyperlink r:id="rId85" w:history="1">
        <w:r w:rsidR="00DA4A80" w:rsidRPr="00C64BA4">
          <w:rPr>
            <w:rStyle w:val="Hyperlink"/>
          </w:rPr>
          <w:t>https://htaindex.cnt.org/</w:t>
        </w:r>
      </w:hyperlink>
    </w:p>
    <w:p w14:paraId="5404EAC7" w14:textId="6FEFCC2E" w:rsidR="00DA4A80" w:rsidRPr="00C64BA4" w:rsidRDefault="0062538A" w:rsidP="00206C45">
      <w:pPr>
        <w:spacing w:line="300" w:lineRule="auto"/>
      </w:pPr>
      <w:hyperlink r:id="rId86" w:history="1">
        <w:r w:rsidR="00DA4A80" w:rsidRPr="00C64BA4">
          <w:rPr>
            <w:rStyle w:val="Hyperlink"/>
          </w:rPr>
          <w:t>https://www.opportunityatlas.org/</w:t>
        </w:r>
      </w:hyperlink>
    </w:p>
    <w:p w14:paraId="5BAFA969" w14:textId="03536325" w:rsidR="00DA4A80" w:rsidRPr="00C64BA4" w:rsidRDefault="0062538A" w:rsidP="00206C45">
      <w:pPr>
        <w:spacing w:line="300" w:lineRule="auto"/>
      </w:pPr>
      <w:hyperlink r:id="rId87" w:history="1">
        <w:r w:rsidR="00DA4A80" w:rsidRPr="00C64BA4">
          <w:rPr>
            <w:rStyle w:val="Hyperlink"/>
          </w:rPr>
          <w:t>https://mobilitytoolkit.enterprisecommunity.org/resources-for-housing-and-education-partnerships</w:t>
        </w:r>
      </w:hyperlink>
    </w:p>
    <w:p w14:paraId="7D03082B" w14:textId="77777777" w:rsidR="00DA4A80" w:rsidRPr="00C64BA4" w:rsidRDefault="00DA4A80" w:rsidP="00206C45">
      <w:pPr>
        <w:spacing w:line="300" w:lineRule="auto"/>
      </w:pPr>
    </w:p>
    <w:p w14:paraId="785D5074" w14:textId="77777777" w:rsidR="00DA4A80" w:rsidRPr="00C64BA4" w:rsidRDefault="00DA4A80" w:rsidP="00206C45">
      <w:pPr>
        <w:pStyle w:val="Heading3"/>
        <w:spacing w:line="300" w:lineRule="auto"/>
      </w:pPr>
      <w:bookmarkStart w:id="290" w:name="_Toc128138012"/>
      <w:r w:rsidRPr="00C64BA4">
        <w:t>Identifying Opportunity Areas</w:t>
      </w:r>
      <w:bookmarkEnd w:id="290"/>
    </w:p>
    <w:p w14:paraId="2EE475A4" w14:textId="2CC8CDC8" w:rsidR="00DA4A80" w:rsidRPr="00C64BA4" w:rsidRDefault="00DA4A80" w:rsidP="00206C45">
      <w:pPr>
        <w:spacing w:line="300" w:lineRule="auto"/>
        <w:jc w:val="both"/>
      </w:pPr>
      <w:r w:rsidRPr="00C64BA4">
        <w:t>As determining opportunity areas is dependent on the data sources and year the data is obtained, variables used, scores for each variable, and other factors, the resulting opportunity areas can differ widely.  For the purposes of providing an example of how one agency has determined opportunity areas, we’ve provided the opportunity index created by New Hampshire Housing and Finance</w:t>
      </w:r>
      <w:r w:rsidR="003F2E67">
        <w:t xml:space="preserve"> Authority</w:t>
      </w:r>
      <w:r w:rsidRPr="00C64BA4">
        <w:t>, NHHF</w:t>
      </w:r>
      <w:r w:rsidR="003F2E67">
        <w:t>A</w:t>
      </w:r>
      <w:r w:rsidRPr="00C64BA4">
        <w:t>, whose team developed their indices specific to New Hampshire.  This index focuses on four specific variables with multiple elements within each of the categories.  The main categories include economic prosperity, health, education, and housing. High index scores indicate high levels of opportunity, while lower index scores suggest possible barriers in access to opportunity. The scores for the four opportunity indices have been added up to create a total opportunity score throughout the region.  By applying the NHHFA Opportunity Index to the SNHPC region the following map emerges, showing that many of the regions indicate areas of opportunities with Auburn, Bedford, Chester, Deerfield, and Londonderry scoring the highest.</w:t>
      </w:r>
    </w:p>
    <w:p w14:paraId="0D81E607" w14:textId="77777777" w:rsidR="00DA4A80" w:rsidRPr="00C64BA4" w:rsidRDefault="00DA4A80" w:rsidP="00206C45">
      <w:pPr>
        <w:spacing w:after="240" w:line="300" w:lineRule="auto"/>
        <w:jc w:val="both"/>
      </w:pPr>
      <w:r w:rsidRPr="00C64BA4">
        <w:t xml:space="preserve">For further examination, follow the link provided and query any of the communities in New Hampshire.  From there you can review the scores given to the four categories as mentioned above. </w:t>
      </w:r>
    </w:p>
    <w:p w14:paraId="4B625F07" w14:textId="2F4C6D48" w:rsidR="00DA4A80" w:rsidRPr="00C64BA4" w:rsidRDefault="00DA4A80" w:rsidP="00206C45">
      <w:pPr>
        <w:spacing w:line="300" w:lineRule="auto"/>
        <w:ind w:left="360"/>
        <w:rPr>
          <w:rStyle w:val="Hyperlink"/>
        </w:rPr>
      </w:pPr>
      <w:r w:rsidRPr="00C64BA4">
        <w:t xml:space="preserve">Resource: </w:t>
      </w:r>
      <w:hyperlink r:id="rId88" w:history="1">
        <w:r w:rsidRPr="00C64BA4">
          <w:rPr>
            <w:rStyle w:val="Hyperlink"/>
          </w:rPr>
          <w:t>https://www.nhhfa.org/new-hampshire-housing-opportunity-index/</w:t>
        </w:r>
      </w:hyperlink>
    </w:p>
    <w:p w14:paraId="17E46A22" w14:textId="77777777" w:rsidR="00DA4A80" w:rsidRPr="00C64BA4" w:rsidRDefault="00DA4A80" w:rsidP="00206C45">
      <w:pPr>
        <w:spacing w:line="300" w:lineRule="auto"/>
        <w:ind w:left="360"/>
        <w:rPr>
          <w:rStyle w:val="Hyperlink"/>
        </w:rPr>
      </w:pPr>
    </w:p>
    <w:p w14:paraId="5B0F294A" w14:textId="77777777" w:rsidR="00E75682" w:rsidRDefault="00DA4A80" w:rsidP="00E75682">
      <w:pPr>
        <w:keepNext/>
        <w:spacing w:line="300" w:lineRule="auto"/>
        <w:ind w:left="360"/>
        <w:jc w:val="center"/>
      </w:pPr>
      <w:r w:rsidRPr="00C64BA4">
        <w:rPr>
          <w:noProof/>
        </w:rPr>
        <w:lastRenderedPageBreak/>
        <w:drawing>
          <wp:inline distT="0" distB="0" distL="0" distR="0" wp14:anchorId="54FE4342" wp14:editId="412BAA03">
            <wp:extent cx="4334494" cy="3824634"/>
            <wp:effectExtent l="0" t="0" r="9525" b="4445"/>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353708" cy="3841588"/>
                    </a:xfrm>
                    <a:prstGeom prst="rect">
                      <a:avLst/>
                    </a:prstGeom>
                    <a:noFill/>
                    <a:ln>
                      <a:noFill/>
                    </a:ln>
                  </pic:spPr>
                </pic:pic>
              </a:graphicData>
            </a:graphic>
          </wp:inline>
        </w:drawing>
      </w:r>
    </w:p>
    <w:p w14:paraId="30C864FB" w14:textId="4BF685FA" w:rsidR="00DA4A80" w:rsidRPr="00C64BA4" w:rsidRDefault="00E75682" w:rsidP="00E75682">
      <w:pPr>
        <w:pStyle w:val="Caption"/>
        <w:jc w:val="center"/>
      </w:pPr>
      <w:bookmarkStart w:id="291" w:name="_Toc128137890"/>
      <w:r>
        <w:t xml:space="preserve">Figure </w:t>
      </w:r>
      <w:r w:rsidR="0062538A">
        <w:fldChar w:fldCharType="begin"/>
      </w:r>
      <w:r w:rsidR="0062538A">
        <w:instrText xml:space="preserve"> SEQ Figure \* ARABIC </w:instrText>
      </w:r>
      <w:r w:rsidR="0062538A">
        <w:fldChar w:fldCharType="separate"/>
      </w:r>
      <w:r>
        <w:rPr>
          <w:noProof/>
        </w:rPr>
        <w:t>31</w:t>
      </w:r>
      <w:r w:rsidR="0062538A">
        <w:rPr>
          <w:noProof/>
        </w:rPr>
        <w:fldChar w:fldCharType="end"/>
      </w:r>
      <w:r>
        <w:t>: New Hampshire Housing Finance Authority Area Opportunity Index</w:t>
      </w:r>
      <w:bookmarkEnd w:id="291"/>
    </w:p>
    <w:p w14:paraId="12D6C7BB" w14:textId="77777777" w:rsidR="00DA4A80" w:rsidRPr="00C64BA4" w:rsidRDefault="00DA4A80" w:rsidP="00206C45">
      <w:pPr>
        <w:pStyle w:val="Heading3"/>
        <w:spacing w:line="300" w:lineRule="auto"/>
      </w:pPr>
      <w:bookmarkStart w:id="292" w:name="_Toc128138013"/>
      <w:r w:rsidRPr="00C64BA4">
        <w:t>Framing approaches to access</w:t>
      </w:r>
      <w:bookmarkEnd w:id="287"/>
      <w:bookmarkEnd w:id="288"/>
      <w:bookmarkEnd w:id="292"/>
    </w:p>
    <w:p w14:paraId="54B8FC8A" w14:textId="77777777" w:rsidR="00DA4A80" w:rsidRPr="00C64BA4" w:rsidRDefault="00DA4A80" w:rsidP="00206C45">
      <w:pPr>
        <w:spacing w:line="300" w:lineRule="auto"/>
      </w:pPr>
      <w:r w:rsidRPr="00C64BA4">
        <w:t xml:space="preserve">The 2020-2024 Manchester, NH Analysis of Impediments to Fair Housing Choice identifies seven impediments to fair housing with proposed actions. </w:t>
      </w:r>
    </w:p>
    <w:p w14:paraId="57BD2F65" w14:textId="03CAC30A" w:rsidR="00DA4A80" w:rsidRPr="00C64BA4" w:rsidRDefault="00DA4A80" w:rsidP="00206C45">
      <w:pPr>
        <w:pStyle w:val="ListParagraph"/>
        <w:numPr>
          <w:ilvl w:val="0"/>
          <w:numId w:val="32"/>
        </w:numPr>
        <w:spacing w:line="300" w:lineRule="auto"/>
      </w:pPr>
      <w:r w:rsidRPr="00C64BA4">
        <w:t>Insufficient Quality Affordable Housing</w:t>
      </w:r>
    </w:p>
    <w:p w14:paraId="0FD019CD" w14:textId="77777777" w:rsidR="00DA4A80" w:rsidRPr="00C64BA4" w:rsidRDefault="00DA4A80" w:rsidP="00206C45">
      <w:pPr>
        <w:spacing w:line="300" w:lineRule="auto"/>
      </w:pPr>
      <w:r w:rsidRPr="00C64BA4">
        <w:t>One proposed action is to continue balancing funding between the revitalization of impacted areas and the creation of new affordable housing in non-impacted areas. Other actions focus on education around rental assistance programs and lead hazards as well as providing support to prevent homelessness. Mixed use developments in commercial areas are encouraged to allow people to live near transit lines and employment centers.</w:t>
      </w:r>
    </w:p>
    <w:p w14:paraId="3D7A745C" w14:textId="77777777" w:rsidR="00DA4A80" w:rsidRPr="00C64BA4" w:rsidRDefault="00DA4A80" w:rsidP="00206C45">
      <w:pPr>
        <w:pStyle w:val="ListParagraph"/>
        <w:numPr>
          <w:ilvl w:val="0"/>
          <w:numId w:val="32"/>
        </w:numPr>
        <w:spacing w:line="300" w:lineRule="auto"/>
      </w:pPr>
      <w:r w:rsidRPr="00C64BA4">
        <w:t>Crime and Safety</w:t>
      </w:r>
    </w:p>
    <w:p w14:paraId="1DCED1AE" w14:textId="77777777" w:rsidR="00DA4A80" w:rsidRPr="00C64BA4" w:rsidRDefault="00DA4A80" w:rsidP="00206C45">
      <w:pPr>
        <w:spacing w:line="300" w:lineRule="auto"/>
      </w:pPr>
      <w:r w:rsidRPr="00C64BA4">
        <w:t>Proactive policing measures and neighborhood watch groups are proposed actions that could benefit inner city neighborhoods, suburban and rural areas.</w:t>
      </w:r>
    </w:p>
    <w:p w14:paraId="224EB50A" w14:textId="77777777" w:rsidR="00DA4A80" w:rsidRPr="00C64BA4" w:rsidRDefault="00DA4A80" w:rsidP="00206C45">
      <w:pPr>
        <w:pStyle w:val="ListParagraph"/>
        <w:numPr>
          <w:ilvl w:val="0"/>
          <w:numId w:val="32"/>
        </w:numPr>
        <w:spacing w:line="300" w:lineRule="auto"/>
      </w:pPr>
      <w:r w:rsidRPr="00C64BA4">
        <w:t>Housing Options for the Homeless/At-Risk of Homeless</w:t>
      </w:r>
    </w:p>
    <w:p w14:paraId="4083F648" w14:textId="77777777" w:rsidR="00DA4A80" w:rsidRPr="00C64BA4" w:rsidRDefault="00DA4A80" w:rsidP="00206C45">
      <w:pPr>
        <w:spacing w:line="300" w:lineRule="auto"/>
      </w:pPr>
      <w:r w:rsidRPr="00C64BA4">
        <w:t>In Manchester, continuing community partnerships and funding for housing assistance and services can help prevent homelessness for families and individuals.</w:t>
      </w:r>
    </w:p>
    <w:p w14:paraId="218C0418" w14:textId="77777777" w:rsidR="00DA4A80" w:rsidRDefault="00DA4A80" w:rsidP="00206C45">
      <w:pPr>
        <w:pStyle w:val="ListParagraph"/>
        <w:numPr>
          <w:ilvl w:val="0"/>
          <w:numId w:val="32"/>
        </w:numPr>
        <w:spacing w:line="300" w:lineRule="auto"/>
      </w:pPr>
      <w:r w:rsidRPr="00C64BA4">
        <w:t>Language and Cultural Barriers</w:t>
      </w:r>
    </w:p>
    <w:p w14:paraId="1385E1B1" w14:textId="77777777" w:rsidR="00DA4A80" w:rsidRDefault="00DA4A80" w:rsidP="00206C45">
      <w:pPr>
        <w:pStyle w:val="ListParagraph"/>
        <w:numPr>
          <w:ilvl w:val="0"/>
          <w:numId w:val="32"/>
        </w:numPr>
        <w:spacing w:line="300" w:lineRule="auto"/>
      </w:pPr>
      <w:r w:rsidRPr="00C64BA4">
        <w:t>Insufficient Fair Housing Information, Training, Education and Outreach</w:t>
      </w:r>
    </w:p>
    <w:p w14:paraId="772150CF" w14:textId="471639E4" w:rsidR="00DA4A80" w:rsidRPr="00C64BA4" w:rsidRDefault="00DA4A80" w:rsidP="00206C45">
      <w:pPr>
        <w:pStyle w:val="ListParagraph"/>
        <w:numPr>
          <w:ilvl w:val="0"/>
          <w:numId w:val="32"/>
        </w:numPr>
        <w:spacing w:line="300" w:lineRule="auto"/>
        <w:sectPr w:rsidR="00DA4A80" w:rsidRPr="00C64BA4" w:rsidSect="008142C8">
          <w:pgSz w:w="12240" w:h="15840" w:code="1"/>
          <w:pgMar w:top="900" w:right="1440" w:bottom="1080" w:left="1440" w:header="432" w:footer="288" w:gutter="0"/>
          <w:cols w:space="720"/>
          <w:docGrid w:linePitch="360"/>
        </w:sectPr>
      </w:pPr>
      <w:r w:rsidRPr="002E43EE">
        <w:t>Insufficient Public Transportation and Services Outside the Center City Discrimination Practices</w:t>
      </w:r>
    </w:p>
    <w:p w14:paraId="052320F6" w14:textId="301502A4" w:rsidR="00BE44DD" w:rsidRPr="00C64BA4" w:rsidRDefault="6C41ECF8" w:rsidP="00206C45">
      <w:pPr>
        <w:pStyle w:val="Heading1"/>
        <w:spacing w:line="300" w:lineRule="auto"/>
      </w:pPr>
      <w:bookmarkStart w:id="293" w:name="_Toc840954139"/>
      <w:bookmarkStart w:id="294" w:name="_Toc1093646586"/>
      <w:bookmarkStart w:id="295" w:name="_Toc128138014"/>
      <w:r w:rsidRPr="00C64BA4">
        <w:lastRenderedPageBreak/>
        <w:t>Section VII – Housing Toolkit</w:t>
      </w:r>
      <w:bookmarkEnd w:id="293"/>
      <w:bookmarkEnd w:id="294"/>
      <w:bookmarkEnd w:id="295"/>
    </w:p>
    <w:p w14:paraId="2FB43AE2" w14:textId="7E1BB8DB" w:rsidR="00BE44DD" w:rsidRPr="00C64BA4" w:rsidRDefault="008521BA" w:rsidP="00206C45">
      <w:pPr>
        <w:pStyle w:val="Body"/>
        <w:spacing w:line="300" w:lineRule="auto"/>
      </w:pPr>
      <w:r w:rsidRPr="00A02CAB">
        <w:t>This section offers specific implementable/actionable recommendations, opportunities and approaches communities can utilize to plan for housing. Topics addressed in this section should include municipal impacts of housing and initiatives, nonprofit and private property owner activities to promote housing options, strategies which engage employers and address the link between worker and housing shortages, and inter-municipal approaches to address regional housing issues. The use of examples/case studies of innovative housing policies, regulations, and developments which address housing needs of different subpopulations/communities of interest is encouraged. Inclusion of the role of public outreach and engagement in implementing solutions is encouraged.</w:t>
      </w:r>
    </w:p>
    <w:p w14:paraId="1EB04342" w14:textId="77777777" w:rsidR="004F4E8C" w:rsidRPr="00C64BA4" w:rsidRDefault="004F4E8C" w:rsidP="00206C45">
      <w:pPr>
        <w:spacing w:line="300" w:lineRule="auto"/>
        <w:rPr>
          <w:caps/>
          <w:color w:val="003CB4" w:themeColor="accent2" w:themeShade="80"/>
          <w:spacing w:val="20"/>
          <w:sz w:val="28"/>
          <w:szCs w:val="28"/>
        </w:rPr>
      </w:pPr>
      <w:r w:rsidRPr="00C64BA4">
        <w:br w:type="page"/>
      </w:r>
    </w:p>
    <w:p w14:paraId="3043CED0" w14:textId="255E063F" w:rsidR="00BE44DD" w:rsidRPr="00C64BA4" w:rsidRDefault="7AEC7349" w:rsidP="00206C45">
      <w:pPr>
        <w:pStyle w:val="Heading1"/>
        <w:spacing w:line="300" w:lineRule="auto"/>
      </w:pPr>
      <w:bookmarkStart w:id="296" w:name="_Toc488572167"/>
      <w:bookmarkStart w:id="297" w:name="_Toc1608832028"/>
      <w:bookmarkStart w:id="298" w:name="_Toc128138015"/>
      <w:r w:rsidRPr="00C64BA4">
        <w:lastRenderedPageBreak/>
        <w:t xml:space="preserve">Section </w:t>
      </w:r>
      <w:r w:rsidR="00232DF3">
        <w:t>I</w:t>
      </w:r>
      <w:r w:rsidRPr="00C64BA4">
        <w:t>X - Conclusions</w:t>
      </w:r>
      <w:bookmarkEnd w:id="296"/>
      <w:bookmarkEnd w:id="297"/>
      <w:bookmarkEnd w:id="298"/>
    </w:p>
    <w:p w14:paraId="7FF9D674" w14:textId="25269502" w:rsidR="00B93647" w:rsidRPr="00C64BA4" w:rsidRDefault="00B93647" w:rsidP="00206C45">
      <w:pPr>
        <w:spacing w:line="300" w:lineRule="auto"/>
      </w:pPr>
      <w:r w:rsidRPr="00C64BA4">
        <w:t xml:space="preserve">Conclusion and Outline </w:t>
      </w:r>
      <w:r w:rsidR="00B90D4F">
        <w:t>f</w:t>
      </w:r>
      <w:r w:rsidRPr="00C64BA4">
        <w:t>or Next Steps:</w:t>
      </w:r>
    </w:p>
    <w:p w14:paraId="2EA5158E" w14:textId="77777777" w:rsidR="00B93647" w:rsidRPr="00C64BA4" w:rsidRDefault="00B93647" w:rsidP="00206C45">
      <w:pPr>
        <w:spacing w:line="300" w:lineRule="auto"/>
      </w:pPr>
      <w:r w:rsidRPr="00C64BA4">
        <w:t xml:space="preserve">Approximately eight years ago, the Housing Chapter of the Regional Comprehensive Plan for 2015 was adopted and the title of the work was, Moving Southern NH Forward.  The conclusion of that effort stated the following: </w:t>
      </w:r>
    </w:p>
    <w:p w14:paraId="0E38B458" w14:textId="77777777" w:rsidR="00B93647" w:rsidRPr="00C64BA4" w:rsidRDefault="00B93647" w:rsidP="00206C45">
      <w:pPr>
        <w:spacing w:line="300" w:lineRule="auto"/>
        <w:ind w:left="1440" w:right="1170"/>
        <w:rPr>
          <w:i/>
          <w:iCs/>
        </w:rPr>
      </w:pPr>
      <w:r w:rsidRPr="00C64BA4">
        <w:rPr>
          <w:i/>
          <w:iCs/>
        </w:rPr>
        <w:t xml:space="preserve">The overarching theme of the input received throughout the Granite State Future process was the Southern New Hampshire region is a convenient and desirable place to live, work and play. There are many characteristics that draw people to our region, including the proximity to the mountains, the coast, the </w:t>
      </w:r>
      <w:proofErr w:type="gramStart"/>
      <w:r w:rsidRPr="00C64BA4">
        <w:rPr>
          <w:i/>
          <w:iCs/>
        </w:rPr>
        <w:t>City</w:t>
      </w:r>
      <w:proofErr w:type="gramEnd"/>
      <w:r w:rsidRPr="00C64BA4">
        <w:rPr>
          <w:i/>
          <w:iCs/>
        </w:rPr>
        <w:t xml:space="preserve"> and to numerous recreational opportunities. While there are many opportunities in the region, there are also </w:t>
      </w:r>
      <w:proofErr w:type="gramStart"/>
      <w:r w:rsidRPr="00C64BA4">
        <w:rPr>
          <w:i/>
          <w:iCs/>
        </w:rPr>
        <w:t>a number of</w:t>
      </w:r>
      <w:proofErr w:type="gramEnd"/>
      <w:r w:rsidRPr="00C64BA4">
        <w:rPr>
          <w:i/>
          <w:iCs/>
        </w:rPr>
        <w:t xml:space="preserve"> challenges surrounding housing choices, opportunity and affordability. Local government, regional organizations and the State can play a large role in assisting the needs of housing in the region. </w:t>
      </w:r>
    </w:p>
    <w:p w14:paraId="306B3996" w14:textId="77777777" w:rsidR="00B93647" w:rsidRPr="00C64BA4" w:rsidRDefault="00B93647" w:rsidP="00206C45">
      <w:pPr>
        <w:spacing w:line="300" w:lineRule="auto"/>
        <w:jc w:val="both"/>
      </w:pPr>
      <w:r w:rsidRPr="00C64BA4">
        <w:t xml:space="preserve">Much of this statement still rings true: the communities within the SNHPC region are desirable places to live, work, and play.  There is much within the region that keeps people here and that draws new neighbors and businesses to our communities.  The challenges that were listed in 2014: housing choices, opportunity, and affordability, not only persist but according to the data presented throughout this report, have increased in severity. </w:t>
      </w:r>
    </w:p>
    <w:p w14:paraId="1C8CEA04" w14:textId="77777777" w:rsidR="00B93647" w:rsidRPr="00C64BA4" w:rsidRDefault="00B93647" w:rsidP="00206C45">
      <w:pPr>
        <w:spacing w:line="300" w:lineRule="auto"/>
        <w:jc w:val="both"/>
      </w:pPr>
      <w:r w:rsidRPr="00C64BA4">
        <w:t>If you have looked for a home to buy within the last few years, whether for the first time or the last, there are far fewer homes on the market, they are far less affordable, and they sell within hours or days at most.  The competition is fierce. If the buyer doesn’t have equity to put towards the purchase, they are at a significant disadvantage.  If you are looking to rent in any price range, the choices are almost non-existent.</w:t>
      </w:r>
    </w:p>
    <w:p w14:paraId="64FA499B" w14:textId="1F415C62" w:rsidR="00B93647" w:rsidRPr="00C64BA4" w:rsidRDefault="00B93647" w:rsidP="00206C45">
      <w:pPr>
        <w:spacing w:line="300" w:lineRule="auto"/>
        <w:jc w:val="both"/>
      </w:pPr>
      <w:r w:rsidRPr="00C64BA4">
        <w:t>How do we as a state attract a workforce to fill the many vacant positions that exist in almost every industry?  Lines at the grocery stores are longer because of the shortage of cashiers, restaurants are closed more often than their owners care to be because cooks and servers are hard to come by, and try hiring a plumber, electrician, or carpenter</w:t>
      </w:r>
      <w:r w:rsidR="00B90D4F">
        <w:t>--</w:t>
      </w:r>
      <w:r w:rsidRPr="00C64BA4">
        <w:t xml:space="preserve"> it’s near impossible.  Although the latter may be more than a housing issue, housing for the service industry and most young adults wanting to begin their career is extremely challenging.</w:t>
      </w:r>
    </w:p>
    <w:p w14:paraId="70E6BB50" w14:textId="2F6FD5AF" w:rsidR="00B93647" w:rsidRPr="00C64BA4" w:rsidRDefault="00B93647" w:rsidP="00206C45">
      <w:pPr>
        <w:spacing w:line="300" w:lineRule="auto"/>
        <w:jc w:val="both"/>
      </w:pPr>
      <w:r w:rsidRPr="00C64BA4">
        <w:t xml:space="preserve">We know from the various surveys and outreach efforts conducted in 2022 that opinions vary regarding housing: locally and regionally.  (See Appendix </w:t>
      </w:r>
      <w:proofErr w:type="gramStart"/>
      <w:r w:rsidR="008F16E3" w:rsidRPr="00C64BA4">
        <w:t xml:space="preserve">B)  </w:t>
      </w:r>
      <w:r w:rsidRPr="00C64BA4">
        <w:t>The</w:t>
      </w:r>
      <w:proofErr w:type="gramEnd"/>
      <w:r w:rsidRPr="00C64BA4">
        <w:t xml:space="preserve"> following highlights some of the findings of those surveys.</w:t>
      </w:r>
    </w:p>
    <w:p w14:paraId="5EACDD81" w14:textId="77777777" w:rsidR="00B93647" w:rsidRPr="00C64BA4" w:rsidRDefault="00B93647" w:rsidP="00206C45">
      <w:pPr>
        <w:spacing w:line="300" w:lineRule="auto"/>
        <w:jc w:val="both"/>
      </w:pPr>
      <w:r w:rsidRPr="008F16E3">
        <w:rPr>
          <w:u w:val="single"/>
        </w:rPr>
        <w:t>For developers</w:t>
      </w:r>
      <w:r w:rsidRPr="00C64BA4">
        <w:t xml:space="preserve"> there was general agreement that market conditions favor larger-scale projects such as multi-family, but that opposition by residents were a barrier as well as over-burdened planning and zoning boards.  </w:t>
      </w:r>
    </w:p>
    <w:p w14:paraId="28BA7801" w14:textId="366289E9" w:rsidR="00B93647" w:rsidRPr="00C64BA4" w:rsidRDefault="00B93647" w:rsidP="00206C45">
      <w:pPr>
        <w:spacing w:line="300" w:lineRule="auto"/>
        <w:jc w:val="both"/>
      </w:pPr>
      <w:r w:rsidRPr="008F16E3">
        <w:rPr>
          <w:u w:val="single"/>
        </w:rPr>
        <w:t>For social service providers</w:t>
      </w:r>
      <w:r w:rsidRPr="00C64BA4">
        <w:t>, 89% reported that demand of units exceeds or greatly exceeds supply and 82% said there has been an increase in housing challenges since the start of the COVID-19 pandemic. It was reported that those who have the hardest time keeping and finding housing included individuals with mental health issues (32%), low</w:t>
      </w:r>
      <w:r w:rsidR="00B90D4F">
        <w:t>-</w:t>
      </w:r>
      <w:r w:rsidRPr="00C64BA4">
        <w:t>income families (30%), those with substance use disorder (25%), and families with children/ single parents (22%).</w:t>
      </w:r>
    </w:p>
    <w:p w14:paraId="17C9DFD9" w14:textId="15EFDDF3" w:rsidR="003413FD" w:rsidRDefault="00B93647" w:rsidP="003413FD">
      <w:pPr>
        <w:spacing w:line="300" w:lineRule="auto"/>
        <w:jc w:val="both"/>
      </w:pPr>
      <w:r w:rsidRPr="008F16E3">
        <w:rPr>
          <w:u w:val="single"/>
        </w:rPr>
        <w:lastRenderedPageBreak/>
        <w:t>Residents had multiple opportunities to provide input</w:t>
      </w:r>
      <w:r w:rsidRPr="00C64BA4">
        <w:t xml:space="preserve">, both via surveys as well as in virtual community conversations.  One of the many questions asked was, when thinking about housing in your community, please indicate your level of agreement with the need for additional units for each stated housing type. As shown in </w:t>
      </w:r>
      <w:r w:rsidR="003413FD">
        <w:fldChar w:fldCharType="begin"/>
      </w:r>
      <w:r w:rsidR="003413FD">
        <w:instrText xml:space="preserve"> REF _Ref126231477 \h </w:instrText>
      </w:r>
      <w:r w:rsidR="003413FD">
        <w:fldChar w:fldCharType="separate"/>
      </w:r>
      <w:r w:rsidR="003413FD">
        <w:t xml:space="preserve">Figure </w:t>
      </w:r>
      <w:r w:rsidR="003413FD">
        <w:rPr>
          <w:noProof/>
        </w:rPr>
        <w:t>27</w:t>
      </w:r>
      <w:r w:rsidR="003413FD">
        <w:fldChar w:fldCharType="end"/>
      </w:r>
      <w:r w:rsidRPr="00C64BA4">
        <w:t xml:space="preserve">, participants indicated that moderate and low-income, </w:t>
      </w:r>
      <w:proofErr w:type="gramStart"/>
      <w:r w:rsidRPr="00C64BA4">
        <w:t>rental</w:t>
      </w:r>
      <w:proofErr w:type="gramEnd"/>
      <w:r w:rsidRPr="00C64BA4">
        <w:t xml:space="preserve"> and senior housing are the most needed.</w:t>
      </w:r>
    </w:p>
    <w:p w14:paraId="369D40A1" w14:textId="76DA5530" w:rsidR="003413FD" w:rsidRDefault="003413FD" w:rsidP="003413FD">
      <w:pPr>
        <w:pStyle w:val="Caption"/>
        <w:keepNext/>
      </w:pPr>
      <w:bookmarkStart w:id="299" w:name="_Ref126231477"/>
      <w:bookmarkStart w:id="300" w:name="_Toc128137891"/>
      <w:r>
        <w:lastRenderedPageBreak/>
        <w:t xml:space="preserve">Figure </w:t>
      </w:r>
      <w:r w:rsidR="0062538A">
        <w:fldChar w:fldCharType="begin"/>
      </w:r>
      <w:r w:rsidR="0062538A">
        <w:instrText xml:space="preserve"> SEQ Figure \* ARABIC </w:instrText>
      </w:r>
      <w:r w:rsidR="0062538A">
        <w:fldChar w:fldCharType="separate"/>
      </w:r>
      <w:r w:rsidR="00E75682">
        <w:rPr>
          <w:noProof/>
        </w:rPr>
        <w:t>32</w:t>
      </w:r>
      <w:r w:rsidR="0062538A">
        <w:rPr>
          <w:noProof/>
        </w:rPr>
        <w:fldChar w:fldCharType="end"/>
      </w:r>
      <w:bookmarkEnd w:id="299"/>
      <w:r>
        <w:t xml:space="preserve">: </w:t>
      </w:r>
      <w:r w:rsidRPr="008E50A3">
        <w:t>General Public Survey Response on level of agreement for housing types</w:t>
      </w:r>
      <w:bookmarkEnd w:id="300"/>
    </w:p>
    <w:p w14:paraId="6D066407" w14:textId="16308B42" w:rsidR="003413FD" w:rsidRDefault="008C359B" w:rsidP="003413FD">
      <w:pPr>
        <w:pStyle w:val="Caption"/>
        <w:keepNext/>
        <w:spacing w:line="300" w:lineRule="auto"/>
      </w:pPr>
      <w:r>
        <w:rPr>
          <w:noProof/>
        </w:rPr>
        <w:drawing>
          <wp:anchor distT="0" distB="0" distL="114300" distR="114300" simplePos="0" relativeHeight="251708416" behindDoc="1" locked="0" layoutInCell="1" allowOverlap="1" wp14:anchorId="7424307F" wp14:editId="30D7A7D6">
            <wp:simplePos x="0" y="0"/>
            <wp:positionH relativeFrom="column">
              <wp:posOffset>3168015</wp:posOffset>
            </wp:positionH>
            <wp:positionV relativeFrom="paragraph">
              <wp:posOffset>5758625</wp:posOffset>
            </wp:positionV>
            <wp:extent cx="3027680" cy="2743200"/>
            <wp:effectExtent l="0" t="0" r="1270" b="0"/>
            <wp:wrapTight wrapText="bothSides">
              <wp:wrapPolygon edited="0">
                <wp:start x="0" y="0"/>
                <wp:lineTo x="0" y="21450"/>
                <wp:lineTo x="21473" y="21450"/>
                <wp:lineTo x="21473" y="0"/>
                <wp:lineTo x="0" y="0"/>
              </wp:wrapPolygon>
            </wp:wrapTight>
            <wp:docPr id="40" name="Chart 40">
              <a:extLst xmlns:a="http://schemas.openxmlformats.org/drawingml/2006/main">
                <a:ext uri="{FF2B5EF4-FFF2-40B4-BE49-F238E27FC236}">
                  <a16:creationId xmlns:a16="http://schemas.microsoft.com/office/drawing/2014/main" id="{0EA5F4AC-44D7-2AB8-233A-F5368985CF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anchor>
        </w:drawing>
      </w:r>
      <w:r w:rsidR="003413FD">
        <w:rPr>
          <w:noProof/>
        </w:rPr>
        <w:drawing>
          <wp:anchor distT="0" distB="0" distL="114300" distR="114300" simplePos="0" relativeHeight="251707392" behindDoc="1" locked="0" layoutInCell="1" allowOverlap="1" wp14:anchorId="09A2C850" wp14:editId="631E53E0">
            <wp:simplePos x="0" y="0"/>
            <wp:positionH relativeFrom="margin">
              <wp:posOffset>3146425</wp:posOffset>
            </wp:positionH>
            <wp:positionV relativeFrom="paragraph">
              <wp:posOffset>2830830</wp:posOffset>
            </wp:positionV>
            <wp:extent cx="2814320" cy="2743200"/>
            <wp:effectExtent l="0" t="0" r="5080" b="0"/>
            <wp:wrapTight wrapText="bothSides">
              <wp:wrapPolygon edited="0">
                <wp:start x="0" y="0"/>
                <wp:lineTo x="0" y="21450"/>
                <wp:lineTo x="21493" y="21450"/>
                <wp:lineTo x="21493" y="0"/>
                <wp:lineTo x="0" y="0"/>
              </wp:wrapPolygon>
            </wp:wrapTight>
            <wp:docPr id="38" name="Chart 38">
              <a:extLst xmlns:a="http://schemas.openxmlformats.org/drawingml/2006/main">
                <a:ext uri="{FF2B5EF4-FFF2-40B4-BE49-F238E27FC236}">
                  <a16:creationId xmlns:a16="http://schemas.microsoft.com/office/drawing/2014/main" id="{ABA3828F-2CFC-8CC2-38C6-E0EA3B494B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anchor>
        </w:drawing>
      </w:r>
      <w:r w:rsidR="003413FD">
        <w:rPr>
          <w:noProof/>
        </w:rPr>
        <w:drawing>
          <wp:anchor distT="0" distB="0" distL="114300" distR="114300" simplePos="0" relativeHeight="251706368" behindDoc="1" locked="0" layoutInCell="1" allowOverlap="1" wp14:anchorId="50CA455A" wp14:editId="04DBF7CC">
            <wp:simplePos x="0" y="0"/>
            <wp:positionH relativeFrom="margin">
              <wp:align>right</wp:align>
            </wp:positionH>
            <wp:positionV relativeFrom="paragraph">
              <wp:posOffset>7340</wp:posOffset>
            </wp:positionV>
            <wp:extent cx="2813685" cy="2802255"/>
            <wp:effectExtent l="0" t="0" r="5715" b="0"/>
            <wp:wrapTight wrapText="bothSides">
              <wp:wrapPolygon edited="0">
                <wp:start x="0" y="0"/>
                <wp:lineTo x="0" y="21438"/>
                <wp:lineTo x="21498" y="21438"/>
                <wp:lineTo x="21498" y="0"/>
                <wp:lineTo x="0" y="0"/>
              </wp:wrapPolygon>
            </wp:wrapTight>
            <wp:docPr id="19" name="Chart 19">
              <a:extLst xmlns:a="http://schemas.openxmlformats.org/drawingml/2006/main">
                <a:ext uri="{FF2B5EF4-FFF2-40B4-BE49-F238E27FC236}">
                  <a16:creationId xmlns:a16="http://schemas.microsoft.com/office/drawing/2014/main" id="{C17DD4BE-400F-9EF2-C1C5-6FE68403D3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r w:rsidR="003413FD">
        <w:rPr>
          <w:noProof/>
        </w:rPr>
        <w:drawing>
          <wp:inline distT="0" distB="0" distL="0" distR="0" wp14:anchorId="6B1F3C9D" wp14:editId="20290477">
            <wp:extent cx="2983230" cy="2837815"/>
            <wp:effectExtent l="0" t="0" r="7620" b="635"/>
            <wp:docPr id="10" name="Chart 10">
              <a:extLst xmlns:a="http://schemas.openxmlformats.org/drawingml/2006/main">
                <a:ext uri="{FF2B5EF4-FFF2-40B4-BE49-F238E27FC236}">
                  <a16:creationId xmlns:a16="http://schemas.microsoft.com/office/drawing/2014/main" id="{596237B3-2CB2-CAF0-70AE-1B2B2C9964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003413FD">
        <w:rPr>
          <w:noProof/>
        </w:rPr>
        <w:drawing>
          <wp:inline distT="0" distB="0" distL="0" distR="0" wp14:anchorId="2DCE0939" wp14:editId="1C8AE259">
            <wp:extent cx="2983706" cy="2743200"/>
            <wp:effectExtent l="0" t="0" r="7620" b="0"/>
            <wp:docPr id="34" name="Chart 34">
              <a:extLst xmlns:a="http://schemas.openxmlformats.org/drawingml/2006/main">
                <a:ext uri="{FF2B5EF4-FFF2-40B4-BE49-F238E27FC236}">
                  <a16:creationId xmlns:a16="http://schemas.microsoft.com/office/drawing/2014/main" id="{5B60E2C4-0BD2-C6BD-B916-53CC9E9DEB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824664E" w14:textId="188DE255" w:rsidR="003413FD" w:rsidRDefault="008C359B" w:rsidP="003413FD">
      <w:pPr>
        <w:pStyle w:val="Caption"/>
        <w:keepNext/>
        <w:spacing w:line="300" w:lineRule="auto"/>
      </w:pPr>
      <w:r>
        <w:rPr>
          <w:noProof/>
        </w:rPr>
        <w:drawing>
          <wp:inline distT="0" distB="0" distL="0" distR="0" wp14:anchorId="15E6D7F5" wp14:editId="04319F67">
            <wp:extent cx="3028208" cy="2743200"/>
            <wp:effectExtent l="0" t="0" r="1270" b="0"/>
            <wp:docPr id="39" name="Chart 39">
              <a:extLst xmlns:a="http://schemas.openxmlformats.org/drawingml/2006/main">
                <a:ext uri="{FF2B5EF4-FFF2-40B4-BE49-F238E27FC236}">
                  <a16:creationId xmlns:a16="http://schemas.microsoft.com/office/drawing/2014/main" id="{79CFBD25-5F67-DBF6-0A4D-E9C3EEDABA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Pr="008C359B">
        <w:rPr>
          <w:noProof/>
        </w:rPr>
        <w:t xml:space="preserve"> </w:t>
      </w:r>
    </w:p>
    <w:p w14:paraId="5E6DD207" w14:textId="769181A6" w:rsidR="008C359B" w:rsidRDefault="008C359B" w:rsidP="003413FD">
      <w:pPr>
        <w:pStyle w:val="Caption"/>
        <w:keepNext/>
        <w:spacing w:line="300" w:lineRule="auto"/>
      </w:pPr>
      <w:r>
        <w:rPr>
          <w:noProof/>
        </w:rPr>
        <w:lastRenderedPageBreak/>
        <w:drawing>
          <wp:inline distT="0" distB="0" distL="0" distR="0" wp14:anchorId="4727BCC2" wp14:editId="30333158">
            <wp:extent cx="3051958" cy="2743200"/>
            <wp:effectExtent l="0" t="0" r="0" b="0"/>
            <wp:docPr id="41" name="Chart 41">
              <a:extLst xmlns:a="http://schemas.openxmlformats.org/drawingml/2006/main">
                <a:ext uri="{FF2B5EF4-FFF2-40B4-BE49-F238E27FC236}">
                  <a16:creationId xmlns:a16="http://schemas.microsoft.com/office/drawing/2014/main" id="{C22A2D69-69D3-0D3B-096B-201C53D8B6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69F1992A" w14:textId="3C8F3EED" w:rsidR="00B93647" w:rsidRPr="00C64BA4" w:rsidRDefault="00B93647" w:rsidP="003413FD">
      <w:pPr>
        <w:pStyle w:val="Caption"/>
        <w:keepNext/>
        <w:spacing w:line="300" w:lineRule="auto"/>
      </w:pPr>
      <w:r w:rsidRPr="00C64BA4">
        <w:t>Many of the people participating in the survey shared their stories, here are just a few that explain how they ended up in their present living conditions:</w:t>
      </w: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0"/>
      </w:tblGrid>
      <w:tr w:rsidR="00B93647" w:rsidRPr="00C64BA4" w14:paraId="0241FC89" w14:textId="77777777" w:rsidTr="00092A1C">
        <w:trPr>
          <w:trHeight w:val="300"/>
        </w:trPr>
        <w:tc>
          <w:tcPr>
            <w:tcW w:w="9360" w:type="dxa"/>
            <w:shd w:val="clear" w:color="auto" w:fill="auto"/>
            <w:noWrap/>
            <w:vAlign w:val="bottom"/>
            <w:hideMark/>
          </w:tcPr>
          <w:p w14:paraId="748DE2C8" w14:textId="26F2DE8C" w:rsidR="00B93647" w:rsidRPr="00C64BA4" w:rsidRDefault="00B93647" w:rsidP="00206C45">
            <w:pPr>
              <w:spacing w:line="300" w:lineRule="auto"/>
            </w:pPr>
            <w:r w:rsidRPr="00C64BA4">
              <w:t>Forced to buy and build due to lack of available inventory and soaring housing prices and mortgage rates</w:t>
            </w:r>
            <w:r w:rsidR="00B90D4F">
              <w:t>.</w:t>
            </w:r>
          </w:p>
        </w:tc>
      </w:tr>
      <w:tr w:rsidR="00B93647" w:rsidRPr="00C64BA4" w14:paraId="63D16410" w14:textId="77777777" w:rsidTr="00092A1C">
        <w:trPr>
          <w:trHeight w:val="300"/>
        </w:trPr>
        <w:tc>
          <w:tcPr>
            <w:tcW w:w="9360" w:type="dxa"/>
            <w:shd w:val="clear" w:color="auto" w:fill="auto"/>
            <w:noWrap/>
            <w:vAlign w:val="bottom"/>
            <w:hideMark/>
          </w:tcPr>
          <w:p w14:paraId="3881BA35" w14:textId="77777777" w:rsidR="00B93647" w:rsidRPr="00C64BA4" w:rsidRDefault="00B93647" w:rsidP="00206C45">
            <w:pPr>
              <w:spacing w:line="300" w:lineRule="auto"/>
            </w:pPr>
            <w:r w:rsidRPr="00C64BA4">
              <w:t>We were expecting a baby and wanted a bigger and nicer apartment, as we were not able to buy a house with all the buying competition. We know we were very lucky to find our current apartment and intend to be there for many years.</w:t>
            </w:r>
          </w:p>
        </w:tc>
      </w:tr>
      <w:tr w:rsidR="00B93647" w:rsidRPr="00C64BA4" w14:paraId="46E04CD9" w14:textId="77777777" w:rsidTr="00092A1C">
        <w:trPr>
          <w:trHeight w:val="300"/>
        </w:trPr>
        <w:tc>
          <w:tcPr>
            <w:tcW w:w="9360" w:type="dxa"/>
            <w:shd w:val="clear" w:color="auto" w:fill="auto"/>
            <w:noWrap/>
            <w:vAlign w:val="bottom"/>
            <w:hideMark/>
          </w:tcPr>
          <w:p w14:paraId="72F89E5D" w14:textId="220EA05D" w:rsidR="00B93647" w:rsidRPr="00C64BA4" w:rsidRDefault="00B93647" w:rsidP="00206C45">
            <w:pPr>
              <w:spacing w:line="300" w:lineRule="auto"/>
            </w:pPr>
            <w:r w:rsidRPr="00C64BA4">
              <w:t xml:space="preserve">Our lease was </w:t>
            </w:r>
            <w:proofErr w:type="gramStart"/>
            <w:r w:rsidRPr="00C64BA4">
              <w:t>up</w:t>
            </w:r>
            <w:proofErr w:type="gramEnd"/>
            <w:r w:rsidRPr="00C64BA4">
              <w:t xml:space="preserve"> and we couldn’t find an affordable house to buy. We ended up renting again. Our preference would have been to purchase a single</w:t>
            </w:r>
            <w:r w:rsidR="00B90D4F">
              <w:t>-</w:t>
            </w:r>
            <w:r w:rsidRPr="00C64BA4">
              <w:t>family home in Concord and surrounding towns</w:t>
            </w:r>
            <w:r w:rsidR="00B90D4F">
              <w:t>.</w:t>
            </w:r>
            <w:r w:rsidRPr="00C64BA4">
              <w:t xml:space="preserve">  </w:t>
            </w:r>
          </w:p>
        </w:tc>
      </w:tr>
      <w:tr w:rsidR="00B93647" w:rsidRPr="00C64BA4" w14:paraId="26AB42BB" w14:textId="77777777" w:rsidTr="00092A1C">
        <w:trPr>
          <w:trHeight w:val="300"/>
        </w:trPr>
        <w:tc>
          <w:tcPr>
            <w:tcW w:w="9360" w:type="dxa"/>
            <w:shd w:val="clear" w:color="auto" w:fill="auto"/>
            <w:noWrap/>
            <w:vAlign w:val="bottom"/>
            <w:hideMark/>
          </w:tcPr>
          <w:p w14:paraId="25F0EC70" w14:textId="2DA9A0CF" w:rsidR="00B93647" w:rsidRPr="00C64BA4" w:rsidRDefault="00B93647" w:rsidP="00206C45">
            <w:pPr>
              <w:spacing w:line="300" w:lineRule="auto"/>
            </w:pPr>
            <w:r w:rsidRPr="00C64BA4">
              <w:t>Applied to lower income housing in the area, was only one in Hooksett that had availability and been here for over 3 years now</w:t>
            </w:r>
            <w:r w:rsidR="00B90D4F">
              <w:t>.</w:t>
            </w:r>
          </w:p>
        </w:tc>
      </w:tr>
      <w:tr w:rsidR="00B93647" w:rsidRPr="00C64BA4" w14:paraId="10D8FA70" w14:textId="77777777" w:rsidTr="00092A1C">
        <w:trPr>
          <w:trHeight w:val="300"/>
        </w:trPr>
        <w:tc>
          <w:tcPr>
            <w:tcW w:w="9360" w:type="dxa"/>
            <w:shd w:val="clear" w:color="auto" w:fill="auto"/>
            <w:noWrap/>
            <w:vAlign w:val="bottom"/>
            <w:hideMark/>
          </w:tcPr>
          <w:p w14:paraId="132BC2B3" w14:textId="285D8A5E" w:rsidR="00B93647" w:rsidRPr="00C64BA4" w:rsidRDefault="00B93647" w:rsidP="00206C45">
            <w:pPr>
              <w:spacing w:line="300" w:lineRule="auto"/>
            </w:pPr>
            <w:r w:rsidRPr="00C64BA4">
              <w:t xml:space="preserve">I lived in a rural area where rent was affordable until a rent increase. I moved to the city where I rented an apartment on the third floor with lower rent. During the 4 years I have lived there the rent increased without any upgrades or repairs. My rent is above what I can afford to live comfortably. I am now being evicted so the landlord can do renovations. There are a few apartments available for my </w:t>
            </w:r>
            <w:proofErr w:type="gramStart"/>
            <w:r w:rsidRPr="00C64BA4">
              <w:t>needs</w:t>
            </w:r>
            <w:proofErr w:type="gramEnd"/>
            <w:r w:rsidRPr="00C64BA4">
              <w:t xml:space="preserve"> but they are at or above the rental cost that I am paying now. There is no adequate housing for fixed income (SSI, Disability, Single Adults with or without children) recipients.</w:t>
            </w:r>
          </w:p>
        </w:tc>
      </w:tr>
      <w:tr w:rsidR="00B93647" w:rsidRPr="00C64BA4" w14:paraId="468CAE04" w14:textId="77777777" w:rsidTr="00092A1C">
        <w:trPr>
          <w:trHeight w:val="300"/>
        </w:trPr>
        <w:tc>
          <w:tcPr>
            <w:tcW w:w="9360" w:type="dxa"/>
            <w:shd w:val="clear" w:color="auto" w:fill="auto"/>
            <w:noWrap/>
            <w:vAlign w:val="bottom"/>
            <w:hideMark/>
          </w:tcPr>
          <w:p w14:paraId="6F0C5102" w14:textId="77777777" w:rsidR="00B93647" w:rsidRPr="00C64BA4" w:rsidRDefault="00B93647" w:rsidP="00206C45">
            <w:pPr>
              <w:spacing w:line="300" w:lineRule="auto"/>
            </w:pPr>
            <w:r w:rsidRPr="00C64BA4">
              <w:t xml:space="preserve">Had to move up for my job and couldn’t find a </w:t>
            </w:r>
            <w:proofErr w:type="spellStart"/>
            <w:r w:rsidRPr="00C64BA4">
              <w:t>liveable</w:t>
            </w:r>
            <w:proofErr w:type="spellEnd"/>
            <w:r w:rsidRPr="00C64BA4">
              <w:t xml:space="preserve"> place to buy within our budget. Took a place “just for now” and have been stuck here for 2 years paying almost half my salary and can’t find anyplace cheaper. Developers need to stop buying rental houses so that people can </w:t>
            </w:r>
            <w:proofErr w:type="gramStart"/>
            <w:r w:rsidRPr="00C64BA4">
              <w:t>actually afford</w:t>
            </w:r>
            <w:proofErr w:type="gramEnd"/>
            <w:r w:rsidRPr="00C64BA4">
              <w:t xml:space="preserve"> houses of their own. </w:t>
            </w:r>
          </w:p>
        </w:tc>
      </w:tr>
      <w:tr w:rsidR="00B93647" w:rsidRPr="00C64BA4" w14:paraId="006D7A21" w14:textId="77777777" w:rsidTr="00092A1C">
        <w:trPr>
          <w:trHeight w:val="300"/>
        </w:trPr>
        <w:tc>
          <w:tcPr>
            <w:tcW w:w="9360" w:type="dxa"/>
            <w:shd w:val="clear" w:color="auto" w:fill="auto"/>
            <w:noWrap/>
            <w:vAlign w:val="bottom"/>
            <w:hideMark/>
          </w:tcPr>
          <w:p w14:paraId="1DFCA5B3" w14:textId="060E5CC4" w:rsidR="00B93647" w:rsidRPr="00C64BA4" w:rsidRDefault="00B93647" w:rsidP="00206C45">
            <w:pPr>
              <w:spacing w:line="300" w:lineRule="auto"/>
            </w:pPr>
            <w:r w:rsidRPr="00C64BA4">
              <w:t xml:space="preserve">I am living with an abusive partner. I have to remain in this situation because I can’t find housing I can afford AND in an </w:t>
            </w:r>
            <w:proofErr w:type="gramStart"/>
            <w:r w:rsidRPr="00C64BA4">
              <w:t>area</w:t>
            </w:r>
            <w:proofErr w:type="gramEnd"/>
            <w:r w:rsidRPr="00C64BA4">
              <w:t xml:space="preserve"> I would feel safe being on my own</w:t>
            </w:r>
            <w:r w:rsidR="00B90D4F">
              <w:t>.</w:t>
            </w:r>
          </w:p>
        </w:tc>
      </w:tr>
      <w:tr w:rsidR="00B93647" w:rsidRPr="00C64BA4" w14:paraId="3EE11855" w14:textId="77777777" w:rsidTr="00092A1C">
        <w:trPr>
          <w:trHeight w:val="300"/>
        </w:trPr>
        <w:tc>
          <w:tcPr>
            <w:tcW w:w="9360" w:type="dxa"/>
            <w:shd w:val="clear" w:color="auto" w:fill="auto"/>
            <w:noWrap/>
            <w:vAlign w:val="bottom"/>
            <w:hideMark/>
          </w:tcPr>
          <w:p w14:paraId="02F2FD03" w14:textId="77777777" w:rsidR="00B93647" w:rsidRPr="00C64BA4" w:rsidRDefault="00B93647" w:rsidP="00206C45">
            <w:pPr>
              <w:spacing w:line="300" w:lineRule="auto"/>
            </w:pPr>
            <w:r w:rsidRPr="00C64BA4">
              <w:lastRenderedPageBreak/>
              <w:t>Worked nights as a laborer until I could afford to go to grad school full time from rural NH - moved to Manchester to a tenement after becoming enrolled. Stayed in the same studio despite significant income increases due to lack of reasonable alternatives that wouldn't eat up a huge chunk of income gains.</w:t>
            </w:r>
          </w:p>
        </w:tc>
      </w:tr>
      <w:tr w:rsidR="00B93647" w:rsidRPr="00C64BA4" w14:paraId="371E5D1D" w14:textId="77777777" w:rsidTr="00092A1C">
        <w:trPr>
          <w:trHeight w:val="300"/>
        </w:trPr>
        <w:tc>
          <w:tcPr>
            <w:tcW w:w="9360" w:type="dxa"/>
            <w:shd w:val="clear" w:color="auto" w:fill="auto"/>
            <w:noWrap/>
            <w:vAlign w:val="bottom"/>
            <w:hideMark/>
          </w:tcPr>
          <w:p w14:paraId="5C6F5BB7" w14:textId="262ADD0A" w:rsidR="00B93647" w:rsidRPr="00C64BA4" w:rsidRDefault="00B93647" w:rsidP="00206C45">
            <w:pPr>
              <w:spacing w:line="300" w:lineRule="auto"/>
            </w:pPr>
            <w:r w:rsidRPr="00C64BA4">
              <w:t>We could not find a reasonable single</w:t>
            </w:r>
            <w:r w:rsidR="00B90D4F">
              <w:t>-</w:t>
            </w:r>
            <w:r w:rsidRPr="00C64BA4">
              <w:t xml:space="preserve">family </w:t>
            </w:r>
            <w:proofErr w:type="gramStart"/>
            <w:r w:rsidRPr="00C64BA4">
              <w:t>home</w:t>
            </w:r>
            <w:proofErr w:type="gramEnd"/>
            <w:r w:rsidRPr="00C64BA4">
              <w:t xml:space="preserve"> so we decided to rent.  We’ve been searching for over three years being out bid many times by cash buyers</w:t>
            </w:r>
            <w:r w:rsidR="00B90D4F">
              <w:t>.</w:t>
            </w:r>
            <w:r w:rsidRPr="00C64BA4">
              <w:t xml:space="preserve"> </w:t>
            </w:r>
          </w:p>
        </w:tc>
      </w:tr>
      <w:tr w:rsidR="00B93647" w:rsidRPr="00C64BA4" w14:paraId="106C18E4" w14:textId="77777777" w:rsidTr="00092A1C">
        <w:trPr>
          <w:trHeight w:val="300"/>
        </w:trPr>
        <w:tc>
          <w:tcPr>
            <w:tcW w:w="9360" w:type="dxa"/>
            <w:shd w:val="clear" w:color="auto" w:fill="auto"/>
            <w:noWrap/>
            <w:vAlign w:val="bottom"/>
            <w:hideMark/>
          </w:tcPr>
          <w:p w14:paraId="22E6EF03" w14:textId="556E8686" w:rsidR="00B93647" w:rsidRPr="00C64BA4" w:rsidRDefault="00B93647" w:rsidP="00206C45">
            <w:pPr>
              <w:spacing w:line="300" w:lineRule="auto"/>
            </w:pPr>
            <w:r w:rsidRPr="00C64BA4">
              <w:t>When my sons and grandkids were evicted my husband and I had to go too. They are still homeless Manchester will not help to get them affordable housing</w:t>
            </w:r>
            <w:r w:rsidR="00B90D4F">
              <w:t>.</w:t>
            </w:r>
          </w:p>
        </w:tc>
      </w:tr>
      <w:tr w:rsidR="00B93647" w:rsidRPr="00C64BA4" w14:paraId="09037306" w14:textId="77777777" w:rsidTr="00092A1C">
        <w:trPr>
          <w:trHeight w:val="300"/>
        </w:trPr>
        <w:tc>
          <w:tcPr>
            <w:tcW w:w="9360" w:type="dxa"/>
            <w:shd w:val="clear" w:color="auto" w:fill="auto"/>
            <w:noWrap/>
            <w:vAlign w:val="bottom"/>
            <w:hideMark/>
          </w:tcPr>
          <w:p w14:paraId="1E038B4B" w14:textId="77777777" w:rsidR="00B93647" w:rsidRPr="00C64BA4" w:rsidRDefault="00B93647" w:rsidP="00206C45">
            <w:pPr>
              <w:spacing w:line="300" w:lineRule="auto"/>
            </w:pPr>
            <w:r w:rsidRPr="00C64BA4">
              <w:t xml:space="preserve">It was the only apartment we could find that we could even close to afford. We planned to get a roommate but were unable to find one due to COVID. So now we pay 35% of our income toward rent. </w:t>
            </w:r>
          </w:p>
        </w:tc>
      </w:tr>
      <w:tr w:rsidR="00B93647" w:rsidRPr="00C64BA4" w14:paraId="5F240D51" w14:textId="77777777" w:rsidTr="00092A1C">
        <w:trPr>
          <w:trHeight w:val="300"/>
        </w:trPr>
        <w:tc>
          <w:tcPr>
            <w:tcW w:w="9360" w:type="dxa"/>
            <w:shd w:val="clear" w:color="auto" w:fill="auto"/>
            <w:noWrap/>
            <w:vAlign w:val="bottom"/>
            <w:hideMark/>
          </w:tcPr>
          <w:p w14:paraId="64605830" w14:textId="77777777" w:rsidR="00B93647" w:rsidRPr="00C64BA4" w:rsidRDefault="00B93647" w:rsidP="00206C45">
            <w:pPr>
              <w:spacing w:line="300" w:lineRule="auto"/>
            </w:pPr>
            <w:r w:rsidRPr="00C64BA4">
              <w:t>I left an abusive relationship with my kids and had nowhere to live. We are staying in a small hotel room until we can find housing, which is proving to be virtually impossible.</w:t>
            </w:r>
          </w:p>
        </w:tc>
      </w:tr>
    </w:tbl>
    <w:p w14:paraId="051FBB24" w14:textId="77777777" w:rsidR="00B93647" w:rsidRPr="00C64BA4" w:rsidRDefault="00B93647" w:rsidP="00206C45">
      <w:pPr>
        <w:spacing w:line="300" w:lineRule="auto"/>
      </w:pPr>
    </w:p>
    <w:p w14:paraId="2D5AF7F8" w14:textId="77777777" w:rsidR="00B93647" w:rsidRPr="00C64BA4" w:rsidRDefault="00B93647" w:rsidP="00206C45">
      <w:pPr>
        <w:spacing w:line="300" w:lineRule="auto"/>
      </w:pPr>
      <w:r w:rsidRPr="00C64BA4">
        <w:t>Going back to the conclusion in 2014, a thorough and very thoughtful list of goals and recommendations were provided.  The topics and calls to action are outlined here:</w:t>
      </w:r>
    </w:p>
    <w:p w14:paraId="15E7BF29" w14:textId="0C2B9DDF" w:rsidR="00B93647" w:rsidRPr="00C64BA4" w:rsidRDefault="00B93647" w:rsidP="00206C45">
      <w:pPr>
        <w:spacing w:line="300" w:lineRule="auto"/>
        <w:ind w:left="1080" w:hanging="1080"/>
      </w:pPr>
      <w:bookmarkStart w:id="301" w:name="_Hlk122690747"/>
      <w:r w:rsidRPr="00C64BA4">
        <w:t xml:space="preserve">  Goal 1: </w:t>
      </w:r>
      <w:r w:rsidRPr="00C64BA4">
        <w:tab/>
        <w:t xml:space="preserve">Encourage development of a variety of affordable housing choices in every community of the </w:t>
      </w:r>
      <w:proofErr w:type="gramStart"/>
      <w:r w:rsidRPr="00C64BA4">
        <w:t>region</w:t>
      </w:r>
      <w:proofErr w:type="gramEnd"/>
      <w:r w:rsidRPr="00C64BA4">
        <w:t xml:space="preserve"> </w:t>
      </w:r>
    </w:p>
    <w:p w14:paraId="769D481B" w14:textId="77777777" w:rsidR="00B93647" w:rsidRPr="00C64BA4" w:rsidRDefault="00B93647" w:rsidP="00206C45">
      <w:pPr>
        <w:spacing w:line="300" w:lineRule="auto"/>
        <w:ind w:left="1080"/>
      </w:pPr>
      <w:r w:rsidRPr="00C64BA4">
        <w:t xml:space="preserve">This was to be accomplished through incentives for investment in reuse and redevelopment of existing structures, through the allowance of cluster housing, through the creation of walkable “village neighborhood” development to enhance employment and housing opportunities, and through more expansive single-family zoning definitions which would allow for flexible multi-generational housing, in-law and accessory apartment living arrangements. Finally, zoning ordinance reviews were to be conducted and recommendations to provide for workforce housing were to be developed. </w:t>
      </w:r>
    </w:p>
    <w:p w14:paraId="0AE42734" w14:textId="1A2188B8" w:rsidR="00B93647" w:rsidRPr="00C64BA4" w:rsidRDefault="00B93647" w:rsidP="00206C45">
      <w:pPr>
        <w:spacing w:line="300" w:lineRule="auto"/>
        <w:ind w:left="1080" w:hanging="990"/>
      </w:pPr>
      <w:r w:rsidRPr="00C64BA4">
        <w:t xml:space="preserve">Goal 2: </w:t>
      </w:r>
      <w:r w:rsidRPr="00C64BA4">
        <w:tab/>
        <w:t xml:space="preserve">Develop and implement a comprehensive public outreach campaign to increase education and training opportunities for fair housing and housing needs in the </w:t>
      </w:r>
      <w:proofErr w:type="gramStart"/>
      <w:r w:rsidRPr="00C64BA4">
        <w:t>region</w:t>
      </w:r>
      <w:proofErr w:type="gramEnd"/>
      <w:r w:rsidRPr="00C64BA4">
        <w:t xml:space="preserve"> </w:t>
      </w:r>
    </w:p>
    <w:p w14:paraId="6DC09EE0" w14:textId="77777777" w:rsidR="00B93647" w:rsidRPr="00C64BA4" w:rsidRDefault="00B93647" w:rsidP="00206C45">
      <w:pPr>
        <w:spacing w:line="300" w:lineRule="auto"/>
        <w:ind w:left="1080"/>
      </w:pPr>
      <w:r w:rsidRPr="00C64BA4">
        <w:t xml:space="preserve">This was to be accomplished through educational workshops and training sessions on housing resources, law and fair housing issues, through the development of “best practices” resource guide that highlights what other states are doing to encourage/incentivize/require affordable housing, such as 40-B in Massachusetts, and through an education effort for local officials and residents on the differences between manufactured and mobile homes, and through the promotion of “inter-generational communities”. </w:t>
      </w:r>
    </w:p>
    <w:p w14:paraId="119BDEEE" w14:textId="77777777" w:rsidR="00B93647" w:rsidRPr="00C64BA4" w:rsidRDefault="00B93647" w:rsidP="00206C45">
      <w:pPr>
        <w:spacing w:line="300" w:lineRule="auto"/>
        <w:ind w:left="1080" w:hanging="1080"/>
      </w:pPr>
      <w:r w:rsidRPr="00C64BA4">
        <w:t xml:space="preserve">Goal 3: </w:t>
      </w:r>
      <w:r w:rsidRPr="00C64BA4">
        <w:tab/>
        <w:t xml:space="preserve">Work to address statewide housing issues impacting the Southern NH </w:t>
      </w:r>
      <w:proofErr w:type="gramStart"/>
      <w:r w:rsidRPr="00C64BA4">
        <w:t>region</w:t>
      </w:r>
      <w:proofErr w:type="gramEnd"/>
      <w:r w:rsidRPr="00C64BA4">
        <w:t xml:space="preserve"> </w:t>
      </w:r>
    </w:p>
    <w:p w14:paraId="23C40523" w14:textId="77777777" w:rsidR="00B93647" w:rsidRPr="00C64BA4" w:rsidRDefault="00B93647" w:rsidP="00206C45">
      <w:pPr>
        <w:spacing w:line="300" w:lineRule="auto"/>
        <w:ind w:left="1080"/>
      </w:pPr>
      <w:r w:rsidRPr="00C64BA4">
        <w:t xml:space="preserve">This was to be accomplished through an effort to balance existing HUD entitlement funding between the revitalization of impacted areas (those with housing problems, minority and/or low-income concentrations) and the creation of new affordable housing in non-impacted areas, and through encouragement of public transportation services of all forms including Rideshare. </w:t>
      </w:r>
    </w:p>
    <w:p w14:paraId="3205DDCB" w14:textId="77777777" w:rsidR="00B93647" w:rsidRPr="00C64BA4" w:rsidRDefault="00B93647" w:rsidP="00206C45">
      <w:pPr>
        <w:spacing w:line="300" w:lineRule="auto"/>
        <w:ind w:left="1080" w:hanging="1080"/>
      </w:pPr>
      <w:r w:rsidRPr="00C64BA4">
        <w:t xml:space="preserve">Goal 4: </w:t>
      </w:r>
      <w:r w:rsidRPr="00C64BA4">
        <w:tab/>
        <w:t xml:space="preserve">Monitor statewide, regional and local trends to ensure housing needs are being </w:t>
      </w:r>
      <w:proofErr w:type="gramStart"/>
      <w:r w:rsidRPr="00C64BA4">
        <w:t>met</w:t>
      </w:r>
      <w:proofErr w:type="gramEnd"/>
      <w:r w:rsidRPr="00C64BA4">
        <w:t xml:space="preserve"> </w:t>
      </w:r>
    </w:p>
    <w:p w14:paraId="5FA9D288" w14:textId="232273EF" w:rsidR="00B93647" w:rsidRPr="00C64BA4" w:rsidRDefault="00B93647" w:rsidP="00206C45">
      <w:pPr>
        <w:spacing w:line="300" w:lineRule="auto"/>
        <w:ind w:left="1080"/>
      </w:pPr>
      <w:r w:rsidRPr="00C64BA4">
        <w:lastRenderedPageBreak/>
        <w:t xml:space="preserve">This was to be accomplished through encouraging communities to conduct a spatial inventory of where development was occurring, as well as an inventory of affordable housing units, through a Regional Housing Needs Assessment to determine where regional cooperation was needed </w:t>
      </w:r>
      <w:proofErr w:type="gramStart"/>
      <w:r w:rsidRPr="00C64BA4">
        <w:t>in order to</w:t>
      </w:r>
      <w:proofErr w:type="gramEnd"/>
      <w:r w:rsidRPr="00C64BA4">
        <w:t xml:space="preserve"> meet housing needs, and through working with NHHFA to incorporate statewide trends, results and data into regional analysis in order to guide regional and local recommendations and plans.</w:t>
      </w:r>
      <w:bookmarkEnd w:id="301"/>
    </w:p>
    <w:p w14:paraId="677DDE07" w14:textId="70656B6B" w:rsidR="00C539A0" w:rsidRPr="00C64BA4" w:rsidRDefault="00C539A0" w:rsidP="00C539A0">
      <w:bookmarkStart w:id="302" w:name="_Toc123827717"/>
      <w:bookmarkStart w:id="303" w:name="_Toc128138016"/>
      <w:r w:rsidRPr="00232DF3">
        <w:rPr>
          <w:rStyle w:val="Heading2Char"/>
        </w:rPr>
        <w:t>Next Steps</w:t>
      </w:r>
      <w:bookmarkEnd w:id="302"/>
      <w:r>
        <w:rPr>
          <w:rStyle w:val="Heading2Char"/>
        </w:rPr>
        <w:t xml:space="preserve"> for communities</w:t>
      </w:r>
      <w:bookmarkEnd w:id="303"/>
      <w:r w:rsidRPr="00C64BA4">
        <w:t>:</w:t>
      </w:r>
    </w:p>
    <w:p w14:paraId="62BB9419" w14:textId="77777777" w:rsidR="00C539A0" w:rsidRPr="00C64BA4" w:rsidRDefault="00C539A0" w:rsidP="00C539A0">
      <w:pPr>
        <w:jc w:val="both"/>
      </w:pPr>
      <w:r w:rsidRPr="00C64BA4">
        <w:t xml:space="preserve">Each community in the region might consider conducting their own scorecard on how they have or haven’t addressed these goals.  Some may wonder if the goals are still relevant, if the situation calls for more immediate action, or if there are newer more urgent means to address these goals.  </w:t>
      </w:r>
    </w:p>
    <w:p w14:paraId="512D6FF4" w14:textId="77777777" w:rsidR="00C539A0" w:rsidRDefault="00C539A0" w:rsidP="00C539A0">
      <w:pPr>
        <w:jc w:val="both"/>
      </w:pPr>
      <w:r w:rsidRPr="00C64BA4">
        <w:t xml:space="preserve">It took several staff a year to coordinate, analyze, engage, research, and consider the housing needs within the SNHPC region.  The subject has been the focus of local, </w:t>
      </w:r>
      <w:proofErr w:type="gramStart"/>
      <w:r w:rsidRPr="00C64BA4">
        <w:t>regional</w:t>
      </w:r>
      <w:proofErr w:type="gramEnd"/>
      <w:r w:rsidRPr="00C64BA4">
        <w:t xml:space="preserve"> and state committees and councils. Considering 2023 will be the year each region in the state will be updating their regional plans, which will include a pilot program to address issues realized during this housing needs assessment, it may be worthwhile to take on the task of evaluating and updating this </w:t>
      </w:r>
      <w:proofErr w:type="gramStart"/>
      <w:r w:rsidRPr="00C64BA4">
        <w:t>list, and</w:t>
      </w:r>
      <w:proofErr w:type="gramEnd"/>
      <w:r w:rsidRPr="00C64BA4">
        <w:t xml:space="preserve"> creating a reasonable yet effective approach and call to action for addressing housing needs.</w:t>
      </w:r>
    </w:p>
    <w:p w14:paraId="572CBA8E" w14:textId="77777777" w:rsidR="00C539A0" w:rsidRDefault="00C539A0" w:rsidP="00C539A0">
      <w:pPr>
        <w:jc w:val="both"/>
      </w:pPr>
      <w:r>
        <w:t>LOW HANGING FRUIT: The work, guidance, and allowances provided by Planning Boards, Zoning Boards, and Community Planners is critical in how the development community can respond to the housing crisis.  Within the toolkit are numerous implementable ideas that these key stakeholders can utilize. Some specific ideas include:</w:t>
      </w:r>
    </w:p>
    <w:p w14:paraId="46B7FC4A" w14:textId="77777777" w:rsidR="002F6E95" w:rsidRDefault="008F16E3" w:rsidP="008F16E3">
      <w:pPr>
        <w:pStyle w:val="ListParagraph"/>
        <w:numPr>
          <w:ilvl w:val="0"/>
          <w:numId w:val="35"/>
        </w:numPr>
        <w:jc w:val="both"/>
      </w:pPr>
      <w:r>
        <w:t xml:space="preserve">Begin with community goals in mind: </w:t>
      </w:r>
    </w:p>
    <w:p w14:paraId="4725FAA0" w14:textId="056B493D" w:rsidR="008F16E3" w:rsidRDefault="002F6E95" w:rsidP="002F6E95">
      <w:pPr>
        <w:pStyle w:val="ListParagraph"/>
        <w:numPr>
          <w:ilvl w:val="1"/>
          <w:numId w:val="35"/>
        </w:numPr>
        <w:jc w:val="both"/>
      </w:pPr>
      <w:r>
        <w:t>U</w:t>
      </w:r>
      <w:r w:rsidR="008F16E3">
        <w:t>pdate the Master Plan and ensure community engagement and input guides master plan recommendations.</w:t>
      </w:r>
    </w:p>
    <w:p w14:paraId="1DE8E1D6" w14:textId="77777777" w:rsidR="002F6E95" w:rsidRDefault="00C539A0" w:rsidP="002F6E95">
      <w:pPr>
        <w:pStyle w:val="ListParagraph"/>
        <w:numPr>
          <w:ilvl w:val="1"/>
          <w:numId w:val="35"/>
        </w:numPr>
        <w:jc w:val="both"/>
      </w:pPr>
      <w:r>
        <w:t xml:space="preserve">Conduct a regulation assessment and identify roadblocks.  </w:t>
      </w:r>
    </w:p>
    <w:p w14:paraId="69FDCE66" w14:textId="7FE561E1" w:rsidR="00C539A0" w:rsidRDefault="00C539A0" w:rsidP="002F6E95">
      <w:pPr>
        <w:pStyle w:val="ListParagraph"/>
        <w:numPr>
          <w:ilvl w:val="1"/>
          <w:numId w:val="35"/>
        </w:numPr>
        <w:jc w:val="both"/>
      </w:pPr>
      <w:r>
        <w:t>Ensure the community’s Master Plan is in sync with zoning and other land use regulations.</w:t>
      </w:r>
    </w:p>
    <w:p w14:paraId="11ABE339" w14:textId="08BB2C68" w:rsidR="002F6E95" w:rsidRDefault="002F6E95" w:rsidP="002F6E95">
      <w:pPr>
        <w:pStyle w:val="ListParagraph"/>
        <w:numPr>
          <w:ilvl w:val="0"/>
          <w:numId w:val="35"/>
        </w:numPr>
        <w:jc w:val="both"/>
      </w:pPr>
      <w:r>
        <w:t>Create flexibility in regulations:</w:t>
      </w:r>
    </w:p>
    <w:p w14:paraId="7719199D" w14:textId="6B3E50FA" w:rsidR="002F6E95" w:rsidRDefault="002F6E95" w:rsidP="002F6E95">
      <w:pPr>
        <w:pStyle w:val="ListParagraph"/>
        <w:numPr>
          <w:ilvl w:val="1"/>
          <w:numId w:val="35"/>
        </w:numPr>
        <w:jc w:val="both"/>
      </w:pPr>
      <w:r>
        <w:t>Utilize the Conditional Use Permit method to allow for case-by-case considerations.</w:t>
      </w:r>
    </w:p>
    <w:p w14:paraId="1CE5218C" w14:textId="77777777" w:rsidR="002F6E95" w:rsidRDefault="002F6E95" w:rsidP="002F6E95">
      <w:pPr>
        <w:pStyle w:val="ListParagraph"/>
        <w:numPr>
          <w:ilvl w:val="1"/>
          <w:numId w:val="35"/>
        </w:numPr>
        <w:jc w:val="both"/>
      </w:pPr>
      <w:r>
        <w:t>Support incentives for investment in reuse and redevelopment of existing structures. Increase density allowances and allow soils-based methodologies to verify density distribution.  Consider starting out with minimal allowances such as adding the allowance for duplexes where presently only single-family homes exist.</w:t>
      </w:r>
    </w:p>
    <w:p w14:paraId="1003E92C" w14:textId="77777777" w:rsidR="002F6E95" w:rsidRDefault="002F6E95" w:rsidP="002F6E95">
      <w:pPr>
        <w:pStyle w:val="ListParagraph"/>
        <w:numPr>
          <w:ilvl w:val="1"/>
          <w:numId w:val="35"/>
        </w:numPr>
        <w:jc w:val="both"/>
      </w:pPr>
      <w:r>
        <w:t>In-fill development is typically difficult.  Often open lots are in the oldest portion of a community, and those existing businesses and homes were built prior to zoning.  Provide allowances whereby in-fill development can match the abutting property setbacks and instead place the emphasis on ensuring neighborhood character is matched or enhanced.</w:t>
      </w:r>
    </w:p>
    <w:p w14:paraId="7225491B" w14:textId="68DF106D" w:rsidR="002F6E95" w:rsidRDefault="002F6E95" w:rsidP="00C539A0">
      <w:pPr>
        <w:pStyle w:val="ListParagraph"/>
        <w:numPr>
          <w:ilvl w:val="0"/>
          <w:numId w:val="35"/>
        </w:numPr>
        <w:jc w:val="both"/>
      </w:pPr>
      <w:r>
        <w:t>Consider the needs of the community:</w:t>
      </w:r>
    </w:p>
    <w:p w14:paraId="72E8F88C" w14:textId="0EDDAA68" w:rsidR="002F6E95" w:rsidRDefault="002F6E95" w:rsidP="002F6E95">
      <w:pPr>
        <w:pStyle w:val="ListParagraph"/>
        <w:numPr>
          <w:ilvl w:val="1"/>
          <w:numId w:val="35"/>
        </w:numPr>
        <w:jc w:val="both"/>
      </w:pPr>
      <w:r>
        <w:t>Encourage and promote employer-based housing.</w:t>
      </w:r>
    </w:p>
    <w:p w14:paraId="52E6BC29" w14:textId="77777777" w:rsidR="002F6E95" w:rsidRDefault="002F6E95" w:rsidP="002F6E95">
      <w:pPr>
        <w:pStyle w:val="ListParagraph"/>
        <w:numPr>
          <w:ilvl w:val="1"/>
          <w:numId w:val="35"/>
        </w:numPr>
        <w:jc w:val="both"/>
      </w:pPr>
      <w:r>
        <w:t>Create Age-friendly housing and neighborhoods by ensuring homes and subdivisions are accessible to people of all ages and abilities.</w:t>
      </w:r>
    </w:p>
    <w:p w14:paraId="240D06D9" w14:textId="77777777" w:rsidR="002F6E95" w:rsidRDefault="002F6E95" w:rsidP="002F6E95">
      <w:pPr>
        <w:pStyle w:val="ListParagraph"/>
        <w:numPr>
          <w:ilvl w:val="1"/>
          <w:numId w:val="35"/>
        </w:numPr>
        <w:jc w:val="both"/>
      </w:pPr>
      <w:r>
        <w:t>Encourage walkable “village neighborhood” development to enhance employment and housing opportunities.</w:t>
      </w:r>
    </w:p>
    <w:p w14:paraId="3DC98B4E" w14:textId="7E8E1A0A" w:rsidR="002F6E95" w:rsidRDefault="002F6E95" w:rsidP="00C539A0">
      <w:pPr>
        <w:pStyle w:val="ListParagraph"/>
        <w:numPr>
          <w:ilvl w:val="0"/>
          <w:numId w:val="35"/>
        </w:numPr>
        <w:jc w:val="both"/>
      </w:pPr>
      <w:r>
        <w:t>Take small steps toward increasing density:</w:t>
      </w:r>
    </w:p>
    <w:p w14:paraId="48E3FFB6" w14:textId="50860BB9" w:rsidR="00C539A0" w:rsidRDefault="00C539A0" w:rsidP="002F6E95">
      <w:pPr>
        <w:pStyle w:val="ListParagraph"/>
        <w:numPr>
          <w:ilvl w:val="1"/>
          <w:numId w:val="35"/>
        </w:numPr>
        <w:jc w:val="both"/>
      </w:pPr>
      <w:r>
        <w:t>Expanding ADU allowances to allow detached ADUs</w:t>
      </w:r>
      <w:r w:rsidR="002F6E95">
        <w:t>.</w:t>
      </w:r>
    </w:p>
    <w:p w14:paraId="7DE68F9C" w14:textId="2773F229" w:rsidR="002F6E95" w:rsidRDefault="002F6E95" w:rsidP="002F6E95">
      <w:pPr>
        <w:pStyle w:val="ListParagraph"/>
        <w:numPr>
          <w:ilvl w:val="1"/>
          <w:numId w:val="35"/>
        </w:numPr>
        <w:jc w:val="both"/>
      </w:pPr>
      <w:r>
        <w:t>Base density on science utilizing soil-based equations to verify the land can handle the use.</w:t>
      </w:r>
    </w:p>
    <w:p w14:paraId="5031557E" w14:textId="789EC488" w:rsidR="00C539A0" w:rsidRDefault="00C539A0" w:rsidP="002F6E95">
      <w:pPr>
        <w:pStyle w:val="ListParagraph"/>
        <w:numPr>
          <w:ilvl w:val="1"/>
          <w:numId w:val="35"/>
        </w:numPr>
        <w:jc w:val="both"/>
      </w:pPr>
      <w:r>
        <w:t>Encourage more expansive single-family zoning definitions which would allow for flexible multi-generational housing, in-law and accessory apartment living arrangements.</w:t>
      </w:r>
    </w:p>
    <w:p w14:paraId="5F5780F1" w14:textId="664BA1E1" w:rsidR="002F6E95" w:rsidRDefault="002F6E95" w:rsidP="008F16E3">
      <w:pPr>
        <w:pStyle w:val="ListParagraph"/>
        <w:numPr>
          <w:ilvl w:val="0"/>
          <w:numId w:val="35"/>
        </w:numPr>
        <w:jc w:val="both"/>
      </w:pPr>
      <w:r>
        <w:t>Share with the development community what type of development the community wants:</w:t>
      </w:r>
    </w:p>
    <w:p w14:paraId="6F4016E4" w14:textId="77777777" w:rsidR="002F6E95" w:rsidRDefault="00C539A0" w:rsidP="002F6E95">
      <w:pPr>
        <w:pStyle w:val="ListParagraph"/>
        <w:numPr>
          <w:ilvl w:val="1"/>
          <w:numId w:val="35"/>
        </w:numPr>
        <w:jc w:val="both"/>
      </w:pPr>
      <w:r>
        <w:t xml:space="preserve">Research what other communities in New Hampshire are doing and see examples of housing being built in the state.  </w:t>
      </w:r>
    </w:p>
    <w:p w14:paraId="11A42311" w14:textId="2B477429" w:rsidR="00C539A0" w:rsidRDefault="00C539A0" w:rsidP="002F6E95">
      <w:pPr>
        <w:pStyle w:val="ListParagraph"/>
        <w:numPr>
          <w:ilvl w:val="1"/>
          <w:numId w:val="35"/>
        </w:numPr>
        <w:jc w:val="both"/>
      </w:pPr>
      <w:r>
        <w:lastRenderedPageBreak/>
        <w:t>Consider developing a visual guide for developers to show them the types of housing that the various members of your community would like to see built.</w:t>
      </w:r>
    </w:p>
    <w:p w14:paraId="0844A361" w14:textId="77777777" w:rsidR="00594D91" w:rsidRPr="00C64BA4" w:rsidRDefault="00594D91" w:rsidP="00206C45">
      <w:pPr>
        <w:spacing w:line="300" w:lineRule="auto"/>
        <w:jc w:val="both"/>
      </w:pPr>
    </w:p>
    <w:p w14:paraId="1CFD512F" w14:textId="703DE63B" w:rsidR="00E1357E" w:rsidRPr="00C64BA4" w:rsidRDefault="00E1357E" w:rsidP="00206C45">
      <w:pPr>
        <w:pStyle w:val="Body"/>
        <w:spacing w:line="300" w:lineRule="auto"/>
        <w:rPr>
          <w:lang w:val="en"/>
        </w:rPr>
        <w:sectPr w:rsidR="00E1357E" w:rsidRPr="00C64BA4" w:rsidSect="008142C8">
          <w:pgSz w:w="12240" w:h="15840" w:code="1"/>
          <w:pgMar w:top="900" w:right="1440" w:bottom="1080" w:left="1440" w:header="432" w:footer="288" w:gutter="0"/>
          <w:cols w:space="720"/>
          <w:docGrid w:linePitch="360"/>
        </w:sectPr>
      </w:pPr>
      <w:r w:rsidRPr="00C64BA4">
        <w:rPr>
          <w:lang w:val="en"/>
        </w:rPr>
        <w:t xml:space="preserve"> </w:t>
      </w:r>
    </w:p>
    <w:p w14:paraId="76BB8B98" w14:textId="3997D433" w:rsidR="000739AE" w:rsidRPr="00C64BA4" w:rsidRDefault="022726C6" w:rsidP="00206C45">
      <w:pPr>
        <w:pStyle w:val="Heading1"/>
        <w:spacing w:line="300" w:lineRule="auto"/>
        <w:rPr>
          <w:lang w:val="en"/>
        </w:rPr>
      </w:pPr>
      <w:bookmarkStart w:id="304" w:name="_Toc234879203"/>
      <w:bookmarkStart w:id="305" w:name="_Toc1687799097"/>
      <w:bookmarkStart w:id="306" w:name="_Toc128138017"/>
      <w:r w:rsidRPr="00C64BA4">
        <w:rPr>
          <w:lang w:val="en"/>
        </w:rPr>
        <w:lastRenderedPageBreak/>
        <w:t>Appendix A</w:t>
      </w:r>
      <w:r w:rsidR="4256CDFB" w:rsidRPr="00C64BA4">
        <w:rPr>
          <w:lang w:val="en"/>
        </w:rPr>
        <w:t xml:space="preserve"> – Glossary of Terms</w:t>
      </w:r>
      <w:bookmarkEnd w:id="304"/>
      <w:bookmarkEnd w:id="305"/>
      <w:bookmarkEnd w:id="306"/>
    </w:p>
    <w:p w14:paraId="3E0E5FBC" w14:textId="1FC49F1C" w:rsidR="008B27D8" w:rsidRPr="00C64BA4" w:rsidRDefault="008B27D8" w:rsidP="00206C45">
      <w:pPr>
        <w:spacing w:line="300" w:lineRule="auto"/>
        <w:rPr>
          <w:lang w:val="en"/>
        </w:rPr>
      </w:pPr>
    </w:p>
    <w:p w14:paraId="23F19FAB" w14:textId="3A7909A7" w:rsidR="008B27D8" w:rsidRPr="00C64BA4" w:rsidRDefault="008B27D8" w:rsidP="00206C45">
      <w:pPr>
        <w:spacing w:line="300" w:lineRule="auto"/>
        <w:rPr>
          <w:lang w:val="en"/>
        </w:rPr>
      </w:pPr>
      <w:r w:rsidRPr="00C64BA4">
        <w:rPr>
          <w:lang w:val="en"/>
        </w:rPr>
        <w:br w:type="page"/>
      </w:r>
    </w:p>
    <w:p w14:paraId="79DA486A" w14:textId="0A1D390C" w:rsidR="00835806" w:rsidRPr="00C64BA4" w:rsidRDefault="3026F257" w:rsidP="00206C45">
      <w:pPr>
        <w:pStyle w:val="Heading1"/>
        <w:spacing w:line="300" w:lineRule="auto"/>
        <w:rPr>
          <w:lang w:val="en"/>
        </w:rPr>
      </w:pPr>
      <w:bookmarkStart w:id="307" w:name="_Appendix_B_–"/>
      <w:bookmarkStart w:id="308" w:name="_Toc1860182986"/>
      <w:bookmarkStart w:id="309" w:name="_Toc1540604101"/>
      <w:bookmarkStart w:id="310" w:name="_Toc128138018"/>
      <w:bookmarkEnd w:id="307"/>
      <w:r w:rsidRPr="00C64BA4">
        <w:rPr>
          <w:lang w:val="en"/>
        </w:rPr>
        <w:lastRenderedPageBreak/>
        <w:t>Appendix B – Engagement</w:t>
      </w:r>
      <w:bookmarkEnd w:id="308"/>
      <w:bookmarkEnd w:id="309"/>
      <w:r w:rsidR="006F60BD">
        <w:rPr>
          <w:lang w:val="en"/>
        </w:rPr>
        <w:t xml:space="preserve"> Process</w:t>
      </w:r>
      <w:bookmarkEnd w:id="310"/>
    </w:p>
    <w:p w14:paraId="21F2C02D" w14:textId="77777777" w:rsidR="000739AE" w:rsidRDefault="00952318" w:rsidP="00206C45">
      <w:pPr>
        <w:spacing w:line="300" w:lineRule="auto"/>
        <w:rPr>
          <w:rStyle w:val="cf01"/>
          <w:rFonts w:asciiTheme="minorHAnsi" w:hAnsiTheme="minorHAnsi"/>
          <w:color w:val="0000FF"/>
          <w:u w:val="single"/>
        </w:rPr>
      </w:pPr>
      <w:r w:rsidRPr="00C64BA4">
        <w:rPr>
          <w:lang w:val="en"/>
        </w:rPr>
        <w:t xml:space="preserve">Found Here: </w:t>
      </w:r>
      <w:r w:rsidR="000739AE" w:rsidRPr="00C64BA4">
        <w:rPr>
          <w:lang w:val="en"/>
        </w:rPr>
        <w:t xml:space="preserve"> </w:t>
      </w:r>
      <w:hyperlink r:id="rId97" w:history="1">
        <w:r w:rsidRPr="00C64BA4">
          <w:rPr>
            <w:rStyle w:val="cf01"/>
            <w:rFonts w:asciiTheme="minorHAnsi" w:hAnsiTheme="minorHAnsi"/>
            <w:color w:val="0000FF"/>
            <w:u w:val="single"/>
          </w:rPr>
          <w:t>N:\Housing\HousingNeedsAssessment\2021 Housing Needs Assessment\Outreach\PDFs for Appendix B\RHNA Appendix B.docx</w:t>
        </w:r>
      </w:hyperlink>
    </w:p>
    <w:p w14:paraId="6BC0CAB1" w14:textId="77777777" w:rsidR="006F60BD" w:rsidRDefault="006F60BD" w:rsidP="00206C45">
      <w:pPr>
        <w:spacing w:line="300" w:lineRule="auto"/>
        <w:rPr>
          <w:rStyle w:val="cf01"/>
          <w:rFonts w:asciiTheme="minorHAnsi" w:hAnsiTheme="minorHAnsi"/>
          <w:color w:val="0000FF"/>
          <w:u w:val="single"/>
        </w:rPr>
      </w:pPr>
    </w:p>
    <w:p w14:paraId="6210DB11" w14:textId="581A1226" w:rsidR="006F60BD" w:rsidRPr="006F60BD" w:rsidRDefault="006F60BD" w:rsidP="006F60BD">
      <w:pPr>
        <w:pStyle w:val="Heading1"/>
        <w:rPr>
          <w:lang w:val="en"/>
        </w:rPr>
        <w:sectPr w:rsidR="006F60BD" w:rsidRPr="006F60BD" w:rsidSect="008142C8">
          <w:footerReference w:type="default" r:id="rId98"/>
          <w:pgSz w:w="12240" w:h="15840" w:code="1"/>
          <w:pgMar w:top="1080" w:right="1440" w:bottom="1440" w:left="1440" w:header="720" w:footer="720" w:gutter="0"/>
          <w:pgNumType w:fmt="upperLetter" w:start="1"/>
          <w:cols w:space="720"/>
          <w:docGrid w:linePitch="360"/>
        </w:sectPr>
      </w:pPr>
      <w:bookmarkStart w:id="311" w:name="_Toc128138019"/>
      <w:r w:rsidRPr="00C64BA4">
        <w:rPr>
          <w:lang w:val="en"/>
        </w:rPr>
        <w:lastRenderedPageBreak/>
        <w:t>Appendix B</w:t>
      </w:r>
      <w:r>
        <w:rPr>
          <w:lang w:val="en"/>
        </w:rPr>
        <w:t>.1</w:t>
      </w:r>
      <w:r w:rsidRPr="00C64BA4">
        <w:rPr>
          <w:lang w:val="en"/>
        </w:rPr>
        <w:t xml:space="preserve"> – </w:t>
      </w:r>
      <w:r w:rsidRPr="006F60BD">
        <w:rPr>
          <w:lang w:val="en"/>
        </w:rPr>
        <w:t>Engagement Documentation</w:t>
      </w:r>
      <w:bookmarkEnd w:id="311"/>
    </w:p>
    <w:p w14:paraId="4D3B3261" w14:textId="31CE52EB" w:rsidR="48770FF6" w:rsidRPr="00C64BA4" w:rsidRDefault="48770FF6" w:rsidP="00206C45">
      <w:pPr>
        <w:spacing w:line="300" w:lineRule="auto"/>
        <w:rPr>
          <w:rFonts w:eastAsia="Tw Cen MT" w:cs="Tw Cen MT"/>
          <w:color w:val="FCB041"/>
        </w:rPr>
      </w:pPr>
    </w:p>
    <w:p w14:paraId="7F6EEE54" w14:textId="59FCD9C3" w:rsidR="000739AE" w:rsidRPr="00C64BA4" w:rsidRDefault="000739AE" w:rsidP="00206C45">
      <w:pPr>
        <w:spacing w:line="300" w:lineRule="auto"/>
        <w:rPr>
          <w:rFonts w:eastAsia="Tw Cen MT" w:cs="Tw Cen MT"/>
          <w:color w:val="FCB041"/>
        </w:rPr>
        <w:sectPr w:rsidR="000739AE" w:rsidRPr="00C64BA4" w:rsidSect="008142C8">
          <w:type w:val="continuous"/>
          <w:pgSz w:w="12240" w:h="15840" w:code="1"/>
          <w:pgMar w:top="1080" w:right="1440" w:bottom="1440" w:left="1440" w:header="720" w:footer="720" w:gutter="0"/>
          <w:pgNumType w:fmt="upperLetter" w:start="2"/>
          <w:cols w:space="720"/>
          <w:docGrid w:linePitch="360"/>
        </w:sectPr>
      </w:pPr>
    </w:p>
    <w:p w14:paraId="46417F9F" w14:textId="5B7450DC" w:rsidR="000739AE" w:rsidRPr="00C64BA4" w:rsidRDefault="4256CDFB" w:rsidP="00206C45">
      <w:pPr>
        <w:pStyle w:val="Heading1"/>
        <w:spacing w:line="300" w:lineRule="auto"/>
        <w:rPr>
          <w:lang w:val="en"/>
        </w:rPr>
      </w:pPr>
      <w:bookmarkStart w:id="312" w:name="_Toc1145615997"/>
      <w:bookmarkStart w:id="313" w:name="_Toc1104461138"/>
      <w:bookmarkStart w:id="314" w:name="_Toc128138020"/>
      <w:r w:rsidRPr="00C64BA4">
        <w:rPr>
          <w:lang w:val="en"/>
        </w:rPr>
        <w:lastRenderedPageBreak/>
        <w:t>Appendix C – Quantitative Data</w:t>
      </w:r>
      <w:bookmarkEnd w:id="312"/>
      <w:bookmarkEnd w:id="313"/>
      <w:bookmarkEnd w:id="314"/>
    </w:p>
    <w:p w14:paraId="7B11CBB9" w14:textId="77777777" w:rsidR="000739AE" w:rsidRPr="00C64BA4" w:rsidRDefault="000739AE" w:rsidP="00206C45">
      <w:pPr>
        <w:pStyle w:val="Body"/>
        <w:spacing w:line="300" w:lineRule="auto"/>
        <w:sectPr w:rsidR="000739AE" w:rsidRPr="00C64BA4" w:rsidSect="008142C8">
          <w:pgSz w:w="12240" w:h="15840" w:code="1"/>
          <w:pgMar w:top="1080" w:right="1440" w:bottom="1440" w:left="1440" w:header="720" w:footer="720" w:gutter="0"/>
          <w:pgNumType w:fmt="upperLetter" w:start="3"/>
          <w:cols w:space="720"/>
          <w:docGrid w:linePitch="360"/>
        </w:sectPr>
      </w:pPr>
      <w:r w:rsidRPr="00C64BA4">
        <w:t xml:space="preserve"> </w:t>
      </w:r>
    </w:p>
    <w:p w14:paraId="74C16839" w14:textId="2CE62620" w:rsidR="000739AE" w:rsidRPr="00C64BA4" w:rsidRDefault="4256CDFB" w:rsidP="00206C45">
      <w:pPr>
        <w:pStyle w:val="Heading1"/>
        <w:spacing w:line="300" w:lineRule="auto"/>
        <w:rPr>
          <w:lang w:val="en"/>
        </w:rPr>
      </w:pPr>
      <w:bookmarkStart w:id="315" w:name="_Toc1772493932"/>
      <w:bookmarkStart w:id="316" w:name="_Toc634902237"/>
      <w:bookmarkStart w:id="317" w:name="_Toc128138021"/>
      <w:r w:rsidRPr="00C64BA4">
        <w:rPr>
          <w:lang w:val="en"/>
        </w:rPr>
        <w:lastRenderedPageBreak/>
        <w:t>Appendix D – Qualitative Data</w:t>
      </w:r>
      <w:bookmarkEnd w:id="315"/>
      <w:bookmarkEnd w:id="316"/>
      <w:bookmarkEnd w:id="317"/>
    </w:p>
    <w:p w14:paraId="057243AF" w14:textId="77777777" w:rsidR="000739AE" w:rsidRPr="00C64BA4" w:rsidRDefault="000739AE" w:rsidP="00206C45">
      <w:pPr>
        <w:pStyle w:val="Body"/>
        <w:spacing w:line="300" w:lineRule="auto"/>
        <w:sectPr w:rsidR="000739AE" w:rsidRPr="00C64BA4" w:rsidSect="008142C8">
          <w:pgSz w:w="12240" w:h="15840" w:code="1"/>
          <w:pgMar w:top="1080" w:right="1440" w:bottom="1440" w:left="1440" w:header="720" w:footer="720" w:gutter="0"/>
          <w:pgNumType w:fmt="upperLetter" w:start="4"/>
          <w:cols w:space="720"/>
          <w:docGrid w:linePitch="360"/>
        </w:sectPr>
      </w:pPr>
      <w:r w:rsidRPr="00C64BA4">
        <w:t xml:space="preserve"> </w:t>
      </w:r>
    </w:p>
    <w:p w14:paraId="0B9B31D9" w14:textId="10FFDE88" w:rsidR="000739AE" w:rsidRPr="00C64BA4" w:rsidRDefault="4256CDFB" w:rsidP="00206C45">
      <w:pPr>
        <w:pStyle w:val="Heading1"/>
        <w:spacing w:line="300" w:lineRule="auto"/>
        <w:rPr>
          <w:lang w:val="en"/>
        </w:rPr>
      </w:pPr>
      <w:bookmarkStart w:id="318" w:name="_Toc448242851"/>
      <w:bookmarkStart w:id="319" w:name="_Toc1009689487"/>
      <w:bookmarkStart w:id="320" w:name="_Toc128138022"/>
      <w:r w:rsidRPr="00C64BA4">
        <w:rPr>
          <w:lang w:val="en"/>
        </w:rPr>
        <w:lastRenderedPageBreak/>
        <w:t xml:space="preserve">Appendix E – </w:t>
      </w:r>
      <w:r w:rsidR="422BCA56" w:rsidRPr="00C64BA4">
        <w:rPr>
          <w:lang w:val="en"/>
        </w:rPr>
        <w:t>Regional Housing Entities and Services</w:t>
      </w:r>
      <w:bookmarkEnd w:id="318"/>
      <w:bookmarkEnd w:id="319"/>
      <w:bookmarkEnd w:id="320"/>
    </w:p>
    <w:p w14:paraId="747D5082" w14:textId="299F7DD4" w:rsidR="000739AE" w:rsidRPr="00C64BA4" w:rsidRDefault="000739AE" w:rsidP="00206C45">
      <w:pPr>
        <w:pStyle w:val="Body"/>
        <w:spacing w:line="300" w:lineRule="auto"/>
      </w:pPr>
    </w:p>
    <w:sectPr w:rsidR="000739AE" w:rsidRPr="00C64BA4" w:rsidSect="008142C8">
      <w:pgSz w:w="12240" w:h="15840" w:code="1"/>
      <w:pgMar w:top="1080" w:right="1440" w:bottom="1440" w:left="1440" w:header="720" w:footer="720" w:gutter="0"/>
      <w:pgNumType w:fmt="upperLetter" w:start="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5EFBF" w14:textId="77777777" w:rsidR="00AE42E4" w:rsidRDefault="00AE42E4">
      <w:pPr>
        <w:spacing w:after="0" w:line="240" w:lineRule="auto"/>
      </w:pPr>
      <w:r>
        <w:separator/>
      </w:r>
    </w:p>
    <w:p w14:paraId="0D2B414A" w14:textId="77777777" w:rsidR="00AE42E4" w:rsidRDefault="00AE42E4"/>
    <w:p w14:paraId="4F7471A0" w14:textId="77777777" w:rsidR="00AE42E4" w:rsidRDefault="00AE42E4" w:rsidP="00DF00EA"/>
  </w:endnote>
  <w:endnote w:type="continuationSeparator" w:id="0">
    <w:p w14:paraId="15DB4B22" w14:textId="77777777" w:rsidR="00AE42E4" w:rsidRDefault="00AE42E4">
      <w:pPr>
        <w:spacing w:after="0" w:line="240" w:lineRule="auto"/>
      </w:pPr>
      <w:r>
        <w:continuationSeparator/>
      </w:r>
    </w:p>
    <w:p w14:paraId="18DE0C2E" w14:textId="77777777" w:rsidR="00AE42E4" w:rsidRDefault="00AE42E4"/>
    <w:p w14:paraId="1985F65D" w14:textId="77777777" w:rsidR="00AE42E4" w:rsidRDefault="00AE42E4" w:rsidP="00DF00EA"/>
  </w:endnote>
  <w:endnote w:type="continuationNotice" w:id="1">
    <w:p w14:paraId="6312B564" w14:textId="77777777" w:rsidR="00AE42E4" w:rsidRDefault="00AE42E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HGPGothicE">
    <w:charset w:val="80"/>
    <w:family w:val="swiss"/>
    <w:pitch w:val="variable"/>
    <w:sig w:usb0="E00002FF" w:usb1="2AC7EDFE" w:usb2="00000012" w:usb3="00000000" w:csb0="0002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Open Sans">
    <w:altName w:val="Open Sans"/>
    <w:charset w:val="00"/>
    <w:family w:val="swiss"/>
    <w:pitch w:val="variable"/>
    <w:sig w:usb0="E00002EF" w:usb1="4000205B" w:usb2="00000028" w:usb3="00000000" w:csb0="0000019F" w:csb1="00000000"/>
  </w:font>
  <w:font w:name="Lato">
    <w:charset w:val="00"/>
    <w:family w:val="swiss"/>
    <w:pitch w:val="variable"/>
    <w:sig w:usb0="E10002FF" w:usb1="5000ECFF" w:usb2="00000021" w:usb3="00000000" w:csb0="0000019F" w:csb1="00000000"/>
  </w:font>
  <w:font w:name="Times">
    <w:panose1 w:val="02020603050405020304"/>
    <w:charset w:val="00"/>
    <w:family w:val="roman"/>
    <w:pitch w:val="variable"/>
    <w:sig w:usb0="E0002EFF" w:usb1="C000785B" w:usb2="00000009" w:usb3="00000000" w:csb0="000001FF" w:csb1="00000000"/>
  </w:font>
  <w:font w:name="IBM Plex Serif">
    <w:charset w:val="00"/>
    <w:family w:val="roman"/>
    <w:pitch w:val="variable"/>
    <w:sig w:usb0="A000026F" w:usb1="5000203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97120" w14:textId="77777777" w:rsidR="007E1FD5" w:rsidRDefault="007E1FD5">
    <w:pPr>
      <w:pStyle w:val="Footer"/>
    </w:pPr>
  </w:p>
  <w:p w14:paraId="09E58523" w14:textId="77777777" w:rsidR="007E1FD5" w:rsidRDefault="007E1FD5">
    <w:pPr>
      <w:pStyle w:val="FooterEven"/>
    </w:pPr>
    <w:r>
      <w:t xml:space="preserve">Page </w:t>
    </w:r>
    <w:r>
      <w:fldChar w:fldCharType="begin"/>
    </w:r>
    <w:r>
      <w:instrText xml:space="preserve"> PAGE   \* MERGEFORMAT </w:instrText>
    </w:r>
    <w:r>
      <w:fldChar w:fldCharType="separate"/>
    </w:r>
    <w:r>
      <w:rPr>
        <w:noProof/>
        <w:sz w:val="24"/>
        <w:szCs w:val="24"/>
      </w:rPr>
      <w:t>2</w:t>
    </w:r>
    <w:r>
      <w:rPr>
        <w:noProof/>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04776" w14:textId="77777777" w:rsidR="007E1FD5" w:rsidRPr="00D11BE2" w:rsidRDefault="007E1FD5" w:rsidP="00D11BE2">
    <w:pPr>
      <w:pStyle w:val="Footer"/>
      <w:pBdr>
        <w:top w:val="thinThickSmallGap" w:sz="24" w:space="1" w:color="003BB3" w:themeColor="accent2" w:themeShade="7F"/>
      </w:pBdr>
      <w:rPr>
        <w:b/>
        <w:color w:val="003192" w:themeColor="text2"/>
        <w:sz w:val="20"/>
      </w:rPr>
    </w:pPr>
    <w:r w:rsidRPr="00D11BE2">
      <w:rPr>
        <w:b/>
        <w:color w:val="003192" w:themeColor="text2"/>
        <w:sz w:val="20"/>
      </w:rPr>
      <w:t>Granite State Future: Moving Southern New Hampshire Forward</w:t>
    </w:r>
    <w:r w:rsidRPr="00D11BE2">
      <w:rPr>
        <w:b/>
        <w:color w:val="003192" w:themeColor="text2"/>
        <w:sz w:val="20"/>
      </w:rPr>
      <w:ptab w:relativeTo="margin" w:alignment="right" w:leader="none"/>
    </w:r>
    <w:r w:rsidRPr="00D11BE2">
      <w:rPr>
        <w:b/>
        <w:color w:val="003192" w:themeColor="text2"/>
        <w:sz w:val="20"/>
      </w:rPr>
      <w:t xml:space="preserve">Page </w:t>
    </w:r>
    <w:r w:rsidRPr="00D11BE2">
      <w:rPr>
        <w:rFonts w:eastAsiaTheme="minorEastAsia" w:cstheme="minorBidi"/>
        <w:b/>
        <w:color w:val="003192" w:themeColor="text2"/>
        <w:sz w:val="20"/>
      </w:rPr>
      <w:fldChar w:fldCharType="begin"/>
    </w:r>
    <w:r w:rsidRPr="00D11BE2">
      <w:rPr>
        <w:b/>
        <w:color w:val="003192" w:themeColor="text2"/>
        <w:sz w:val="20"/>
      </w:rPr>
      <w:instrText xml:space="preserve"> PAGE   \* MERGEFORMAT </w:instrText>
    </w:r>
    <w:r w:rsidRPr="00D11BE2">
      <w:rPr>
        <w:rFonts w:eastAsiaTheme="minorEastAsia" w:cstheme="minorBidi"/>
        <w:b/>
        <w:color w:val="003192" w:themeColor="text2"/>
        <w:sz w:val="20"/>
      </w:rPr>
      <w:fldChar w:fldCharType="separate"/>
    </w:r>
    <w:r w:rsidRPr="00431298">
      <w:rPr>
        <w:b/>
        <w:noProof/>
        <w:color w:val="003192" w:themeColor="text2"/>
        <w:sz w:val="20"/>
      </w:rPr>
      <w:t>ii</w:t>
    </w:r>
    <w:r w:rsidRPr="00D11BE2">
      <w:rPr>
        <w:b/>
        <w:noProof/>
        <w:color w:val="003192" w:themeColor="text2"/>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BE89C" w14:textId="444080F3" w:rsidR="007E1FD5" w:rsidRDefault="00AC0714" w:rsidP="00086306">
    <w:pPr>
      <w:pStyle w:val="Footer"/>
      <w:jc w:val="center"/>
    </w:pPr>
    <w:r>
      <w:t>SNHPC RHNA</w:t>
    </w:r>
    <w:r w:rsidR="00BD2478">
      <w:t xml:space="preserve"> - DRAFT </w:t>
    </w:r>
    <w:r>
      <w:t>R</w:t>
    </w:r>
    <w:r w:rsidR="00BD2478">
      <w:t>EPORT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B086B" w14:textId="43F4589A" w:rsidR="007E1FD5" w:rsidRPr="00D11BE2" w:rsidRDefault="0032798C" w:rsidP="00D11BE2">
    <w:pPr>
      <w:pStyle w:val="Footer"/>
      <w:pBdr>
        <w:top w:val="thinThickSmallGap" w:sz="24" w:space="1" w:color="003BB3" w:themeColor="accent2" w:themeShade="7F"/>
      </w:pBdr>
      <w:rPr>
        <w:b/>
        <w:color w:val="003192" w:themeColor="text2"/>
        <w:sz w:val="20"/>
      </w:rPr>
    </w:pPr>
    <w:r w:rsidRPr="0032798C">
      <w:rPr>
        <w:b/>
        <w:color w:val="003192" w:themeColor="text2"/>
        <w:sz w:val="20"/>
      </w:rPr>
      <w:t>2022</w:t>
    </w:r>
    <w:r>
      <w:rPr>
        <w:b/>
        <w:color w:val="003192" w:themeColor="text2"/>
        <w:sz w:val="20"/>
      </w:rPr>
      <w:t xml:space="preserve"> Regional</w:t>
    </w:r>
    <w:r w:rsidRPr="0032798C">
      <w:rPr>
        <w:b/>
        <w:color w:val="003192" w:themeColor="text2"/>
        <w:sz w:val="20"/>
      </w:rPr>
      <w:t xml:space="preserve"> Housing Needs Assessment </w:t>
    </w:r>
    <w:r w:rsidR="007E1FD5" w:rsidRPr="00D11BE2">
      <w:rPr>
        <w:b/>
        <w:color w:val="003192" w:themeColor="text2"/>
        <w:sz w:val="20"/>
      </w:rPr>
      <w:ptab w:relativeTo="margin" w:alignment="right" w:leader="none"/>
    </w:r>
    <w:r w:rsidR="007E1FD5" w:rsidRPr="00D11BE2">
      <w:rPr>
        <w:b/>
        <w:color w:val="003192" w:themeColor="text2"/>
        <w:sz w:val="20"/>
      </w:rPr>
      <w:t xml:space="preserve">Page </w:t>
    </w:r>
    <w:r w:rsidR="007E1FD5" w:rsidRPr="00D11BE2">
      <w:rPr>
        <w:rFonts w:eastAsiaTheme="minorEastAsia" w:cstheme="minorBidi"/>
        <w:b/>
        <w:color w:val="003192" w:themeColor="text2"/>
        <w:sz w:val="20"/>
      </w:rPr>
      <w:fldChar w:fldCharType="begin"/>
    </w:r>
    <w:r w:rsidR="007E1FD5" w:rsidRPr="00D11BE2">
      <w:rPr>
        <w:b/>
        <w:color w:val="003192" w:themeColor="text2"/>
        <w:sz w:val="20"/>
      </w:rPr>
      <w:instrText xml:space="preserve"> PAGE   \* MERGEFORMAT </w:instrText>
    </w:r>
    <w:r w:rsidR="007E1FD5" w:rsidRPr="00D11BE2">
      <w:rPr>
        <w:rFonts w:eastAsiaTheme="minorEastAsia" w:cstheme="minorBidi"/>
        <w:b/>
        <w:color w:val="003192" w:themeColor="text2"/>
        <w:sz w:val="20"/>
      </w:rPr>
      <w:fldChar w:fldCharType="separate"/>
    </w:r>
    <w:r w:rsidR="007E1FD5">
      <w:rPr>
        <w:b/>
        <w:noProof/>
        <w:color w:val="003192" w:themeColor="text2"/>
        <w:sz w:val="20"/>
      </w:rPr>
      <w:t>ii</w:t>
    </w:r>
    <w:r w:rsidR="007E1FD5" w:rsidRPr="00D11BE2">
      <w:rPr>
        <w:b/>
        <w:noProof/>
        <w:color w:val="003192" w:themeColor="text2"/>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1510198"/>
      <w:docPartObj>
        <w:docPartGallery w:val="Page Numbers (Bottom of Page)"/>
        <w:docPartUnique/>
      </w:docPartObj>
    </w:sdtPr>
    <w:sdtEndPr>
      <w:rPr>
        <w:noProof/>
      </w:rPr>
    </w:sdtEndPr>
    <w:sdtContent>
      <w:p w14:paraId="551111F4" w14:textId="77777777" w:rsidR="0079283C" w:rsidRPr="002027BF" w:rsidRDefault="0079283C" w:rsidP="002027BF">
        <w:pPr>
          <w:pStyle w:val="Footer"/>
          <w:pBdr>
            <w:top w:val="thinThickSmallGap" w:sz="24" w:space="1" w:color="003BB3" w:themeColor="accent2" w:themeShade="7F"/>
          </w:pBdr>
          <w:rPr>
            <w:b/>
            <w:color w:val="003192" w:themeColor="text2"/>
            <w:sz w:val="20"/>
          </w:rPr>
        </w:pPr>
        <w:r w:rsidRPr="0032798C">
          <w:rPr>
            <w:b/>
            <w:color w:val="003192" w:themeColor="text2"/>
            <w:sz w:val="20"/>
          </w:rPr>
          <w:t>2022</w:t>
        </w:r>
        <w:r>
          <w:rPr>
            <w:b/>
            <w:color w:val="003192" w:themeColor="text2"/>
            <w:sz w:val="20"/>
          </w:rPr>
          <w:t xml:space="preserve"> Regional</w:t>
        </w:r>
        <w:r w:rsidRPr="0032798C">
          <w:rPr>
            <w:b/>
            <w:color w:val="003192" w:themeColor="text2"/>
            <w:sz w:val="20"/>
          </w:rPr>
          <w:t xml:space="preserve"> Housing Needs Assessment </w:t>
        </w:r>
        <w:r w:rsidRPr="00D11BE2">
          <w:rPr>
            <w:b/>
            <w:color w:val="003192" w:themeColor="text2"/>
            <w:sz w:val="20"/>
          </w:rPr>
          <w:ptab w:relativeTo="margin" w:alignment="right" w:leader="none"/>
        </w:r>
        <w:r w:rsidRPr="00D11BE2">
          <w:rPr>
            <w:b/>
            <w:color w:val="003192" w:themeColor="text2"/>
            <w:sz w:val="20"/>
          </w:rPr>
          <w:t xml:space="preserve">Page </w:t>
        </w:r>
        <w:r w:rsidRPr="00D11BE2">
          <w:rPr>
            <w:rFonts w:eastAsiaTheme="minorEastAsia" w:cstheme="minorBidi"/>
            <w:b/>
            <w:color w:val="003192" w:themeColor="text2"/>
            <w:sz w:val="20"/>
          </w:rPr>
          <w:fldChar w:fldCharType="begin"/>
        </w:r>
        <w:r w:rsidRPr="00D11BE2">
          <w:rPr>
            <w:b/>
            <w:color w:val="003192" w:themeColor="text2"/>
            <w:sz w:val="20"/>
          </w:rPr>
          <w:instrText xml:space="preserve"> PAGE   \* MERGEFORMAT </w:instrText>
        </w:r>
        <w:r w:rsidRPr="00D11BE2">
          <w:rPr>
            <w:rFonts w:eastAsiaTheme="minorEastAsia" w:cstheme="minorBidi"/>
            <w:b/>
            <w:color w:val="003192" w:themeColor="text2"/>
            <w:sz w:val="20"/>
          </w:rPr>
          <w:fldChar w:fldCharType="separate"/>
        </w:r>
        <w:r>
          <w:rPr>
            <w:b/>
            <w:color w:val="003192" w:themeColor="text2"/>
            <w:sz w:val="20"/>
          </w:rPr>
          <w:t>4</w:t>
        </w:r>
        <w:r w:rsidRPr="00D11BE2">
          <w:rPr>
            <w:b/>
            <w:noProof/>
            <w:color w:val="003192" w:themeColor="text2"/>
            <w:sz w:val="2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EC416" w14:textId="2556D9BD" w:rsidR="004B2C2D" w:rsidRPr="004B2C2D" w:rsidRDefault="004B2C2D" w:rsidP="004B2C2D">
    <w:pPr>
      <w:pStyle w:val="Footer"/>
      <w:pBdr>
        <w:top w:val="thinThickSmallGap" w:sz="24" w:space="1" w:color="003BB3" w:themeColor="accent2" w:themeShade="7F"/>
      </w:pBdr>
      <w:rPr>
        <w:b/>
        <w:color w:val="003192" w:themeColor="text2"/>
        <w:sz w:val="20"/>
      </w:rPr>
    </w:pPr>
    <w:r w:rsidRPr="0032798C">
      <w:rPr>
        <w:b/>
        <w:color w:val="003192" w:themeColor="text2"/>
        <w:sz w:val="20"/>
      </w:rPr>
      <w:t>Southern New Hampshire 2022</w:t>
    </w:r>
    <w:r>
      <w:rPr>
        <w:b/>
        <w:color w:val="003192" w:themeColor="text2"/>
        <w:sz w:val="20"/>
      </w:rPr>
      <w:t xml:space="preserve"> Regional</w:t>
    </w:r>
    <w:r w:rsidRPr="0032798C">
      <w:rPr>
        <w:b/>
        <w:color w:val="003192" w:themeColor="text2"/>
        <w:sz w:val="20"/>
      </w:rPr>
      <w:t xml:space="preserve"> Housing Needs Assessment </w:t>
    </w:r>
    <w:r w:rsidRPr="00D11BE2">
      <w:rPr>
        <w:b/>
        <w:color w:val="003192" w:themeColor="text2"/>
        <w:sz w:val="20"/>
      </w:rPr>
      <w:ptab w:relativeTo="margin" w:alignment="right" w:leader="none"/>
    </w:r>
    <w:r w:rsidRPr="00D11BE2">
      <w:rPr>
        <w:b/>
        <w:color w:val="003192" w:themeColor="text2"/>
        <w:sz w:val="20"/>
      </w:rPr>
      <w:t xml:space="preserve">Page </w:t>
    </w:r>
    <w:r w:rsidRPr="00D11BE2">
      <w:rPr>
        <w:rFonts w:eastAsiaTheme="minorEastAsia" w:cstheme="minorBidi"/>
        <w:b/>
        <w:color w:val="003192" w:themeColor="text2"/>
        <w:sz w:val="20"/>
      </w:rPr>
      <w:fldChar w:fldCharType="begin"/>
    </w:r>
    <w:r w:rsidRPr="00D11BE2">
      <w:rPr>
        <w:b/>
        <w:color w:val="003192" w:themeColor="text2"/>
        <w:sz w:val="20"/>
      </w:rPr>
      <w:instrText xml:space="preserve"> PAGE   \* MERGEFORMAT </w:instrText>
    </w:r>
    <w:r w:rsidRPr="00D11BE2">
      <w:rPr>
        <w:rFonts w:eastAsiaTheme="minorEastAsia" w:cstheme="minorBidi"/>
        <w:b/>
        <w:color w:val="003192" w:themeColor="text2"/>
        <w:sz w:val="20"/>
      </w:rPr>
      <w:fldChar w:fldCharType="separate"/>
    </w:r>
    <w:proofErr w:type="spellStart"/>
    <w:r>
      <w:rPr>
        <w:rFonts w:eastAsiaTheme="minorEastAsia" w:cstheme="minorBidi"/>
        <w:b/>
        <w:color w:val="003192" w:themeColor="text2"/>
        <w:sz w:val="20"/>
      </w:rPr>
      <w:t>i</w:t>
    </w:r>
    <w:proofErr w:type="spellEnd"/>
    <w:r w:rsidRPr="00D11BE2">
      <w:rPr>
        <w:b/>
        <w:noProof/>
        <w:color w:val="003192" w:themeColor="text2"/>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F1AA61" w14:textId="77777777" w:rsidR="00AE42E4" w:rsidRDefault="00AE42E4">
      <w:pPr>
        <w:spacing w:after="0" w:line="240" w:lineRule="auto"/>
      </w:pPr>
      <w:r>
        <w:separator/>
      </w:r>
    </w:p>
    <w:p w14:paraId="362222E8" w14:textId="77777777" w:rsidR="00AE42E4" w:rsidRDefault="00AE42E4"/>
    <w:p w14:paraId="56A1E5B0" w14:textId="77777777" w:rsidR="00AE42E4" w:rsidRDefault="00AE42E4" w:rsidP="00DF00EA"/>
  </w:footnote>
  <w:footnote w:type="continuationSeparator" w:id="0">
    <w:p w14:paraId="31A67F1D" w14:textId="77777777" w:rsidR="00AE42E4" w:rsidRDefault="00AE42E4"/>
    <w:p w14:paraId="5B673A53" w14:textId="77777777" w:rsidR="00AE42E4" w:rsidRDefault="00AE42E4" w:rsidP="00DF00EA"/>
    <w:p w14:paraId="2235643C" w14:textId="77777777" w:rsidR="00AE42E4" w:rsidRDefault="00AE42E4"/>
    <w:p w14:paraId="755322B7" w14:textId="77777777" w:rsidR="00AE42E4" w:rsidRDefault="00AE42E4">
      <w:pPr>
        <w:spacing w:after="0" w:line="240" w:lineRule="auto"/>
      </w:pPr>
    </w:p>
    <w:p w14:paraId="1167CD48" w14:textId="77777777" w:rsidR="00AE42E4" w:rsidRDefault="00AE42E4"/>
    <w:p w14:paraId="563AEDF0" w14:textId="77777777" w:rsidR="00AE42E4" w:rsidRDefault="00AE42E4">
      <w:pPr>
        <w:spacing w:after="0" w:line="240" w:lineRule="auto"/>
      </w:pPr>
      <w:r>
        <w:separator/>
      </w:r>
    </w:p>
    <w:p w14:paraId="2DC70587" w14:textId="77777777" w:rsidR="00AE42E4" w:rsidRDefault="00AE42E4"/>
    <w:p w14:paraId="472BD0C1" w14:textId="77777777" w:rsidR="00AE42E4" w:rsidRDefault="00AE42E4" w:rsidP="00DF00EA"/>
    <w:p w14:paraId="76F4453E" w14:textId="77777777" w:rsidR="00AE42E4" w:rsidRDefault="00AE42E4"/>
    <w:p w14:paraId="14114028" w14:textId="77777777" w:rsidR="00AE42E4" w:rsidRDefault="00AE42E4">
      <w:pPr>
        <w:spacing w:after="0" w:line="240" w:lineRule="auto"/>
      </w:pPr>
      <w:r>
        <w:continuationSeparator/>
      </w:r>
    </w:p>
    <w:p w14:paraId="74D6EFE8" w14:textId="77777777" w:rsidR="00AE42E4" w:rsidRDefault="00AE42E4"/>
    <w:p w14:paraId="74BE8C04" w14:textId="77777777" w:rsidR="00AE42E4" w:rsidRDefault="00AE42E4" w:rsidP="00DF00EA"/>
    <w:p w14:paraId="4D0E75A8" w14:textId="77777777" w:rsidR="00AE42E4" w:rsidRDefault="00AE42E4"/>
    <w:p w14:paraId="3EC47FC7" w14:textId="77777777" w:rsidR="00AE42E4" w:rsidRDefault="00AE42E4">
      <w:pPr>
        <w:spacing w:after="0" w:line="240" w:lineRule="auto"/>
      </w:pPr>
    </w:p>
    <w:p w14:paraId="1366D5A7" w14:textId="77777777" w:rsidR="00AE42E4" w:rsidRDefault="00AE42E4"/>
    <w:p w14:paraId="6B1F31C5" w14:textId="39C1642D" w:rsidR="00AE42E4" w:rsidRDefault="0062538A">
      <w:pPr>
        <w:pStyle w:val="HeaderEven"/>
      </w:pPr>
      <w:sdt>
        <w:sdtPr>
          <w:alias w:val="Title"/>
          <w:id w:val="1748845621"/>
          <w:dataBinding w:prefixMappings="xmlns:ns0='http://schemas.openxmlformats.org/package/2006/metadata/core-properties' xmlns:ns1='http://purl.org/dc/elements/1.1/'" w:xpath="/ns0:coreProperties[1]/ns1:title[1]" w:storeItemID="{6C3C8BC8-F283-45AE-878A-BAB7291924A1}"/>
          <w:text/>
        </w:sdtPr>
        <w:sdtEndPr/>
        <w:sdtContent>
          <w:r w:rsidR="00AE42E4">
            <w:t>Southern            New Hampshire Regional Housing Needs Assessment</w:t>
          </w:r>
        </w:sdtContent>
      </w:sdt>
    </w:p>
    <w:p w14:paraId="26C5450F" w14:textId="77777777" w:rsidR="00AE42E4" w:rsidRDefault="00AE42E4">
      <w:pPr>
        <w:pStyle w:val="Header"/>
      </w:pPr>
    </w:p>
  </w:footnote>
  <w:footnote w:type="continuationNotice" w:id="1">
    <w:p w14:paraId="3A83488F" w14:textId="77777777" w:rsidR="00AE42E4" w:rsidRDefault="00AE42E4">
      <w:pPr>
        <w:spacing w:after="0" w:line="240" w:lineRule="auto"/>
      </w:pPr>
    </w:p>
  </w:footnote>
  <w:footnote w:id="2">
    <w:p w14:paraId="07595A7A" w14:textId="3911CDD9" w:rsidR="007D63C9" w:rsidRDefault="007D63C9">
      <w:pPr>
        <w:pStyle w:val="FootnoteText"/>
      </w:pPr>
      <w:r>
        <w:rPr>
          <w:rStyle w:val="FootnoteReference"/>
        </w:rPr>
        <w:footnoteRef/>
      </w:r>
      <w:r>
        <w:t xml:space="preserve"> </w:t>
      </w:r>
      <w:r w:rsidR="00B0153B">
        <w:t>This report makes extensive use of US Census Bureau data. The main sources for these are the decennial census and the American Community Survey. These two sources use very different methodologies and may at times disagree with each other. At the time of the release of this report, most 2020 decennial results had not yet been released. The American Community Survey is released annually in 1-Year and 5-Year editions. As it is a survey and therefore extrapolates a sample to the larger population, margins of error can be significant. Particular caution and skepticism is required when examining the figures for smaller municipalities and populations.</w:t>
      </w:r>
    </w:p>
  </w:footnote>
  <w:footnote w:id="3">
    <w:p w14:paraId="70A02C5B" w14:textId="4AC57DED" w:rsidR="00383ECA" w:rsidRDefault="00383ECA" w:rsidP="00C55BB4">
      <w:pPr>
        <w:pStyle w:val="FootnoteText"/>
      </w:pPr>
      <w:r>
        <w:rPr>
          <w:rStyle w:val="FootnoteReference"/>
        </w:rPr>
        <w:footnoteRef/>
      </w:r>
      <w:r>
        <w:t xml:space="preserve"> </w:t>
      </w:r>
      <w:r w:rsidR="00C55BB4">
        <w:t>Executive Order 2020-22- An Order Establishing the Council on Housing Stability</w:t>
      </w:r>
      <w:r w:rsidR="003D5CFB">
        <w:t xml:space="preserve"> </w:t>
      </w:r>
      <w:hyperlink r:id="rId1" w:history="1">
        <w:r w:rsidRPr="005C7937">
          <w:rPr>
            <w:rStyle w:val="Hyperlink"/>
          </w:rPr>
          <w:t>https://sos.nh.gov/media/qvje3deb/sununu-2020-22.pdf</w:t>
        </w:r>
      </w:hyperlink>
    </w:p>
  </w:footnote>
  <w:footnote w:id="4">
    <w:p w14:paraId="78F89A09" w14:textId="19267AA3" w:rsidR="00383ECA" w:rsidRDefault="00383ECA">
      <w:pPr>
        <w:pStyle w:val="FootnoteText"/>
      </w:pPr>
      <w:r>
        <w:rPr>
          <w:rStyle w:val="FootnoteReference"/>
        </w:rPr>
        <w:footnoteRef/>
      </w:r>
      <w:r>
        <w:t xml:space="preserve"> </w:t>
      </w:r>
      <w:r w:rsidR="003D5CFB">
        <w:t xml:space="preserve">Council on Housing Stability Strategic Plan 2021-2024 </w:t>
      </w:r>
      <w:hyperlink r:id="rId2" w:history="1">
        <w:r w:rsidRPr="005C7937">
          <w:rPr>
            <w:rStyle w:val="Hyperlink"/>
          </w:rPr>
          <w:t>https://nhchs.org/wp-content/uploads/2021/07/Council-on-Housing-Stability-2021%E2%80%942024-Strategic-Plan.pdf</w:t>
        </w:r>
      </w:hyperlink>
    </w:p>
  </w:footnote>
  <w:footnote w:id="5">
    <w:p w14:paraId="10B7B05F" w14:textId="792BD07B" w:rsidR="006D167E" w:rsidRDefault="006D167E">
      <w:pPr>
        <w:pStyle w:val="FootnoteText"/>
      </w:pPr>
      <w:r>
        <w:rPr>
          <w:rStyle w:val="FootnoteReference"/>
        </w:rPr>
        <w:footnoteRef/>
      </w:r>
      <w:r>
        <w:t xml:space="preserve"> </w:t>
      </w:r>
      <w:r w:rsidR="003D5CFB" w:rsidRPr="003D5CFB">
        <w:t xml:space="preserve">A Wealthless Recovery? Asset Ownership and the Uneven Recovery from the Great Recession </w:t>
      </w:r>
      <w:hyperlink r:id="rId3" w:history="1">
        <w:r w:rsidRPr="005C7937">
          <w:rPr>
            <w:rStyle w:val="Hyperlink"/>
          </w:rPr>
          <w:t>https://www.federalreserve.gov/econres/notes/feds-notes/asset-ownership-and-the-uneven-recovery-from-the-great-recession-20180913.htm</w:t>
        </w:r>
      </w:hyperlink>
    </w:p>
  </w:footnote>
  <w:footnote w:id="6">
    <w:p w14:paraId="59B3B55B" w14:textId="2CBCD33D" w:rsidR="006D167E" w:rsidRDefault="006D167E">
      <w:pPr>
        <w:pStyle w:val="FootnoteText"/>
      </w:pPr>
      <w:r>
        <w:rPr>
          <w:rStyle w:val="FootnoteReference"/>
        </w:rPr>
        <w:footnoteRef/>
      </w:r>
      <w:r>
        <w:t xml:space="preserve"> </w:t>
      </w:r>
      <w:r w:rsidR="003D5CFB">
        <w:t xml:space="preserve">U.S. Department of Housing and Urban Development Annual Homeless Assessment Report </w:t>
      </w:r>
      <w:hyperlink r:id="rId4" w:history="1">
        <w:r w:rsidRPr="005C7937">
          <w:rPr>
            <w:rStyle w:val="Hyperlink"/>
          </w:rPr>
          <w:t>https://www.huduser.gov/portal/datasets/ahar.html</w:t>
        </w:r>
      </w:hyperlink>
    </w:p>
  </w:footnote>
  <w:footnote w:id="7">
    <w:p w14:paraId="1CF974AB" w14:textId="762C3FCB" w:rsidR="006D167E" w:rsidRDefault="006D167E">
      <w:pPr>
        <w:pStyle w:val="FootnoteText"/>
      </w:pPr>
      <w:r>
        <w:rPr>
          <w:rStyle w:val="FootnoteReference"/>
        </w:rPr>
        <w:footnoteRef/>
      </w:r>
      <w:r>
        <w:t xml:space="preserve"> </w:t>
      </w:r>
      <w:r w:rsidR="003D5CFB" w:rsidRPr="003D5CFB">
        <w:t xml:space="preserve">A Wealthless Recovery? Asset Ownership and the Uneven Recovery from the Great Recession </w:t>
      </w:r>
      <w:hyperlink r:id="rId5" w:history="1">
        <w:r w:rsidRPr="005C7937">
          <w:rPr>
            <w:rStyle w:val="Hyperlink"/>
          </w:rPr>
          <w:t>https://www.federalreserve.gov/econres/notes/feds-notes/asset-ownership-and-the-uneven-recovery-from-the-great-recession-20180913.htm</w:t>
        </w:r>
      </w:hyperlink>
    </w:p>
  </w:footnote>
  <w:footnote w:id="8">
    <w:p w14:paraId="3ADB2B5A" w14:textId="00B5D44F" w:rsidR="006D167E" w:rsidRDefault="006D167E">
      <w:pPr>
        <w:pStyle w:val="FootnoteText"/>
      </w:pPr>
      <w:r>
        <w:rPr>
          <w:rStyle w:val="FootnoteReference"/>
        </w:rPr>
        <w:footnoteRef/>
      </w:r>
      <w:r>
        <w:t xml:space="preserve"> </w:t>
      </w:r>
      <w:r w:rsidR="003D5CFB" w:rsidRPr="003D5CFB">
        <w:t>Most Americans Say There Is Too Much Economic Inequality In The U.S., But Fewer Than Half Call It A Top Priority</w:t>
      </w:r>
      <w:r w:rsidR="003D5CFB">
        <w:t xml:space="preserve"> </w:t>
      </w:r>
      <w:hyperlink r:id="rId6" w:history="1">
        <w:r w:rsidRPr="005C7937">
          <w:rPr>
            <w:rStyle w:val="Hyperlink"/>
          </w:rPr>
          <w:t>https://www.pewresearch.org/social-trends/2020/01/09/trends-in-income-and-wealth-inequality/</w:t>
        </w:r>
      </w:hyperlink>
    </w:p>
  </w:footnote>
  <w:footnote w:id="9">
    <w:p w14:paraId="35B263E2" w14:textId="62902EC9" w:rsidR="006D167E" w:rsidRDefault="006D167E">
      <w:pPr>
        <w:pStyle w:val="FootnoteText"/>
      </w:pPr>
      <w:r>
        <w:rPr>
          <w:rStyle w:val="FootnoteReference"/>
        </w:rPr>
        <w:footnoteRef/>
      </w:r>
      <w:r>
        <w:t xml:space="preserve"> </w:t>
      </w:r>
      <w:hyperlink r:id="rId7" w:history="1">
        <w:r w:rsidRPr="005C7937">
          <w:rPr>
            <w:rStyle w:val="Hyperlink"/>
          </w:rPr>
          <w:t>https://www.snhpc.org/</w:t>
        </w:r>
      </w:hyperlink>
    </w:p>
  </w:footnote>
  <w:footnote w:id="10">
    <w:p w14:paraId="02CD548B" w14:textId="30E4CE29" w:rsidR="004A2020" w:rsidRDefault="004A2020">
      <w:pPr>
        <w:pStyle w:val="FootnoteText"/>
      </w:pPr>
      <w:r>
        <w:rPr>
          <w:rStyle w:val="FootnoteReference"/>
        </w:rPr>
        <w:footnoteRef/>
      </w:r>
      <w:r>
        <w:t xml:space="preserve"> </w:t>
      </w:r>
      <w:r w:rsidR="006649B3">
        <w:t xml:space="preserve">ABLE NH 2021 Disability Housing Survey Report: A Severe Crisis is Upon Us </w:t>
      </w:r>
      <w:hyperlink r:id="rId8" w:history="1">
        <w:r w:rsidRPr="005C7937">
          <w:rPr>
            <w:rStyle w:val="Hyperlink"/>
          </w:rPr>
          <w:t>https://www.ablenh.org/wp-content/uploads/2022/03/Housing-Survey-Report-FINAL-2021.pdf</w:t>
        </w:r>
      </w:hyperlink>
    </w:p>
  </w:footnote>
  <w:footnote w:id="11">
    <w:p w14:paraId="274F866C" w14:textId="43D2343A" w:rsidR="004A2020" w:rsidRDefault="004A2020">
      <w:pPr>
        <w:pStyle w:val="FootnoteText"/>
      </w:pPr>
      <w:r>
        <w:rPr>
          <w:rStyle w:val="FootnoteReference"/>
        </w:rPr>
        <w:footnoteRef/>
      </w:r>
      <w:r w:rsidR="0080673C">
        <w:t xml:space="preserve"> </w:t>
      </w:r>
      <w:r w:rsidR="0080673C" w:rsidRPr="0080673C">
        <w:t>Where We Live, Where We Age: Trends in Home and Community Preferences</w:t>
      </w:r>
      <w:r>
        <w:t xml:space="preserve"> </w:t>
      </w:r>
      <w:hyperlink r:id="rId9" w:history="1">
        <w:r w:rsidRPr="005C7937">
          <w:rPr>
            <w:rStyle w:val="Hyperlink"/>
          </w:rPr>
          <w:t>https://www.aarp.org/research/topics/community/info-2021/2021-home-community-preferences.html</w:t>
        </w:r>
      </w:hyperlink>
    </w:p>
  </w:footnote>
  <w:footnote w:id="12">
    <w:p w14:paraId="26F40975" w14:textId="127B8E83" w:rsidR="004A2020" w:rsidRDefault="004A2020">
      <w:pPr>
        <w:pStyle w:val="FootnoteText"/>
      </w:pPr>
      <w:r>
        <w:rPr>
          <w:rStyle w:val="FootnoteReference"/>
        </w:rPr>
        <w:footnoteRef/>
      </w:r>
      <w:r>
        <w:t xml:space="preserve"> </w:t>
      </w:r>
      <w:r w:rsidR="00CB5FF1" w:rsidRPr="00CB5FF1">
        <w:rPr>
          <w:rFonts w:eastAsia="Tw Cen MT" w:cs="Tw Cen MT"/>
          <w:i/>
          <w:iCs/>
          <w:lang w:val="en"/>
        </w:rPr>
        <w:t>A Home for Everyone: A 10-Year Plan to End Homelessness in the City of Manchester</w:t>
      </w:r>
      <w:r w:rsidR="00CB5FF1" w:rsidRPr="004A2020">
        <w:t xml:space="preserve"> </w:t>
      </w:r>
      <w:hyperlink r:id="rId10" w:history="1">
        <w:r w:rsidRPr="005C7937">
          <w:rPr>
            <w:rStyle w:val="Hyperlink"/>
          </w:rPr>
          <w:t>https://www.nhceh.org/wp-content/uploads/2012/01/2008MANCPLAN.pdf</w:t>
        </w:r>
      </w:hyperlink>
    </w:p>
  </w:footnote>
  <w:footnote w:id="13">
    <w:p w14:paraId="2374CA18" w14:textId="10B7FD16" w:rsidR="004A2020" w:rsidRDefault="004A2020">
      <w:pPr>
        <w:pStyle w:val="FootnoteText"/>
      </w:pPr>
      <w:r>
        <w:rPr>
          <w:rStyle w:val="FootnoteReference"/>
        </w:rPr>
        <w:footnoteRef/>
      </w:r>
      <w:r w:rsidR="00CB5FF1">
        <w:t xml:space="preserve"> Incarceration Trends in New Hampshire</w:t>
      </w:r>
      <w:r>
        <w:t xml:space="preserve"> </w:t>
      </w:r>
      <w:hyperlink r:id="rId11" w:history="1">
        <w:r w:rsidRPr="005C7937">
          <w:rPr>
            <w:rStyle w:val="Hyperlink"/>
          </w:rPr>
          <w:t>https://www.vera.org/downloads/pdfdownloads/state-incarceration-trends-new-hampshire.pdf</w:t>
        </w:r>
      </w:hyperlink>
    </w:p>
  </w:footnote>
  <w:footnote w:id="14">
    <w:p w14:paraId="6406FBFB" w14:textId="5B052D2F" w:rsidR="004A2020" w:rsidRDefault="004A2020">
      <w:pPr>
        <w:pStyle w:val="FootnoteText"/>
      </w:pPr>
      <w:r>
        <w:rPr>
          <w:rStyle w:val="FootnoteReference"/>
        </w:rPr>
        <w:footnoteRef/>
      </w:r>
      <w:r>
        <w:t xml:space="preserve"> </w:t>
      </w:r>
      <w:r w:rsidR="00D5700B">
        <w:t xml:space="preserve">Religious Landscape Study </w:t>
      </w:r>
      <w:hyperlink r:id="rId12" w:history="1">
        <w:r w:rsidRPr="005C7937">
          <w:rPr>
            <w:rStyle w:val="Hyperlink"/>
          </w:rPr>
          <w:t>https://www.pewresearch.org/religion/religious-landscape-study/state/new-hampshire/</w:t>
        </w:r>
      </w:hyperlink>
    </w:p>
  </w:footnote>
  <w:footnote w:id="15">
    <w:p w14:paraId="08A844E2" w14:textId="606D8329" w:rsidR="004A2020" w:rsidRDefault="004A2020">
      <w:pPr>
        <w:pStyle w:val="FootnoteText"/>
      </w:pPr>
      <w:r>
        <w:rPr>
          <w:rStyle w:val="FootnoteReference"/>
        </w:rPr>
        <w:footnoteRef/>
      </w:r>
      <w:r>
        <w:t xml:space="preserve"> </w:t>
      </w:r>
      <w:r w:rsidR="00EB549E">
        <w:t xml:space="preserve">Adult LGBT Population in the United States </w:t>
      </w:r>
      <w:hyperlink r:id="rId13" w:history="1">
        <w:r w:rsidRPr="005C7937">
          <w:rPr>
            <w:rStyle w:val="Hyperlink"/>
          </w:rPr>
          <w:t>https://williamsinstitute.law.ucla.edu/wp-content/uploads/LGBT-Adult-US-Pop-Jul-2020.pdf</w:t>
        </w:r>
      </w:hyperlink>
    </w:p>
  </w:footnote>
  <w:footnote w:id="16">
    <w:p w14:paraId="12A7598B" w14:textId="067DC6C3" w:rsidR="004A2020" w:rsidRDefault="004A2020" w:rsidP="00EB549E">
      <w:pPr>
        <w:pStyle w:val="FootnoteText"/>
      </w:pPr>
      <w:r>
        <w:rPr>
          <w:rStyle w:val="FootnoteReference"/>
        </w:rPr>
        <w:footnoteRef/>
      </w:r>
      <w:r>
        <w:t xml:space="preserve"> </w:t>
      </w:r>
      <w:r w:rsidR="00EB549E">
        <w:t xml:space="preserve">How Many Adults and Youth Identify </w:t>
      </w:r>
      <w:r w:rsidR="00EB549E">
        <w:t>As Transgender In The United States?</w:t>
      </w:r>
      <w:r w:rsidR="00EB549E" w:rsidRPr="004A2020">
        <w:t xml:space="preserve"> </w:t>
      </w:r>
      <w:hyperlink r:id="rId14" w:history="1">
        <w:r w:rsidRPr="005C7937">
          <w:rPr>
            <w:rStyle w:val="Hyperlink"/>
          </w:rPr>
          <w:t>https://williamsinstitute.law.ucla.edu/wp-content/uploads/Trans-Pop-Update-Jun-2022.pdf</w:t>
        </w:r>
      </w:hyperlink>
    </w:p>
  </w:footnote>
  <w:footnote w:id="17">
    <w:p w14:paraId="16203991" w14:textId="1DD01F62" w:rsidR="004A2020" w:rsidRDefault="004A2020">
      <w:pPr>
        <w:pStyle w:val="FootnoteText"/>
      </w:pPr>
      <w:r>
        <w:rPr>
          <w:rStyle w:val="FootnoteReference"/>
        </w:rPr>
        <w:footnoteRef/>
      </w:r>
      <w:r>
        <w:t xml:space="preserve"> </w:t>
      </w:r>
      <w:r w:rsidR="00EB549E">
        <w:t>LGBTQ</w:t>
      </w:r>
      <w:r w:rsidR="00EB549E" w:rsidRPr="00EB549E">
        <w:t xml:space="preserve"> Equity and Housing Fact Sheet</w:t>
      </w:r>
      <w:r w:rsidR="00EB549E">
        <w:t xml:space="preserve"> </w:t>
      </w:r>
      <w:hyperlink r:id="rId15" w:history="1">
        <w:r w:rsidRPr="005C7937">
          <w:rPr>
            <w:rStyle w:val="Hyperlink"/>
          </w:rPr>
          <w:t>https://www.opportunityhome.org/resources/lgbtq-rights-and-housing-fact-sheet/</w:t>
        </w:r>
      </w:hyperlink>
    </w:p>
  </w:footnote>
  <w:footnote w:id="18">
    <w:p w14:paraId="10C38913" w14:textId="5F46F90E" w:rsidR="00CA5118" w:rsidRDefault="00CA5118">
      <w:pPr>
        <w:pStyle w:val="FootnoteText"/>
      </w:pPr>
      <w:r>
        <w:rPr>
          <w:rStyle w:val="FootnoteReference"/>
        </w:rPr>
        <w:footnoteRef/>
      </w:r>
      <w:r>
        <w:t xml:space="preserve"> </w:t>
      </w:r>
      <w:r w:rsidR="00EB549E" w:rsidRPr="00EB549E">
        <w:t xml:space="preserve">Title 42 - The Public Health and Welfare </w:t>
      </w:r>
      <w:hyperlink r:id="rId16" w:history="1">
        <w:r w:rsidRPr="005C7937">
          <w:rPr>
            <w:rStyle w:val="Hyperlink"/>
          </w:rPr>
          <w:t>https://www.govinfo.gov/content/pkg/USCODE-2016-title42/html/USCODE-2016-title42-chap45-subchapI.htm</w:t>
        </w:r>
      </w:hyperlink>
    </w:p>
  </w:footnote>
  <w:footnote w:id="19">
    <w:p w14:paraId="3DB8B91F" w14:textId="75AD6D0D" w:rsidR="007001F6" w:rsidRDefault="007001F6" w:rsidP="00EB549E">
      <w:pPr>
        <w:pStyle w:val="FootnoteText"/>
      </w:pPr>
      <w:r>
        <w:rPr>
          <w:rStyle w:val="FootnoteReference"/>
        </w:rPr>
        <w:footnoteRef/>
      </w:r>
      <w:r>
        <w:t xml:space="preserve"> </w:t>
      </w:r>
      <w:r w:rsidR="00EB549E">
        <w:t xml:space="preserve">Southern New Hampshire Planning Commission Equity Analysis Report </w:t>
      </w:r>
      <w:hyperlink r:id="rId17" w:history="1">
        <w:r w:rsidRPr="005C7937">
          <w:rPr>
            <w:rStyle w:val="Hyperlink"/>
          </w:rPr>
          <w:t>https://www.snhpc.org/about-snhpc/files/snhpc-regional-transportation-equity-analysis-aug-2022</w:t>
        </w:r>
      </w:hyperlink>
    </w:p>
  </w:footnote>
  <w:footnote w:id="20">
    <w:p w14:paraId="335D4554" w14:textId="3D0EAE7C" w:rsidR="005C7937" w:rsidRDefault="005C7937">
      <w:pPr>
        <w:pStyle w:val="FootnoteText"/>
      </w:pPr>
      <w:r>
        <w:rPr>
          <w:rStyle w:val="FootnoteReference"/>
        </w:rPr>
        <w:footnoteRef/>
      </w:r>
      <w:r w:rsidR="00A568FD">
        <w:t xml:space="preserve"> New Hampshire’s Workforce Housing Law</w:t>
      </w:r>
      <w:r>
        <w:t xml:space="preserve"> </w:t>
      </w:r>
      <w:hyperlink r:id="rId18" w:history="1">
        <w:r w:rsidR="00A568FD" w:rsidRPr="00A568FD">
          <w:rPr>
            <w:rStyle w:val="Hyperlink"/>
          </w:rPr>
          <w:t>https://www.nhhfa.org/wp-content/uploads/2019/06/NH_Workforce_Housing_Law_Summary.pdf</w:t>
        </w:r>
      </w:hyperlink>
    </w:p>
  </w:footnote>
  <w:footnote w:id="21">
    <w:p w14:paraId="7F1A0028" w14:textId="03EF24D8" w:rsidR="005C7937" w:rsidRDefault="005C7937">
      <w:pPr>
        <w:pStyle w:val="FootnoteText"/>
      </w:pPr>
      <w:r>
        <w:rPr>
          <w:rStyle w:val="FootnoteReference"/>
        </w:rPr>
        <w:footnoteRef/>
      </w:r>
      <w:r>
        <w:t xml:space="preserve"> New Hampshire’s Workforce Housing Law </w:t>
      </w:r>
      <w:hyperlink r:id="rId19" w:history="1">
        <w:r w:rsidRPr="00505BD6">
          <w:rPr>
            <w:rStyle w:val="Hyperlink"/>
          </w:rPr>
          <w:t>https://www.nhhfa.org/wp-content/uploads/2021/12/Workforce-Housing-Law-Report-12.2021.pdf</w:t>
        </w:r>
      </w:hyperlink>
    </w:p>
  </w:footnote>
  <w:footnote w:id="22">
    <w:p w14:paraId="1AA429DA" w14:textId="29EB20F5" w:rsidR="007001F6" w:rsidRDefault="007001F6">
      <w:pPr>
        <w:pStyle w:val="FootnoteText"/>
      </w:pPr>
      <w:r>
        <w:rPr>
          <w:rStyle w:val="FootnoteReference"/>
        </w:rPr>
        <w:footnoteRef/>
      </w:r>
      <w:r>
        <w:t xml:space="preserve"> </w:t>
      </w:r>
      <w:r w:rsidR="00A568FD" w:rsidRPr="00A568FD">
        <w:t>Recent reports document New Hampshire’s struggle with home affordability</w:t>
      </w:r>
      <w:r w:rsidR="00A568FD">
        <w:t xml:space="preserve"> </w:t>
      </w:r>
      <w:hyperlink r:id="rId20" w:history="1">
        <w:r w:rsidR="00A568FD" w:rsidRPr="00505BD6">
          <w:rPr>
            <w:rStyle w:val="Hyperlink"/>
          </w:rPr>
          <w:t>https://www.nhbr.com/recent-reports-document-new-hampshires-struggle-with-home-affordability/</w:t>
        </w:r>
      </w:hyperlink>
    </w:p>
  </w:footnote>
  <w:footnote w:id="23">
    <w:p w14:paraId="797F8D33" w14:textId="33432750" w:rsidR="00A568FD" w:rsidRDefault="00A568FD" w:rsidP="00A568FD">
      <w:pPr>
        <w:pStyle w:val="FootnoteText"/>
      </w:pPr>
      <w:r>
        <w:rPr>
          <w:rStyle w:val="FootnoteReference"/>
        </w:rPr>
        <w:footnoteRef/>
      </w:r>
      <w:r>
        <w:t xml:space="preserve"> Reinventing Construction: A Route to Higher Productivity </w:t>
      </w:r>
      <w:hyperlink r:id="rId21" w:history="1">
        <w:r w:rsidRPr="00A568FD">
          <w:rPr>
            <w:rStyle w:val="Hyperlink"/>
          </w:rPr>
          <w:t>https://www.mckinsey.com/~/media/mckinsey/business functions/operations/our insights/reinventing construction through a productivity revolution/mgi-reinventing-construction-executive-summary.pdf</w:t>
        </w:r>
      </w:hyperlink>
    </w:p>
  </w:footnote>
  <w:footnote w:id="24">
    <w:p w14:paraId="1D447181" w14:textId="5D742E93" w:rsidR="002428ED" w:rsidRDefault="002428ED">
      <w:pPr>
        <w:pStyle w:val="FootnoteText"/>
      </w:pPr>
      <w:r>
        <w:rPr>
          <w:rStyle w:val="FootnoteReference"/>
        </w:rPr>
        <w:footnoteRef/>
      </w:r>
      <w:r>
        <w:t xml:space="preserve"> </w:t>
      </w:r>
      <w:r w:rsidR="009A6221">
        <w:t xml:space="preserve">Accessory Dwelling Units </w:t>
      </w:r>
      <w:hyperlink r:id="rId22" w:history="1">
        <w:r w:rsidR="009A6221" w:rsidRPr="00505BD6">
          <w:rPr>
            <w:rStyle w:val="Hyperlink"/>
          </w:rPr>
          <w:t>https://www.nhhfa.org/housing-challenges-solutions/accessory-dwelling-units/</w:t>
        </w:r>
      </w:hyperlink>
    </w:p>
  </w:footnote>
  <w:footnote w:id="25">
    <w:p w14:paraId="02477F40" w14:textId="1CB97890" w:rsidR="002428ED" w:rsidRDefault="002428ED">
      <w:pPr>
        <w:pStyle w:val="FootnoteText"/>
      </w:pPr>
      <w:r>
        <w:rPr>
          <w:rStyle w:val="FootnoteReference"/>
        </w:rPr>
        <w:footnoteRef/>
      </w:r>
      <w:r>
        <w:t xml:space="preserve"> </w:t>
      </w:r>
      <w:r w:rsidR="009A6221" w:rsidRPr="009A6221">
        <w:rPr>
          <w:rFonts w:eastAsia="Tw Cen MT" w:cs="Tw Cen MT"/>
          <w:color w:val="000000" w:themeColor="text1"/>
        </w:rPr>
        <w:t>NH RSA 679</w:t>
      </w:r>
      <w:r w:rsidR="009A6221">
        <w:rPr>
          <w:rFonts w:eastAsia="Tw Cen MT" w:cs="Tw Cen MT"/>
          <w:color w:val="000000" w:themeColor="text1"/>
        </w:rPr>
        <w:t xml:space="preserve"> </w:t>
      </w:r>
      <w:hyperlink r:id="rId23" w:history="1">
        <w:r w:rsidR="009A6221" w:rsidRPr="00505BD6">
          <w:rPr>
            <w:rStyle w:val="Hyperlink"/>
          </w:rPr>
          <w:t>http://www.gencourt.state.nh.us/rsa/html/LXIV/679/679-mrg.htm</w:t>
        </w:r>
      </w:hyperlink>
    </w:p>
  </w:footnote>
  <w:footnote w:id="26">
    <w:p w14:paraId="482A23AD" w14:textId="52949AFD" w:rsidR="002428ED" w:rsidRDefault="002428ED" w:rsidP="009A6221">
      <w:pPr>
        <w:pStyle w:val="FootnoteText"/>
      </w:pPr>
      <w:r>
        <w:rPr>
          <w:rStyle w:val="FootnoteReference"/>
        </w:rPr>
        <w:footnoteRef/>
      </w:r>
      <w:r>
        <w:t xml:space="preserve"> </w:t>
      </w:r>
      <w:r w:rsidR="009A6221">
        <w:t>Title LXIV Planning and Zoning Chapter 679 Housing Appeals Board</w:t>
      </w:r>
      <w:r w:rsidR="009A6221" w:rsidRPr="002428ED">
        <w:t xml:space="preserve"> </w:t>
      </w:r>
      <w:hyperlink r:id="rId24" w:history="1">
        <w:r w:rsidRPr="009A6221">
          <w:rPr>
            <w:rStyle w:val="Hyperlink"/>
          </w:rPr>
          <w:t>http://www.gencourt.state.nh.us/rsa/html/LXIV/679/679-mrg.htm</w:t>
        </w:r>
      </w:hyperlink>
    </w:p>
  </w:footnote>
  <w:footnote w:id="27">
    <w:p w14:paraId="01EF3D3A" w14:textId="156B5275" w:rsidR="009A6221" w:rsidRDefault="009A6221" w:rsidP="009A6221">
      <w:pPr>
        <w:pStyle w:val="FootnoteText"/>
      </w:pPr>
      <w:r>
        <w:rPr>
          <w:rStyle w:val="FootnoteReference"/>
        </w:rPr>
        <w:footnoteRef/>
      </w:r>
      <w:r>
        <w:t xml:space="preserve"> Title LXIV Planning and Zoning Chapter 674 Local Land Use Planning and Regulatory Powers </w:t>
      </w:r>
      <w:hyperlink r:id="rId25" w:history="1">
        <w:r w:rsidRPr="00505BD6">
          <w:rPr>
            <w:rStyle w:val="Hyperlink"/>
          </w:rPr>
          <w:t>https://www.gencourt.state.nh.us/rsa/html/LXIV/674/674-17.htm</w:t>
        </w:r>
      </w:hyperlink>
    </w:p>
  </w:footnote>
  <w:footnote w:id="28">
    <w:p w14:paraId="5FA2A4E3" w14:textId="00B6351D" w:rsidR="009A6221" w:rsidRDefault="009A6221">
      <w:pPr>
        <w:pStyle w:val="FootnoteText"/>
      </w:pPr>
      <w:r>
        <w:rPr>
          <w:rStyle w:val="FootnoteReference"/>
        </w:rPr>
        <w:footnoteRef/>
      </w:r>
      <w:r>
        <w:t xml:space="preserve"> Title XXXI Trade and Commerce Chapter 354-A State Commission for Human Rights </w:t>
      </w:r>
      <w:hyperlink r:id="rId26" w:history="1">
        <w:r w:rsidRPr="009A6221">
          <w:rPr>
            <w:rStyle w:val="Hyperlink"/>
          </w:rPr>
          <w:t>http://www.gencourt.state.nh.us/rsa/html/XXXI/354-A/354-A-15.HTM</w:t>
        </w:r>
      </w:hyperlink>
    </w:p>
  </w:footnote>
  <w:footnote w:id="29">
    <w:p w14:paraId="5DA787E5" w14:textId="0EECF4DA" w:rsidR="00AA48BC" w:rsidRDefault="00AA48BC">
      <w:pPr>
        <w:pStyle w:val="FootnoteText"/>
      </w:pPr>
      <w:r>
        <w:rPr>
          <w:rStyle w:val="FootnoteReference"/>
        </w:rPr>
        <w:footnoteRef/>
      </w:r>
      <w:r>
        <w:t xml:space="preserve"> Title LXIV Planning and Zoning Chapter 674 Local Land Use Planning and Regulatory Powers </w:t>
      </w:r>
      <w:hyperlink r:id="rId27" w:history="1">
        <w:r w:rsidRPr="00AA48BC">
          <w:rPr>
            <w:rStyle w:val="Hyperlink"/>
          </w:rPr>
          <w:t>http://www.gencourt.state.nh.us/rsa/html/lxiv/674/674-mrg.htm</w:t>
        </w:r>
      </w:hyperlink>
    </w:p>
  </w:footnote>
  <w:footnote w:id="30">
    <w:p w14:paraId="4DC20A6F" w14:textId="6371104F" w:rsidR="00CA7320" w:rsidRDefault="00CA7320">
      <w:pPr>
        <w:pStyle w:val="FootnoteText"/>
      </w:pPr>
      <w:r>
        <w:rPr>
          <w:rStyle w:val="FootnoteReference"/>
        </w:rPr>
        <w:footnoteRef/>
      </w:r>
      <w:r>
        <w:t xml:space="preserve"> Title V Taxation Chapter 79-E Community Revitalization Tax Relief Incentive </w:t>
      </w:r>
      <w:hyperlink r:id="rId28" w:history="1">
        <w:r w:rsidRPr="00CA7320">
          <w:rPr>
            <w:rStyle w:val="Hyperlink"/>
          </w:rPr>
          <w:t>http://www.gencourt.state.nh.us/rsa/html/v/79-e/79-e-mrg.htm</w:t>
        </w:r>
      </w:hyperlink>
    </w:p>
  </w:footnote>
  <w:footnote w:id="31">
    <w:p w14:paraId="5D793015" w14:textId="73F305D2" w:rsidR="00E57F1D" w:rsidRDefault="00E57F1D">
      <w:pPr>
        <w:pStyle w:val="FootnoteText"/>
      </w:pPr>
      <w:r>
        <w:rPr>
          <w:rStyle w:val="FootnoteReference"/>
        </w:rPr>
        <w:footnoteRef/>
      </w:r>
      <w:r>
        <w:t xml:space="preserve"> Title XVII Housing and Redevelopment Chapter 204-C Housing Finance Authority </w:t>
      </w:r>
      <w:hyperlink r:id="rId29" w:history="1">
        <w:r w:rsidRPr="00E57F1D">
          <w:rPr>
            <w:rStyle w:val="Hyperlink"/>
          </w:rPr>
          <w:t>https://gencourt.state.nh.us/rsa/html/XVII/204-C/204-C-mrg.htm</w:t>
        </w:r>
      </w:hyperlink>
    </w:p>
  </w:footnote>
  <w:footnote w:id="32">
    <w:p w14:paraId="6FD7DE68" w14:textId="453B65EA" w:rsidR="004754DF" w:rsidRDefault="004754DF">
      <w:pPr>
        <w:pStyle w:val="FootnoteText"/>
      </w:pPr>
      <w:r>
        <w:rPr>
          <w:rStyle w:val="FootnoteReference"/>
        </w:rPr>
        <w:footnoteRef/>
      </w:r>
      <w:r>
        <w:t xml:space="preserve"> </w:t>
      </w:r>
      <w:hyperlink r:id="rId30" w:history="1">
        <w:r w:rsidRPr="00E57F1D">
          <w:rPr>
            <w:rStyle w:val="Hyperlink"/>
          </w:rPr>
          <w:t>http://www.harmonyhomesnh.com/</w:t>
        </w:r>
      </w:hyperlink>
    </w:p>
  </w:footnote>
  <w:footnote w:id="33">
    <w:p w14:paraId="5EAD7FF6" w14:textId="6ECEA86B" w:rsidR="00D9582E" w:rsidRDefault="00D9582E">
      <w:pPr>
        <w:pStyle w:val="FootnoteText"/>
      </w:pPr>
      <w:r>
        <w:rPr>
          <w:rStyle w:val="FootnoteReference"/>
        </w:rPr>
        <w:footnoteRef/>
      </w:r>
      <w:r>
        <w:t xml:space="preserve"> New Hampshire House Bill (HB) 1661: Summary of Changes Table </w:t>
      </w:r>
      <w:hyperlink r:id="rId31" w:history="1">
        <w:r w:rsidRPr="00D9582E">
          <w:rPr>
            <w:rStyle w:val="Hyperlink"/>
          </w:rPr>
          <w:t>https://www.nh.gov/osi/resource-library/legislation/documents/hb-1661-summarytable.pdf</w:t>
        </w:r>
      </w:hyperlink>
    </w:p>
  </w:footnote>
  <w:footnote w:id="34">
    <w:p w14:paraId="74588670" w14:textId="0CC63116" w:rsidR="00D9582E" w:rsidRDefault="00D9582E">
      <w:pPr>
        <w:pStyle w:val="FootnoteText"/>
      </w:pPr>
      <w:r>
        <w:rPr>
          <w:rStyle w:val="FootnoteReference"/>
        </w:rPr>
        <w:footnoteRef/>
      </w:r>
      <w:r>
        <w:t xml:space="preserve"> Title XII Public Safety and Welfare Chapter 162-K Municipal Economic Development and Revitalization Districts </w:t>
      </w:r>
      <w:hyperlink r:id="rId32" w:history="1">
        <w:r w:rsidRPr="00505BD6">
          <w:rPr>
            <w:rStyle w:val="Hyperlink"/>
          </w:rPr>
          <w:t>https://www.gencourt.state.nh.us/rsa/html/XII/162-K/162-K-mrg.htm</w:t>
        </w:r>
      </w:hyperlink>
    </w:p>
  </w:footnote>
  <w:footnote w:id="35">
    <w:p w14:paraId="42F5A1FA" w14:textId="001E06D6" w:rsidR="004754DF" w:rsidRDefault="004754DF">
      <w:pPr>
        <w:pStyle w:val="FootnoteText"/>
      </w:pPr>
      <w:r>
        <w:rPr>
          <w:rStyle w:val="FootnoteReference"/>
        </w:rPr>
        <w:footnoteRef/>
      </w:r>
      <w:r w:rsidR="0096773F">
        <w:t xml:space="preserve"> NH Monthly Indicators</w:t>
      </w:r>
      <w:r>
        <w:t xml:space="preserve"> </w:t>
      </w:r>
      <w:hyperlink r:id="rId33" w:history="1">
        <w:r w:rsidRPr="0096773F">
          <w:rPr>
            <w:rStyle w:val="Hyperlink"/>
          </w:rPr>
          <w:t>https://www.nhar.org/assets/pdf/marketdata/NHAR_MMI_2022-09.pdf</w:t>
        </w:r>
      </w:hyperlink>
    </w:p>
  </w:footnote>
  <w:footnote w:id="36">
    <w:p w14:paraId="5AE3F44F" w14:textId="0CFB20D3" w:rsidR="004754DF" w:rsidRDefault="004754DF">
      <w:pPr>
        <w:pStyle w:val="FootnoteText"/>
      </w:pPr>
      <w:r>
        <w:rPr>
          <w:rStyle w:val="FootnoteReference"/>
        </w:rPr>
        <w:footnoteRef/>
      </w:r>
      <w:r>
        <w:t xml:space="preserve"> </w:t>
      </w:r>
      <w:r w:rsidR="0096773F" w:rsidRPr="0096773F">
        <w:t>NH Housing Finance Authority’s Housing Market Report</w:t>
      </w:r>
      <w:r w:rsidR="0096773F">
        <w:t xml:space="preserve"> </w:t>
      </w:r>
      <w:hyperlink r:id="rId34" w:history="1">
        <w:r w:rsidRPr="0096773F">
          <w:rPr>
            <w:rStyle w:val="Hyperlink"/>
          </w:rPr>
          <w:t>https://www.nhhfa.org/wp-content/uploads/2022/06/NH-Housing-Market-Report-06-2022.pdf</w:t>
        </w:r>
      </w:hyperlink>
    </w:p>
  </w:footnote>
  <w:footnote w:id="37">
    <w:p w14:paraId="3A2A60D8" w14:textId="2CA5BC36" w:rsidR="004754DF" w:rsidRDefault="004754DF">
      <w:pPr>
        <w:pStyle w:val="FootnoteText"/>
      </w:pPr>
      <w:r>
        <w:rPr>
          <w:rStyle w:val="FootnoteReference"/>
        </w:rPr>
        <w:footnoteRef/>
      </w:r>
      <w:r>
        <w:t xml:space="preserve"> </w:t>
      </w:r>
      <w:r w:rsidR="0096773F">
        <w:t xml:space="preserve">Pandemic and Future Shocks </w:t>
      </w:r>
      <w:hyperlink r:id="rId35" w:history="1">
        <w:r w:rsidR="0096773F" w:rsidRPr="00505BD6">
          <w:rPr>
            <w:rStyle w:val="Hyperlink"/>
          </w:rPr>
          <w:t>https://www.keystothevalley.com/report/pandemic-future-shocks/</w:t>
        </w:r>
      </w:hyperlink>
    </w:p>
  </w:footnote>
  <w:footnote w:id="38">
    <w:p w14:paraId="7285D51C" w14:textId="40333ED1" w:rsidR="008F05FE" w:rsidRDefault="008F05FE">
      <w:pPr>
        <w:pStyle w:val="FootnoteText"/>
      </w:pPr>
      <w:r>
        <w:rPr>
          <w:rStyle w:val="FootnoteReference"/>
        </w:rPr>
        <w:footnoteRef/>
      </w:r>
      <w:r>
        <w:t xml:space="preserve"> </w:t>
      </w:r>
      <w:r w:rsidR="0096773F" w:rsidRPr="0096773F">
        <w:t xml:space="preserve">Workforce Issues Exacerbated </w:t>
      </w:r>
      <w:r w:rsidR="0096773F" w:rsidRPr="0096773F">
        <w:t>By the Pandemic</w:t>
      </w:r>
      <w:r w:rsidR="0096773F">
        <w:t xml:space="preserve"> </w:t>
      </w:r>
      <w:hyperlink r:id="rId36" w:history="1">
        <w:r w:rsidR="0096773F" w:rsidRPr="00505BD6">
          <w:rPr>
            <w:rStyle w:val="Hyperlink"/>
          </w:rPr>
          <w:t>https://indepthnh.org/2021/07/04/workforce-issues-exacerbated-by-the-pandemic/</w:t>
        </w:r>
      </w:hyperlink>
    </w:p>
  </w:footnote>
  <w:footnote w:id="39">
    <w:p w14:paraId="0ED70EF8" w14:textId="539D551E" w:rsidR="008F05FE" w:rsidRDefault="008F05FE">
      <w:pPr>
        <w:pStyle w:val="FootnoteText"/>
      </w:pPr>
      <w:r>
        <w:rPr>
          <w:rStyle w:val="FootnoteReference"/>
        </w:rPr>
        <w:footnoteRef/>
      </w:r>
      <w:r>
        <w:t xml:space="preserve"> </w:t>
      </w:r>
      <w:r w:rsidR="0096773F" w:rsidRPr="0096773F">
        <w:t>State of New Hampshire’s Multi-Hazard Mitigation Plan</w:t>
      </w:r>
      <w:r w:rsidR="0096773F" w:rsidRPr="0096773F">
        <w:rPr>
          <w:rStyle w:val="Hyperlink"/>
          <w:u w:val="none"/>
        </w:rPr>
        <w:t xml:space="preserve"> </w:t>
      </w:r>
      <w:hyperlink r:id="rId37" w:history="1">
        <w:r w:rsidRPr="0096773F">
          <w:rPr>
            <w:rStyle w:val="Hyperlink"/>
          </w:rPr>
          <w:t>https://prd.blogs.nh.gov/dos/hsem/wp-content/uploads/2015/11/State-of-New-Hampshire-Multi-Hazard-Mitigation-Plan-Update-2018_FINAL.pdf</w:t>
        </w:r>
      </w:hyperlink>
    </w:p>
  </w:footnote>
  <w:footnote w:id="40">
    <w:p w14:paraId="7EC1B6E8" w14:textId="48FB1ADE" w:rsidR="008F05FE" w:rsidRDefault="008F05FE">
      <w:pPr>
        <w:pStyle w:val="FootnoteText"/>
      </w:pPr>
      <w:r>
        <w:rPr>
          <w:rStyle w:val="FootnoteReference"/>
        </w:rPr>
        <w:footnoteRef/>
      </w:r>
      <w:r>
        <w:t xml:space="preserve"> </w:t>
      </w:r>
      <w:hyperlink r:id="rId38" w:history="1">
        <w:r w:rsidRPr="0096773F">
          <w:rPr>
            <w:rStyle w:val="Hyperlink"/>
          </w:rPr>
          <w:t>https://www.snhpc.org</w:t>
        </w:r>
      </w:hyperlink>
    </w:p>
  </w:footnote>
  <w:footnote w:id="41">
    <w:p w14:paraId="5A7C5CAE" w14:textId="21F62049" w:rsidR="003676A7" w:rsidRDefault="003676A7">
      <w:pPr>
        <w:pStyle w:val="FootnoteText"/>
      </w:pPr>
      <w:r>
        <w:rPr>
          <w:rStyle w:val="FootnoteReference"/>
        </w:rPr>
        <w:footnoteRef/>
      </w:r>
      <w:r>
        <w:t xml:space="preserve"> </w:t>
      </w:r>
      <w:r w:rsidR="0096773F" w:rsidRPr="0096773F">
        <w:t xml:space="preserve">As Climate Change Drives Migration </w:t>
      </w:r>
      <w:r w:rsidR="0096773F" w:rsidRPr="0096773F">
        <w:t>To N.H., Towns Face Tension And Opportunity | WBUR News</w:t>
      </w:r>
      <w:r w:rsidR="0096773F">
        <w:t xml:space="preserve"> </w:t>
      </w:r>
      <w:hyperlink r:id="rId39" w:history="1">
        <w:r w:rsidRPr="0096773F">
          <w:rPr>
            <w:rStyle w:val="Hyperlink"/>
          </w:rPr>
          <w:t>https://www.wbur.org/news/2021/01/12/new-hampshire-climate-migrants</w:t>
        </w:r>
      </w:hyperlink>
    </w:p>
  </w:footnote>
  <w:footnote w:id="42">
    <w:p w14:paraId="0CE5D3EB" w14:textId="715C90C5" w:rsidR="003676A7" w:rsidRDefault="003676A7">
      <w:pPr>
        <w:pStyle w:val="FootnoteText"/>
      </w:pPr>
      <w:r>
        <w:rPr>
          <w:rStyle w:val="FootnoteReference"/>
        </w:rPr>
        <w:footnoteRef/>
      </w:r>
      <w:r w:rsidR="005F684F">
        <w:t xml:space="preserve"> </w:t>
      </w:r>
      <w:r w:rsidR="005F684F" w:rsidRPr="005F684F">
        <w:t>Home-building costs rise at ‘unprecedented rate,’ Bank of America says. These materials are proving particularly expensive</w:t>
      </w:r>
      <w:r>
        <w:t xml:space="preserve"> </w:t>
      </w:r>
      <w:hyperlink r:id="rId40" w:history="1">
        <w:r w:rsidRPr="005F684F">
          <w:rPr>
            <w:rStyle w:val="Hyperlink"/>
          </w:rPr>
          <w:t>https://www.marketwatch.com/story/the-cost-to-build-a-home-in-the-u-s-has-risen-at-an-unprecedented-rate-bank-of-america-says-11654897304</w:t>
        </w:r>
      </w:hyperlink>
    </w:p>
  </w:footnote>
  <w:footnote w:id="43">
    <w:p w14:paraId="5574BA28" w14:textId="7F769F5E" w:rsidR="005205DD" w:rsidRDefault="005205DD">
      <w:pPr>
        <w:pStyle w:val="FootnoteText"/>
      </w:pPr>
      <w:r>
        <w:rPr>
          <w:rStyle w:val="FootnoteReference"/>
        </w:rPr>
        <w:footnoteRef/>
      </w:r>
      <w:r w:rsidR="005F684F">
        <w:t xml:space="preserve"> </w:t>
      </w:r>
      <w:r w:rsidR="005F684F" w:rsidRPr="005F684F">
        <w:t>Rapidly Rising Building Materials and Freight Prices Push Construction Costs Higher</w:t>
      </w:r>
      <w:r>
        <w:t xml:space="preserve"> </w:t>
      </w:r>
      <w:hyperlink r:id="rId41" w:history="1">
        <w:r w:rsidRPr="005F684F">
          <w:rPr>
            <w:rStyle w:val="Hyperlink"/>
          </w:rPr>
          <w:t>https://eyeonhousing.org/2022/06/rapidly-rising-building-materials-and-freight-prices-push-construction-costs-higher/</w:t>
        </w:r>
      </w:hyperlink>
    </w:p>
  </w:footnote>
  <w:footnote w:id="44">
    <w:p w14:paraId="2E45ECCC" w14:textId="71133DA5" w:rsidR="00722596" w:rsidRDefault="00722596">
      <w:pPr>
        <w:pStyle w:val="FootnoteText"/>
      </w:pPr>
      <w:r>
        <w:rPr>
          <w:rStyle w:val="FootnoteReference"/>
        </w:rPr>
        <w:footnoteRef/>
      </w:r>
      <w:r w:rsidR="003B4FE0">
        <w:t xml:space="preserve"> </w:t>
      </w:r>
      <w:r w:rsidR="003B4FE0" w:rsidRPr="003B4FE0">
        <w:t>Worker Shortages Weighing on the Construction Industry</w:t>
      </w:r>
      <w:r>
        <w:t xml:space="preserve"> </w:t>
      </w:r>
      <w:hyperlink r:id="rId42" w:history="1">
        <w:r w:rsidRPr="003B4FE0">
          <w:rPr>
            <w:rStyle w:val="Hyperlink"/>
          </w:rPr>
          <w:t>https://crg-nh.com/new-england-construction-2/worker-shortages-construction-industry/</w:t>
        </w:r>
      </w:hyperlink>
    </w:p>
  </w:footnote>
  <w:footnote w:id="45">
    <w:p w14:paraId="0DC4B79F" w14:textId="6E31EDF5" w:rsidR="00722596" w:rsidRDefault="00722596">
      <w:pPr>
        <w:pStyle w:val="FootnoteText"/>
      </w:pPr>
      <w:r>
        <w:rPr>
          <w:rStyle w:val="FootnoteReference"/>
        </w:rPr>
        <w:footnoteRef/>
      </w:r>
      <w:r w:rsidR="003B4FE0">
        <w:t xml:space="preserve"> </w:t>
      </w:r>
      <w:r w:rsidR="003B4FE0" w:rsidRPr="003B4FE0">
        <w:t>How Severe is the Construction Industry’s Labor Shortage?</w:t>
      </w:r>
      <w:r>
        <w:t xml:space="preserve"> </w:t>
      </w:r>
      <w:hyperlink r:id="rId43" w:history="1">
        <w:r w:rsidRPr="003B4FE0">
          <w:rPr>
            <w:rStyle w:val="Hyperlink"/>
          </w:rPr>
          <w:t>https://jonaspremier.com/how-severe-is-the-construction-industrys-labor-shortage/</w:t>
        </w:r>
      </w:hyperlink>
    </w:p>
  </w:footnote>
  <w:footnote w:id="46">
    <w:p w14:paraId="64D83D02" w14:textId="0BD25497" w:rsidR="00722596" w:rsidRDefault="00722596">
      <w:pPr>
        <w:pStyle w:val="FootnoteText"/>
      </w:pPr>
      <w:r>
        <w:rPr>
          <w:rStyle w:val="FootnoteReference"/>
        </w:rPr>
        <w:footnoteRef/>
      </w:r>
      <w:r w:rsidR="003B4FE0">
        <w:t xml:space="preserve"> </w:t>
      </w:r>
      <w:r w:rsidR="003B4FE0" w:rsidRPr="003B4FE0">
        <w:t>The State We’re In: NH Labor Shortage and how the ‘I Build New Hampshire’ initiative could help</w:t>
      </w:r>
      <w:r>
        <w:t xml:space="preserve"> </w:t>
      </w:r>
      <w:hyperlink r:id="rId44" w:history="1">
        <w:r w:rsidRPr="003B4FE0">
          <w:rPr>
            <w:rStyle w:val="Hyperlink"/>
          </w:rPr>
          <w:t>https://manchesterinklink.com/the-state-were-in-nh-labor-shortage-and-how-the-i-build-new-hampshire-initiative-could-help/</w:t>
        </w:r>
      </w:hyperlink>
    </w:p>
  </w:footnote>
  <w:footnote w:id="47">
    <w:p w14:paraId="29157926" w14:textId="1EF7A7B9" w:rsidR="00722596" w:rsidRDefault="00722596">
      <w:pPr>
        <w:pStyle w:val="FootnoteText"/>
      </w:pPr>
      <w:r>
        <w:rPr>
          <w:rStyle w:val="FootnoteReference"/>
        </w:rPr>
        <w:footnoteRef/>
      </w:r>
      <w:r>
        <w:t xml:space="preserve"> </w:t>
      </w:r>
      <w:r w:rsidRPr="00722596">
        <w:t>https://www.airdna.co/</w:t>
      </w:r>
    </w:p>
  </w:footnote>
  <w:footnote w:id="48">
    <w:p w14:paraId="0E604512" w14:textId="7D8E142A" w:rsidR="00722596" w:rsidRDefault="00722596">
      <w:pPr>
        <w:pStyle w:val="FootnoteText"/>
      </w:pPr>
      <w:r>
        <w:rPr>
          <w:rStyle w:val="FootnoteReference"/>
        </w:rPr>
        <w:footnoteRef/>
      </w:r>
      <w:r w:rsidR="003B4FE0">
        <w:t xml:space="preserve"> </w:t>
      </w:r>
      <w:r w:rsidR="003B4FE0" w:rsidRPr="003B4FE0">
        <w:t>Affordable Housing and the Impact of Short-Term Rentals</w:t>
      </w:r>
      <w:r>
        <w:t xml:space="preserve"> </w:t>
      </w:r>
      <w:hyperlink r:id="rId45" w:history="1">
        <w:r w:rsidRPr="003B4FE0">
          <w:rPr>
            <w:rStyle w:val="Hyperlink"/>
          </w:rPr>
          <w:t>https://mrsc.org/stay-informed/mrsc-insight/december-2021/affordable-housing-and-the-impact-of-short-term-re</w:t>
        </w:r>
      </w:hyperlink>
    </w:p>
  </w:footnote>
  <w:footnote w:id="49">
    <w:p w14:paraId="7B0FEEF4" w14:textId="45561BE0" w:rsidR="00935A90" w:rsidRDefault="00935A90">
      <w:pPr>
        <w:pStyle w:val="FootnoteText"/>
      </w:pPr>
      <w:r>
        <w:rPr>
          <w:rStyle w:val="FootnoteReference"/>
        </w:rPr>
        <w:footnoteRef/>
      </w:r>
      <w:r w:rsidR="003B4FE0">
        <w:t xml:space="preserve"> </w:t>
      </w:r>
      <w:r w:rsidR="003B4FE0" w:rsidRPr="003B4FE0">
        <w:t>The Role Student Housing Plays in Communities</w:t>
      </w:r>
      <w:r>
        <w:t xml:space="preserve"> </w:t>
      </w:r>
      <w:hyperlink r:id="rId46" w:history="1">
        <w:r w:rsidRPr="003B4FE0">
          <w:rPr>
            <w:rStyle w:val="Hyperlink"/>
          </w:rPr>
          <w:t>https://shelterforce.org/2019/09/06/the-role-student-housing-plays-in-communities/</w:t>
        </w:r>
      </w:hyperlink>
    </w:p>
  </w:footnote>
  <w:footnote w:id="50">
    <w:p w14:paraId="4268B2FC" w14:textId="2F9C7964" w:rsidR="00935A90" w:rsidRDefault="00935A90">
      <w:pPr>
        <w:pStyle w:val="FootnoteText"/>
      </w:pPr>
      <w:r>
        <w:rPr>
          <w:rStyle w:val="FootnoteReference"/>
        </w:rPr>
        <w:footnoteRef/>
      </w:r>
      <w:r>
        <w:t xml:space="preserve"> </w:t>
      </w:r>
      <w:r w:rsidR="009F1F21" w:rsidRPr="009F1F21">
        <w:t>“Big Houses, Small Households: Perceptions, Preferences and Assessment”</w:t>
      </w:r>
      <w:r w:rsidR="009F1F21">
        <w:t xml:space="preserve"> </w:t>
      </w:r>
      <w:hyperlink r:id="rId47" w:history="1">
        <w:r w:rsidRPr="009F1F21">
          <w:rPr>
            <w:rStyle w:val="Hyperlink"/>
          </w:rPr>
          <w:t>https://www.nhhfa.org/wp-content/uploads/2019/06/BigHouses_SmallHouseholds.pdf</w:t>
        </w:r>
      </w:hyperlink>
    </w:p>
  </w:footnote>
  <w:footnote w:id="51">
    <w:p w14:paraId="0FEA5A2A" w14:textId="63432513" w:rsidR="00173C38" w:rsidRDefault="00173C38">
      <w:pPr>
        <w:pStyle w:val="FootnoteText"/>
      </w:pPr>
      <w:r>
        <w:rPr>
          <w:rStyle w:val="FootnoteReference"/>
        </w:rPr>
        <w:footnoteRef/>
      </w:r>
      <w:r>
        <w:t xml:space="preserve"> </w:t>
      </w:r>
      <w:r w:rsidRPr="009F1F21">
        <w:t xml:space="preserve">State of New Hampshire State, County, and Municipal Population Projections: 2020-2050, Robert Scardamalia RLS Demographics, Inc. and New Hampshire Department of Business and Economic Affairs </w:t>
      </w:r>
      <w:hyperlink r:id="rId48" w:history="1">
        <w:r w:rsidRPr="009F1F21">
          <w:rPr>
            <w:rStyle w:val="Hyperlink"/>
          </w:rPr>
          <w:t>https://www.nh.gov/osi/data-center/population-projections.htm</w:t>
        </w:r>
      </w:hyperlink>
    </w:p>
  </w:footnote>
  <w:footnote w:id="52">
    <w:p w14:paraId="2C9CCD6E" w14:textId="6B841B96" w:rsidR="00F218CA" w:rsidRDefault="00F218CA" w:rsidP="00F218CA">
      <w:pPr>
        <w:pStyle w:val="FootnoteText"/>
      </w:pPr>
      <w:r>
        <w:rPr>
          <w:rStyle w:val="FootnoteReference"/>
        </w:rPr>
        <w:footnoteRef/>
      </w:r>
      <w:r>
        <w:t xml:space="preserve"> The 2020 headship ratio is required for the calculation of the number of future households. Since household sizes vary depending on the age of the people that make them up (e.g., larger households are more likely to be composed of people of </w:t>
      </w:r>
      <w:r>
        <w:t>child bearing age partners and their children), the age distribution in the future will help to determine the total number of house units needed.</w:t>
      </w:r>
    </w:p>
  </w:footnote>
  <w:footnote w:id="53">
    <w:p w14:paraId="1F03BFF5" w14:textId="77777777" w:rsidR="008C44A2" w:rsidRDefault="008C44A2" w:rsidP="008C44A2">
      <w:pPr>
        <w:pStyle w:val="FootnoteText"/>
      </w:pPr>
      <w:r>
        <w:rPr>
          <w:rStyle w:val="FootnoteReference"/>
        </w:rPr>
        <w:footnoteRef/>
      </w:r>
      <w:r>
        <w:t xml:space="preserve"> US EPA. 2014. </w:t>
      </w:r>
      <w:r w:rsidRPr="00400683">
        <w:rPr>
          <w:i/>
          <w:iCs/>
        </w:rPr>
        <w:t>Smart Growth and Economic Success: Benefits for Real Estate Developers, Investors, Businesses and Local Governments</w:t>
      </w:r>
      <w:r>
        <w:t xml:space="preserve">. </w:t>
      </w:r>
      <w:hyperlink r:id="rId49" w:history="1">
        <w:r w:rsidRPr="00400683">
          <w:rPr>
            <w:rStyle w:val="Hyperlink"/>
          </w:rPr>
          <w:t>https://www.epa.gov/sites/default/files/documents/smart_growth_and_economic_success.pdf</w:t>
        </w:r>
      </w:hyperlink>
      <w:r>
        <w:t>.</w:t>
      </w:r>
    </w:p>
  </w:footnote>
  <w:footnote w:id="54">
    <w:p w14:paraId="670B76C5" w14:textId="77777777" w:rsidR="006B2A32" w:rsidRPr="00570980" w:rsidRDefault="006B2A32" w:rsidP="006B2A32">
      <w:pPr>
        <w:pStyle w:val="pf0"/>
        <w:rPr>
          <w:rFonts w:ascii="Segoe UI" w:hAnsi="Segoe UI" w:cs="Segoe UI"/>
          <w:sz w:val="18"/>
          <w:szCs w:val="18"/>
        </w:rPr>
      </w:pPr>
      <w:r w:rsidRPr="00B60CA9">
        <w:rPr>
          <w:rStyle w:val="FootnoteReference"/>
          <w:rFonts w:asciiTheme="majorHAnsi" w:hAnsiTheme="majorHAnsi"/>
        </w:rPr>
        <w:footnoteRef/>
      </w:r>
      <w:r w:rsidRPr="00B60CA9">
        <w:rPr>
          <w:rFonts w:asciiTheme="majorHAnsi" w:hAnsiTheme="majorHAnsi"/>
        </w:rPr>
        <w:t xml:space="preserve"> </w:t>
      </w:r>
      <w:r w:rsidRPr="00B60CA9">
        <w:rPr>
          <w:rStyle w:val="cf01"/>
          <w:rFonts w:asciiTheme="majorHAnsi" w:hAnsiTheme="majorHAnsi"/>
          <w:sz w:val="20"/>
          <w:szCs w:val="20"/>
        </w:rPr>
        <w:t xml:space="preserve">see Real Estate Research Corporation. 1974. </w:t>
      </w:r>
      <w:r w:rsidRPr="00B60CA9">
        <w:rPr>
          <w:rStyle w:val="cf01"/>
          <w:rFonts w:asciiTheme="majorHAnsi" w:hAnsiTheme="majorHAnsi"/>
          <w:i/>
          <w:iCs/>
          <w:sz w:val="20"/>
          <w:szCs w:val="20"/>
        </w:rPr>
        <w:t>The Cost of Sprawl: Environmental and Economic Costs of Alternative Residential Development Patterns at the Urban Fringe</w:t>
      </w:r>
      <w:r w:rsidRPr="00B60CA9">
        <w:rPr>
          <w:rStyle w:val="cf01"/>
          <w:rFonts w:asciiTheme="majorHAnsi" w:hAnsiTheme="majorHAnsi"/>
          <w:sz w:val="20"/>
          <w:szCs w:val="20"/>
        </w:rPr>
        <w:t xml:space="preserve">. </w:t>
      </w:r>
      <w:hyperlink r:id="rId50" w:history="1">
        <w:r w:rsidRPr="00B60CA9">
          <w:rPr>
            <w:rStyle w:val="cf01"/>
            <w:rFonts w:asciiTheme="majorHAnsi" w:hAnsiTheme="majorHAnsi"/>
            <w:color w:val="0000FF"/>
            <w:sz w:val="20"/>
            <w:szCs w:val="20"/>
            <w:u w:val="single"/>
          </w:rPr>
          <w:t>https://pdxscholar.library.pdx.edu/cgi/viewcontent.cgi?article=1025&amp;context=oscdl_planning;</w:t>
        </w:r>
      </w:hyperlink>
      <w:r w:rsidRPr="00B60CA9">
        <w:rPr>
          <w:rStyle w:val="cf01"/>
          <w:rFonts w:asciiTheme="majorHAnsi" w:hAnsiTheme="majorHAnsi"/>
          <w:sz w:val="20"/>
          <w:szCs w:val="20"/>
        </w:rPr>
        <w:t xml:space="preserve"> Burchell, Robert W. et. al. 1989. Transportation Cooperative Research Program Report 39: </w:t>
      </w:r>
      <w:r w:rsidRPr="00B60CA9">
        <w:rPr>
          <w:rStyle w:val="cf01"/>
          <w:rFonts w:asciiTheme="majorHAnsi" w:hAnsiTheme="majorHAnsi"/>
          <w:i/>
          <w:iCs/>
          <w:sz w:val="20"/>
          <w:szCs w:val="20"/>
        </w:rPr>
        <w:t>The Cost of Sprawl Revisited</w:t>
      </w:r>
      <w:r w:rsidRPr="00B60CA9">
        <w:rPr>
          <w:rStyle w:val="cf01"/>
          <w:rFonts w:asciiTheme="majorHAnsi" w:hAnsiTheme="majorHAnsi"/>
          <w:sz w:val="20"/>
          <w:szCs w:val="20"/>
        </w:rPr>
        <w:t xml:space="preserve">. </w:t>
      </w:r>
      <w:hyperlink r:id="rId51" w:history="1">
        <w:r w:rsidRPr="00B60CA9">
          <w:rPr>
            <w:rStyle w:val="Hyperlink"/>
            <w:rFonts w:asciiTheme="majorHAnsi" w:hAnsiTheme="majorHAnsi" w:cs="Segoe UI"/>
            <w:sz w:val="20"/>
            <w:szCs w:val="20"/>
          </w:rPr>
          <w:t>https://www.trb.org/Publications/Blurbs/153808.aspx</w:t>
        </w:r>
      </w:hyperlink>
      <w:hyperlink r:id="rId52" w:history="1">
        <w:r w:rsidRPr="00B60CA9">
          <w:rPr>
            <w:rStyle w:val="cf01"/>
            <w:rFonts w:asciiTheme="majorHAnsi" w:hAnsiTheme="majorHAnsi"/>
            <w:color w:val="0000FF"/>
            <w:sz w:val="20"/>
            <w:szCs w:val="20"/>
            <w:u w:val="single"/>
          </w:rPr>
          <w:t>;</w:t>
        </w:r>
      </w:hyperlink>
      <w:r w:rsidRPr="00B60CA9">
        <w:rPr>
          <w:rStyle w:val="cf01"/>
          <w:rFonts w:asciiTheme="majorHAnsi" w:hAnsiTheme="majorHAnsi"/>
          <w:sz w:val="20"/>
          <w:szCs w:val="20"/>
        </w:rPr>
        <w:t xml:space="preserve"> Carruthers, John I et. al. 2003. "Urban Sprawl and the Cost of Public Services". </w:t>
      </w:r>
      <w:r w:rsidRPr="00B60CA9">
        <w:rPr>
          <w:rStyle w:val="cf01"/>
          <w:rFonts w:asciiTheme="majorHAnsi" w:hAnsiTheme="majorHAnsi"/>
          <w:i/>
          <w:iCs/>
          <w:sz w:val="20"/>
          <w:szCs w:val="20"/>
        </w:rPr>
        <w:t>Environment and Planning B: Urban Analytics and City Science</w:t>
      </w:r>
      <w:r w:rsidRPr="00B60CA9">
        <w:rPr>
          <w:rStyle w:val="cf01"/>
          <w:rFonts w:asciiTheme="majorHAnsi" w:hAnsiTheme="majorHAnsi"/>
          <w:sz w:val="20"/>
          <w:szCs w:val="20"/>
        </w:rPr>
        <w:t xml:space="preserve">, vol. 30. </w:t>
      </w:r>
      <w:hyperlink r:id="rId53" w:history="1">
        <w:r w:rsidRPr="00B60CA9">
          <w:rPr>
            <w:rStyle w:val="cf01"/>
            <w:rFonts w:asciiTheme="majorHAnsi" w:hAnsiTheme="majorHAnsi"/>
            <w:color w:val="0000FF"/>
            <w:sz w:val="20"/>
            <w:szCs w:val="20"/>
            <w:u w:val="single"/>
          </w:rPr>
          <w:t>https://doi.org/10.1068%2Fb12847;</w:t>
        </w:r>
      </w:hyperlink>
      <w:r w:rsidRPr="00B60CA9">
        <w:rPr>
          <w:rFonts w:asciiTheme="majorHAnsi" w:hAnsiTheme="majorHAnsi" w:cs="Arial"/>
          <w:sz w:val="20"/>
          <w:szCs w:val="20"/>
        </w:rPr>
        <w:t xml:space="preserve"> </w:t>
      </w:r>
      <w:r w:rsidRPr="00B60CA9">
        <w:rPr>
          <w:rStyle w:val="cf01"/>
          <w:rFonts w:asciiTheme="majorHAnsi" w:hAnsiTheme="majorHAnsi"/>
          <w:sz w:val="20"/>
          <w:szCs w:val="20"/>
        </w:rPr>
        <w:t xml:space="preserve">Muro, Mark et. al. 2004. </w:t>
      </w:r>
      <w:r w:rsidRPr="00B60CA9">
        <w:rPr>
          <w:rStyle w:val="cf01"/>
          <w:rFonts w:asciiTheme="majorHAnsi" w:hAnsiTheme="majorHAnsi"/>
          <w:i/>
          <w:iCs/>
          <w:sz w:val="20"/>
          <w:szCs w:val="20"/>
        </w:rPr>
        <w:t xml:space="preserve">Investing In </w:t>
      </w:r>
      <w:r w:rsidRPr="00B60CA9">
        <w:rPr>
          <w:rStyle w:val="cf01"/>
          <w:rFonts w:asciiTheme="majorHAnsi" w:hAnsiTheme="majorHAnsi"/>
          <w:i/>
          <w:iCs/>
          <w:sz w:val="20"/>
          <w:szCs w:val="20"/>
        </w:rPr>
        <w:t>A Better Future: A Review of the Fiscal and Competitive Advantages of Smarter Growth Development Patterns</w:t>
      </w:r>
      <w:r w:rsidRPr="00B60CA9">
        <w:rPr>
          <w:rStyle w:val="cf01"/>
          <w:rFonts w:asciiTheme="majorHAnsi" w:hAnsiTheme="majorHAnsi"/>
          <w:sz w:val="20"/>
          <w:szCs w:val="20"/>
        </w:rPr>
        <w:t xml:space="preserve">. The Brookings Institution. </w:t>
      </w:r>
      <w:hyperlink r:id="rId54" w:history="1">
        <w:r w:rsidRPr="00B60CA9">
          <w:rPr>
            <w:rStyle w:val="cf01"/>
            <w:rFonts w:asciiTheme="majorHAnsi" w:hAnsiTheme="majorHAnsi"/>
            <w:color w:val="0000FF"/>
            <w:sz w:val="20"/>
            <w:szCs w:val="20"/>
            <w:u w:val="single"/>
          </w:rPr>
          <w:t>https://www.brookings.edu/wp-content/uploads/2016/06/200403_smartgrowth.pdf;</w:t>
        </w:r>
      </w:hyperlink>
      <w:r w:rsidRPr="00B60CA9">
        <w:rPr>
          <w:rStyle w:val="cf01"/>
          <w:rFonts w:asciiTheme="majorHAnsi" w:hAnsiTheme="majorHAnsi"/>
          <w:sz w:val="20"/>
          <w:szCs w:val="20"/>
        </w:rPr>
        <w:t xml:space="preserve"> US EPA. 2012. </w:t>
      </w:r>
      <w:r w:rsidRPr="00B60CA9">
        <w:rPr>
          <w:rStyle w:val="cf01"/>
          <w:rFonts w:asciiTheme="majorHAnsi" w:hAnsiTheme="majorHAnsi"/>
          <w:i/>
          <w:iCs/>
          <w:sz w:val="20"/>
          <w:szCs w:val="20"/>
        </w:rPr>
        <w:t>Smart Growth And Economic Success: Benefits For Real Estate Developers, Investors, Businesses, And Local Governments</w:t>
      </w:r>
      <w:r w:rsidRPr="00B60CA9">
        <w:rPr>
          <w:rStyle w:val="cf01"/>
          <w:rFonts w:asciiTheme="majorHAnsi" w:hAnsiTheme="majorHAnsi"/>
          <w:sz w:val="20"/>
          <w:szCs w:val="20"/>
        </w:rPr>
        <w:t xml:space="preserve">. </w:t>
      </w:r>
      <w:hyperlink r:id="rId55" w:history="1">
        <w:r w:rsidRPr="00B60CA9">
          <w:rPr>
            <w:rStyle w:val="Hyperlink"/>
            <w:rFonts w:asciiTheme="majorHAnsi" w:hAnsiTheme="majorHAnsi" w:cs="Segoe UI"/>
            <w:sz w:val="20"/>
            <w:szCs w:val="20"/>
          </w:rPr>
          <w:t>https://www.epa.gov/sites/default/files/documents/smart_growth_and_economic_success.pdf</w:t>
        </w:r>
      </w:hyperlink>
      <w:r w:rsidRPr="00B60CA9">
        <w:rPr>
          <w:rStyle w:val="cf01"/>
          <w:rFonts w:asciiTheme="majorHAnsi" w:hAnsiTheme="majorHAnsi"/>
          <w:sz w:val="20"/>
          <w:szCs w:val="20"/>
        </w:rPr>
        <w:t>.</w:t>
      </w:r>
    </w:p>
    <w:p w14:paraId="3DD85E00" w14:textId="77777777" w:rsidR="006B2A32" w:rsidRDefault="006B2A32" w:rsidP="006B2A32">
      <w:pPr>
        <w:pStyle w:val="FootnoteText"/>
      </w:pPr>
    </w:p>
  </w:footnote>
  <w:footnote w:id="55">
    <w:p w14:paraId="6E0EDA2F" w14:textId="72ACBEC3" w:rsidR="00585711" w:rsidRDefault="00585711">
      <w:pPr>
        <w:pStyle w:val="FootnoteText"/>
      </w:pPr>
      <w:r>
        <w:rPr>
          <w:rStyle w:val="FootnoteReference"/>
        </w:rPr>
        <w:footnoteRef/>
      </w:r>
      <w:r w:rsidR="00227C6E">
        <w:t xml:space="preserve"> </w:t>
      </w:r>
      <w:r w:rsidR="00227C6E" w:rsidRPr="00227C6E">
        <w:t>Municipal Land Use Regulation Annual Survey</w:t>
      </w:r>
      <w:r>
        <w:t xml:space="preserve"> </w:t>
      </w:r>
      <w:hyperlink r:id="rId56" w:history="1">
        <w:r w:rsidRPr="00227C6E">
          <w:rPr>
            <w:rStyle w:val="Hyperlink"/>
          </w:rPr>
          <w:t>https://www.nh.gov/osi/planning/services/mrpa/land-use-survey.htm</w:t>
        </w:r>
      </w:hyperlink>
    </w:p>
  </w:footnote>
  <w:footnote w:id="56">
    <w:p w14:paraId="5651B4A4" w14:textId="66745057" w:rsidR="00585711" w:rsidRDefault="00585711">
      <w:pPr>
        <w:pStyle w:val="FootnoteText"/>
      </w:pPr>
      <w:r>
        <w:rPr>
          <w:rStyle w:val="FootnoteReference"/>
        </w:rPr>
        <w:footnoteRef/>
      </w:r>
      <w:r>
        <w:t xml:space="preserve"> </w:t>
      </w:r>
      <w:r w:rsidR="008138C5">
        <w:t>A</w:t>
      </w:r>
      <w:r w:rsidR="008138C5" w:rsidRPr="008138C5">
        <w:t xml:space="preserve">rthur C. Nelson et. al. 2022. </w:t>
      </w:r>
      <w:r w:rsidR="008138C5" w:rsidRPr="00400683">
        <w:rPr>
          <w:i/>
          <w:iCs/>
        </w:rPr>
        <w:t>Rational for Smart Growth Fiscal Impact Analysis and Model Fiscal Impact Assessment Ordinance</w:t>
      </w:r>
      <w:r w:rsidR="008138C5" w:rsidRPr="008138C5">
        <w:t>. Smart Growth America.</w:t>
      </w:r>
      <w:r w:rsidR="008138C5">
        <w:t xml:space="preserve"> </w:t>
      </w:r>
      <w:hyperlink r:id="rId57" w:history="1">
        <w:r w:rsidRPr="00400683">
          <w:rPr>
            <w:rStyle w:val="Hyperlink"/>
          </w:rPr>
          <w:t>https://smartgrowthamerica.org/wp-content/uploads/2022/06/Rationale-for-Smart-Growth-Fiscal-Impact-Analysis-and-Model-Fiscal-Impact-Assessment-Ordinance.pdf</w:t>
        </w:r>
      </w:hyperlink>
    </w:p>
  </w:footnote>
  <w:footnote w:id="57">
    <w:p w14:paraId="1A1F57AD" w14:textId="5C5E9D54" w:rsidR="005E4CB4" w:rsidRDefault="005E4CB4">
      <w:pPr>
        <w:pStyle w:val="FootnoteText"/>
      </w:pPr>
      <w:r>
        <w:rPr>
          <w:rStyle w:val="FootnoteReference"/>
        </w:rPr>
        <w:footnoteRef/>
      </w:r>
      <w:r>
        <w:t xml:space="preserve"> </w:t>
      </w:r>
      <w:r w:rsidRPr="00400683">
        <w:t>Housing and Transportation (H+T®) Affordability Index</w:t>
      </w:r>
      <w:r>
        <w:t xml:space="preserve"> </w:t>
      </w:r>
      <w:hyperlink r:id="rId58" w:history="1">
        <w:r w:rsidRPr="00400683">
          <w:rPr>
            <w:rStyle w:val="Hyperlink"/>
          </w:rPr>
          <w:t>https://htaindex.cnt.org/</w:t>
        </w:r>
      </w:hyperlink>
    </w:p>
  </w:footnote>
  <w:footnote w:id="58">
    <w:p w14:paraId="00E9B06F" w14:textId="5B793691" w:rsidR="00432505" w:rsidRDefault="00432505">
      <w:pPr>
        <w:pStyle w:val="FootnoteText"/>
      </w:pPr>
      <w:r>
        <w:rPr>
          <w:rStyle w:val="FootnoteReference"/>
        </w:rPr>
        <w:footnoteRef/>
      </w:r>
      <w:r w:rsidR="00400683">
        <w:t xml:space="preserve"> </w:t>
      </w:r>
      <w:r w:rsidR="00400683" w:rsidRPr="00400683">
        <w:t>Housing and Transportation (H+T®) Affordability Index</w:t>
      </w:r>
      <w:r>
        <w:t xml:space="preserve"> </w:t>
      </w:r>
      <w:hyperlink r:id="rId59" w:history="1">
        <w:r w:rsidRPr="00400683">
          <w:rPr>
            <w:rStyle w:val="Hyperlink"/>
          </w:rPr>
          <w:t>https://htaindex.cnt.org/</w:t>
        </w:r>
      </w:hyperlink>
    </w:p>
  </w:footnote>
  <w:footnote w:id="59">
    <w:p w14:paraId="4FD84C4D" w14:textId="13D9F0FF" w:rsidR="00A619F7" w:rsidRDefault="00A619F7">
      <w:pPr>
        <w:pStyle w:val="FootnoteText"/>
      </w:pPr>
      <w:r>
        <w:rPr>
          <w:rStyle w:val="FootnoteReference"/>
        </w:rPr>
        <w:footnoteRef/>
      </w:r>
      <w:r w:rsidR="00400683">
        <w:t xml:space="preserve"> </w:t>
      </w:r>
      <w:r w:rsidR="00400683" w:rsidRPr="00400683">
        <w:t>Location Affordability Index</w:t>
      </w:r>
      <w:r>
        <w:t xml:space="preserve"> </w:t>
      </w:r>
      <w:hyperlink r:id="rId60" w:history="1">
        <w:r w:rsidRPr="00400683">
          <w:rPr>
            <w:rStyle w:val="Hyperlink"/>
          </w:rPr>
          <w:t>https://www.hudexchange.info/programs/location-affordability-index/</w:t>
        </w:r>
      </w:hyperlink>
    </w:p>
  </w:footnote>
  <w:footnote w:id="60">
    <w:p w14:paraId="6DCB02A1" w14:textId="50869FF0" w:rsidR="00FC7B67" w:rsidRDefault="00FC7B67" w:rsidP="00FC7B67">
      <w:pPr>
        <w:pStyle w:val="FootnoteText"/>
      </w:pPr>
      <w:r>
        <w:rPr>
          <w:rStyle w:val="FootnoteReference"/>
        </w:rPr>
        <w:footnoteRef/>
      </w:r>
      <w:r>
        <w:t xml:space="preserve"> Southern New Hampshire Planning Commission. 2021. </w:t>
      </w:r>
      <w:r w:rsidRPr="00400683">
        <w:rPr>
          <w:i/>
          <w:iCs/>
        </w:rPr>
        <w:t>2021-20245 Metropolitan Transportation Plan</w:t>
      </w:r>
      <w:r>
        <w:t xml:space="preserve">. </w:t>
      </w:r>
      <w:hyperlink r:id="rId61" w:history="1">
        <w:r w:rsidRPr="00400683">
          <w:rPr>
            <w:rStyle w:val="Hyperlink"/>
          </w:rPr>
          <w:t>https://www.snhpc.org/sites/g/files/vyhlif5006/f/uploads/snhpc_mtp_adopted_fy21-45.pdf.</w:t>
        </w:r>
      </w:hyperlink>
    </w:p>
  </w:footnote>
  <w:footnote w:id="61">
    <w:p w14:paraId="2E7E7240" w14:textId="40EF75DF" w:rsidR="009F4128" w:rsidRDefault="009F4128">
      <w:pPr>
        <w:pStyle w:val="FootnoteText"/>
      </w:pPr>
      <w:r>
        <w:rPr>
          <w:rStyle w:val="FootnoteReference"/>
        </w:rPr>
        <w:footnoteRef/>
      </w:r>
      <w:r>
        <w:t xml:space="preserve"> </w:t>
      </w:r>
      <w:r w:rsidR="00400683" w:rsidRPr="00400683">
        <w:t xml:space="preserve">New Hampshire First State to Implement Broadband Expansion </w:t>
      </w:r>
      <w:r w:rsidR="00400683">
        <w:t xml:space="preserve"> </w:t>
      </w:r>
      <w:hyperlink r:id="rId62" w:history="1">
        <w:r w:rsidR="00400683" w:rsidRPr="00505BD6">
          <w:rPr>
            <w:rStyle w:val="Hyperlink"/>
          </w:rPr>
          <w:t>https://www.governor.nh.gov/news-and-media/new-hampshire-first-state-implement-broadband-expansion</w:t>
        </w:r>
      </w:hyperlink>
    </w:p>
  </w:footnote>
  <w:footnote w:id="62">
    <w:p w14:paraId="202E7B8A" w14:textId="61A0A4BE" w:rsidR="00A772A7" w:rsidRDefault="00A772A7">
      <w:pPr>
        <w:pStyle w:val="FootnoteText"/>
      </w:pPr>
      <w:r>
        <w:rPr>
          <w:rStyle w:val="FootnoteReference"/>
        </w:rPr>
        <w:footnoteRef/>
      </w:r>
      <w:r w:rsidR="00400683">
        <w:t xml:space="preserve"> </w:t>
      </w:r>
      <w:r w:rsidR="00400683" w:rsidRPr="00400683">
        <w:t>NH Child Care Desert Map</w:t>
      </w:r>
      <w:r>
        <w:t xml:space="preserve"> </w:t>
      </w:r>
      <w:hyperlink r:id="rId63" w:history="1">
        <w:r w:rsidRPr="00400683">
          <w:rPr>
            <w:rStyle w:val="Hyperlink"/>
          </w:rPr>
          <w:t>https://www.nh-connections.org/communities/nh-child-care-desert-map/</w:t>
        </w:r>
      </w:hyperlink>
    </w:p>
  </w:footnote>
  <w:footnote w:id="63">
    <w:p w14:paraId="10078992" w14:textId="39B0F469" w:rsidR="00A07E53" w:rsidRDefault="00A07E53">
      <w:pPr>
        <w:pStyle w:val="FootnoteText"/>
      </w:pPr>
      <w:r>
        <w:rPr>
          <w:rStyle w:val="FootnoteReference"/>
        </w:rPr>
        <w:footnoteRef/>
      </w:r>
      <w:r w:rsidR="00400683">
        <w:t xml:space="preserve"> </w:t>
      </w:r>
      <w:r w:rsidR="00400683" w:rsidRPr="00400683">
        <w:t>Does New Hampshire Have Food Deserts?</w:t>
      </w:r>
      <w:r>
        <w:t xml:space="preserve"> </w:t>
      </w:r>
      <w:hyperlink r:id="rId64" w:history="1">
        <w:r w:rsidRPr="00400683">
          <w:rPr>
            <w:rStyle w:val="Hyperlink"/>
          </w:rPr>
          <w:t>https://www.seacoasteatlocal.org/does-new-hampshire-have-food-deserts/</w:t>
        </w:r>
      </w:hyperlink>
    </w:p>
  </w:footnote>
  <w:footnote w:id="64">
    <w:p w14:paraId="0AD7BDD0" w14:textId="10CB1C6F" w:rsidR="00A07E53" w:rsidRDefault="00A07E53">
      <w:pPr>
        <w:pStyle w:val="FootnoteText"/>
      </w:pPr>
      <w:r>
        <w:rPr>
          <w:rStyle w:val="FootnoteReference"/>
        </w:rPr>
        <w:footnoteRef/>
      </w:r>
      <w:r>
        <w:t xml:space="preserve"> </w:t>
      </w:r>
      <w:r w:rsidR="00F61D72">
        <w:t xml:space="preserve">Healthy Food Access </w:t>
      </w:r>
      <w:hyperlink r:id="rId65" w:history="1">
        <w:r w:rsidRPr="00F61D72">
          <w:rPr>
            <w:rStyle w:val="Hyperlink"/>
          </w:rPr>
          <w:t>https://www.healthyfoodaccess.org/about-portal-partnership</w:t>
        </w:r>
      </w:hyperlink>
    </w:p>
  </w:footnote>
  <w:footnote w:id="65">
    <w:p w14:paraId="75890161" w14:textId="468498E2" w:rsidR="00DA1424" w:rsidRDefault="00DA1424">
      <w:pPr>
        <w:pStyle w:val="FootnoteText"/>
      </w:pPr>
      <w:r>
        <w:rPr>
          <w:rStyle w:val="FootnoteReference"/>
        </w:rPr>
        <w:footnoteRef/>
      </w:r>
      <w:r>
        <w:t xml:space="preserve"> </w:t>
      </w:r>
      <w:r w:rsidR="00987258" w:rsidRPr="00987258">
        <w:t>Public Parks and Social Equity</w:t>
      </w:r>
      <w:r w:rsidR="00987258">
        <w:t xml:space="preserve"> </w:t>
      </w:r>
      <w:hyperlink r:id="rId66" w:anchor=":~:text=The%20Benefits%20of%20Public%20Parks%20to%20Communities" w:history="1">
        <w:r w:rsidR="00987258" w:rsidRPr="00505BD6">
          <w:rPr>
            <w:rStyle w:val="Hyperlink"/>
          </w:rPr>
          <w:t>https://sportsfacilities.com/public-parks-and-social-equity/#:~:text=The%20Benefits%20of%20Public%20Parks%20to%20Communities</w:t>
        </w:r>
      </w:hyperlink>
    </w:p>
  </w:footnote>
  <w:footnote w:id="66">
    <w:p w14:paraId="3E52DA39" w14:textId="2439A645" w:rsidR="00E4559F" w:rsidRDefault="00E4559F">
      <w:pPr>
        <w:pStyle w:val="FootnoteText"/>
      </w:pPr>
      <w:r>
        <w:rPr>
          <w:rStyle w:val="FootnoteReference"/>
        </w:rPr>
        <w:footnoteRef/>
      </w:r>
      <w:r>
        <w:t xml:space="preserve"> </w:t>
      </w:r>
      <w:r w:rsidR="003210CD" w:rsidRPr="003210CD">
        <w:t xml:space="preserve">New Hampshire Commission for Human Rights </w:t>
      </w:r>
      <w:hyperlink r:id="rId67" w:history="1">
        <w:r w:rsidRPr="003210CD">
          <w:rPr>
            <w:rStyle w:val="Hyperlink"/>
          </w:rPr>
          <w:t>https://www.nh.gov/hrc/decisions/year.html</w:t>
        </w:r>
      </w:hyperlink>
    </w:p>
  </w:footnote>
  <w:footnote w:id="67">
    <w:p w14:paraId="0BB41C33" w14:textId="728EE8DB" w:rsidR="00443B5B" w:rsidRDefault="00443B5B" w:rsidP="003210CD">
      <w:pPr>
        <w:pStyle w:val="FootnoteText"/>
      </w:pPr>
      <w:r>
        <w:rPr>
          <w:rStyle w:val="FootnoteReference"/>
        </w:rPr>
        <w:footnoteRef/>
      </w:r>
      <w:r>
        <w:t xml:space="preserve"> </w:t>
      </w:r>
      <w:r w:rsidR="003210CD">
        <w:t>Manchester, NH Analysis Of Impediments To Fair Housing Choice</w:t>
      </w:r>
      <w:r w:rsidR="003210CD" w:rsidRPr="00443B5B">
        <w:t xml:space="preserve"> </w:t>
      </w:r>
      <w:hyperlink r:id="rId68" w:history="1">
        <w:r w:rsidRPr="003210CD">
          <w:rPr>
            <w:rStyle w:val="Hyperlink"/>
          </w:rPr>
          <w:t>https://www.manchesternh.gov/Portals/2/Departments/pcd/CIP/AnalysisofimpedimentstoFairHousingChoices-Final.pdf</w:t>
        </w:r>
      </w:hyperlink>
    </w:p>
  </w:footnote>
  <w:footnote w:id="68">
    <w:p w14:paraId="21162DAE" w14:textId="24084800" w:rsidR="00443B5B" w:rsidRDefault="00443B5B">
      <w:pPr>
        <w:pStyle w:val="FootnoteText"/>
      </w:pPr>
      <w:r>
        <w:rPr>
          <w:rStyle w:val="FootnoteReference"/>
        </w:rPr>
        <w:footnoteRef/>
      </w:r>
      <w:r>
        <w:t xml:space="preserve"> </w:t>
      </w:r>
      <w:r w:rsidR="003F2E67">
        <w:t xml:space="preserve">New Hampshire Housing Finance Authority. 2014. </w:t>
      </w:r>
      <w:r w:rsidR="003F2E67" w:rsidRPr="003210CD">
        <w:rPr>
          <w:i/>
          <w:iCs/>
        </w:rPr>
        <w:t>Fair Housing for Regional and Municipal Planning A Guidebook for New Hampshire Planners.</w:t>
      </w:r>
      <w:r w:rsidR="003F2E67" w:rsidRPr="00443B5B">
        <w:t xml:space="preserve"> </w:t>
      </w:r>
      <w:hyperlink r:id="rId69" w:history="1">
        <w:r w:rsidRPr="003210CD">
          <w:rPr>
            <w:rStyle w:val="Hyperlink"/>
          </w:rPr>
          <w:t>https://www.nhhfa.org/wp-content/uploads/2019/06/Fair_Housing_Guidebook.pdf</w:t>
        </w:r>
      </w:hyperlink>
    </w:p>
  </w:footnote>
  <w:footnote w:id="69">
    <w:p w14:paraId="13F03057" w14:textId="37DF441D" w:rsidR="00A21322" w:rsidRDefault="00A21322">
      <w:pPr>
        <w:pStyle w:val="FootnoteText"/>
      </w:pPr>
      <w:r>
        <w:rPr>
          <w:rStyle w:val="FootnoteReference"/>
        </w:rPr>
        <w:footnoteRef/>
      </w:r>
      <w:r w:rsidR="003210CD">
        <w:t xml:space="preserve"> </w:t>
      </w:r>
      <w:r w:rsidR="003210CD" w:rsidRPr="003210CD">
        <w:t>Spotlight on Underserved Markets, Affordable Housing in High Opportunity Areas</w:t>
      </w:r>
      <w:r>
        <w:t xml:space="preserve"> </w:t>
      </w:r>
      <w:hyperlink r:id="rId70" w:history="1">
        <w:r w:rsidRPr="003210CD">
          <w:rPr>
            <w:rStyle w:val="Hyperlink"/>
          </w:rPr>
          <w:t>https://mf.freddiemac.com/docs/Affordable_Housing_in_High_Opportunity_Areas.pdf</w:t>
        </w:r>
      </w:hyperlink>
    </w:p>
  </w:footnote>
  <w:footnote w:id="70">
    <w:p w14:paraId="21036EA1" w14:textId="314F8FBF" w:rsidR="00A21322" w:rsidRDefault="00A21322">
      <w:pPr>
        <w:pStyle w:val="FootnoteText"/>
      </w:pPr>
      <w:r>
        <w:rPr>
          <w:rStyle w:val="FootnoteReference"/>
        </w:rPr>
        <w:footnoteRef/>
      </w:r>
      <w:r>
        <w:t xml:space="preserve"> </w:t>
      </w:r>
      <w:r w:rsidR="003210CD" w:rsidRPr="003210CD">
        <w:t xml:space="preserve">Spotlight on Underserved Markets, Affordable Housing in High Opportunity Areas </w:t>
      </w:r>
      <w:hyperlink r:id="rId71" w:history="1">
        <w:r w:rsidRPr="003210CD">
          <w:rPr>
            <w:rStyle w:val="Hyperlink"/>
          </w:rPr>
          <w:t>https://mf.freddiemac.com/docs/Affordable_Housing_in_High_Opportunity_Areas.pdf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9D8F7" w14:textId="0AE34236" w:rsidR="007E1FD5" w:rsidRDefault="0062538A">
    <w:pPr>
      <w:pStyle w:val="HeaderEven"/>
    </w:pPr>
    <w:sdt>
      <w:sdtPr>
        <w:alias w:val="Title"/>
        <w:id w:val="1192580891"/>
        <w:dataBinding w:prefixMappings="xmlns:ns0='http://schemas.openxmlformats.org/package/2006/metadata/core-properties' xmlns:ns1='http://purl.org/dc/elements/1.1/'" w:xpath="/ns0:coreProperties[1]/ns1:title[1]" w:storeItemID="{6C3C8BC8-F283-45AE-878A-BAB7291924A1}"/>
        <w:text/>
      </w:sdtPr>
      <w:sdtEndPr/>
      <w:sdtContent>
        <w:r w:rsidR="004E582A">
          <w:t>Southern New Hampshire Regional Housing Needs Assessment</w:t>
        </w:r>
      </w:sdtContent>
    </w:sdt>
  </w:p>
  <w:p w14:paraId="4B756D8C" w14:textId="77777777" w:rsidR="007E1FD5" w:rsidRDefault="007E1FD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3E385" w14:textId="0DCC02C9" w:rsidR="007E1FD5" w:rsidRDefault="0062538A" w:rsidP="00324692">
    <w:pPr>
      <w:pStyle w:val="HeaderOdd"/>
      <w:pBdr>
        <w:bottom w:val="single" w:sz="4" w:space="1" w:color="003192" w:themeColor="text2"/>
      </w:pBdr>
    </w:pPr>
    <w:sdt>
      <w:sdtPr>
        <w:alias w:val="Title"/>
        <w:id w:val="948441015"/>
        <w:dataBinding w:prefixMappings="xmlns:ns0='http://schemas.openxmlformats.org/package/2006/metadata/core-properties' xmlns:ns1='http://purl.org/dc/elements/1.1/'" w:xpath="/ns0:coreProperties[1]/ns1:title[1]" w:storeItemID="{6C3C8BC8-F283-45AE-878A-BAB7291924A1}"/>
        <w:text/>
      </w:sdtPr>
      <w:sdtEndPr/>
      <w:sdtContent>
        <w:r w:rsidR="006A23CB">
          <w:t>Southern</w:t>
        </w:r>
        <w:r w:rsidR="004E582A">
          <w:t xml:space="preserve"> </w:t>
        </w:r>
        <w:r w:rsidR="006A23CB">
          <w:t>New Hampshire Regional Housing Needs Assessment</w:t>
        </w:r>
      </w:sdtContent>
    </w:sdt>
  </w:p>
  <w:p w14:paraId="790C3869" w14:textId="77777777" w:rsidR="007E1FD5" w:rsidRDefault="007E1FD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855A7" w14:textId="2FFBACAC" w:rsidR="007E1FD5" w:rsidRPr="0032798C" w:rsidRDefault="00100680" w:rsidP="0032798C">
    <w:pPr>
      <w:pStyle w:val="Header"/>
      <w:spacing w:after="0" w:line="240" w:lineRule="auto"/>
      <w:jc w:val="center"/>
      <w:rPr>
        <w:sz w:val="8"/>
        <w:szCs w:val="8"/>
      </w:rPr>
    </w:pPr>
    <w:r>
      <w:t xml:space="preserve">Southern New Hampshire </w:t>
    </w:r>
    <w:r w:rsidR="003E3250">
      <w:t xml:space="preserve">Regional </w:t>
    </w:r>
    <w:r w:rsidR="0032798C">
      <w:t>Planning Commission</w:t>
    </w:r>
    <w:r w:rsidR="007E1FD5" w:rsidRPr="009757DC">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4B404" w14:textId="77777777" w:rsidR="0079283C" w:rsidRPr="002027BF" w:rsidRDefault="0062538A" w:rsidP="00763C1F">
    <w:pPr>
      <w:pStyle w:val="Header"/>
      <w:rPr>
        <w:sz w:val="2"/>
        <w:szCs w:val="2"/>
      </w:rPr>
    </w:pPr>
    <w:sdt>
      <w:sdtPr>
        <w:id w:val="-2087442501"/>
        <w:docPartObj>
          <w:docPartGallery w:val="Watermarks"/>
          <w:docPartUnique/>
        </w:docPartObj>
      </w:sdtPr>
      <w:sdtEndPr>
        <w:rPr>
          <w:sz w:val="2"/>
          <w:szCs w:val="2"/>
        </w:rPr>
      </w:sdtEndPr>
      <w:sdtContent>
        <w:r w:rsidR="0079283C">
          <w:rPr>
            <w:noProof/>
            <w:sz w:val="2"/>
            <w:szCs w:val="2"/>
            <w:lang w:eastAsia="zh-TW"/>
          </w:rPr>
          <mc:AlternateContent>
            <mc:Choice Requires="wps">
              <w:drawing>
                <wp:anchor distT="0" distB="0" distL="114300" distR="114300" simplePos="0" relativeHeight="251658240" behindDoc="1" locked="0" layoutInCell="0" allowOverlap="1" wp14:anchorId="63BC871F" wp14:editId="5298A766">
                  <wp:simplePos x="0" y="0"/>
                  <wp:positionH relativeFrom="margin">
                    <wp:align>center</wp:align>
                  </wp:positionH>
                  <wp:positionV relativeFrom="margin">
                    <wp:align>center</wp:align>
                  </wp:positionV>
                  <wp:extent cx="5237480" cy="3142615"/>
                  <wp:effectExtent l="0" t="1143000" r="0" b="657860"/>
                  <wp:wrapNone/>
                  <wp:docPr id="6"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8A403DC" w14:textId="77777777" w:rsidR="0079283C" w:rsidRDefault="0079283C" w:rsidP="00137CC0">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3BC871F" id="_x0000_t202" coordsize="21600,21600" o:spt="202" path="m,l,21600r21600,l21600,xe">
                  <v:stroke joinstyle="miter"/>
                  <v:path gradientshapeok="t" o:connecttype="rect"/>
                </v:shapetype>
                <v:shape id="WordArt 7" o:spid="_x0000_s1038" type="#_x0000_t202" style="position:absolute;margin-left:0;margin-top:0;width:412.4pt;height:247.4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v:stroke joinstyle="round"/>
                  <o:lock v:ext="edit" shapetype="t"/>
                  <v:textbox style="mso-fit-shape-to-text:t">
                    <w:txbxContent>
                      <w:p w14:paraId="08A403DC" w14:textId="77777777" w:rsidR="0079283C" w:rsidRDefault="0079283C" w:rsidP="00137CC0">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p>
</w:hdr>
</file>

<file path=word/intelligence2.xml><?xml version="1.0" encoding="utf-8"?>
<int2:intelligence xmlns:int2="http://schemas.microsoft.com/office/intelligence/2020/intelligence" xmlns:oel="http://schemas.microsoft.com/office/2019/extlst">
  <int2:observations>
    <int2:bookmark int2:bookmarkName="_Int_rMDLUIFg" int2:invalidationBookmarkName="" int2:hashCode="z3sysQ+91gZPJm" int2:id="DufG9alo">
      <int2:state int2:value="Rejected" int2:type="LegacyProofing"/>
    </int2:bookmark>
    <int2:bookmark int2:bookmarkName="_Int_SNTtbez8" int2:invalidationBookmarkName="" int2:hashCode="X55YArurxx+Sdf" int2:id="4HGWFyD9">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DB96C0E0"/>
    <w:lvl w:ilvl="0">
      <w:start w:val="1"/>
      <w:numFmt w:val="bullet"/>
      <w:pStyle w:val="ListBullet5"/>
      <w:lvlText w:val=""/>
      <w:lvlJc w:val="left"/>
      <w:pPr>
        <w:ind w:left="1584" w:hanging="360"/>
      </w:pPr>
      <w:rPr>
        <w:rFonts w:ascii="Wingdings" w:hAnsi="Wingdings" w:cs="Wingdings" w:hint="default"/>
      </w:rPr>
    </w:lvl>
  </w:abstractNum>
  <w:abstractNum w:abstractNumId="1" w15:restartNumberingAfterBreak="0">
    <w:nsid w:val="FFFFFF81"/>
    <w:multiLevelType w:val="singleLevel"/>
    <w:tmpl w:val="E806DD90"/>
    <w:lvl w:ilvl="0">
      <w:start w:val="1"/>
      <w:numFmt w:val="bullet"/>
      <w:pStyle w:val="ListBullet4"/>
      <w:lvlText w:val=""/>
      <w:lvlJc w:val="left"/>
      <w:pPr>
        <w:ind w:left="1440" w:hanging="360"/>
      </w:pPr>
      <w:rPr>
        <w:rFonts w:ascii="Wingdings" w:hAnsi="Wingdings" w:cs="Wingdings" w:hint="default"/>
      </w:rPr>
    </w:lvl>
  </w:abstractNum>
  <w:abstractNum w:abstractNumId="2" w15:restartNumberingAfterBreak="0">
    <w:nsid w:val="FFFFFF82"/>
    <w:multiLevelType w:val="singleLevel"/>
    <w:tmpl w:val="016CFCA8"/>
    <w:lvl w:ilvl="0">
      <w:start w:val="1"/>
      <w:numFmt w:val="bullet"/>
      <w:pStyle w:val="ListBullet3"/>
      <w:lvlText w:val=""/>
      <w:lvlJc w:val="left"/>
      <w:pPr>
        <w:ind w:left="864" w:hanging="360"/>
      </w:pPr>
      <w:rPr>
        <w:rFonts w:ascii="Wingdings" w:hAnsi="Wingdings" w:cs="Wingdings" w:hint="default"/>
      </w:rPr>
    </w:lvl>
  </w:abstractNum>
  <w:abstractNum w:abstractNumId="3" w15:restartNumberingAfterBreak="0">
    <w:nsid w:val="FFFFFF83"/>
    <w:multiLevelType w:val="singleLevel"/>
    <w:tmpl w:val="9356F1FA"/>
    <w:lvl w:ilvl="0">
      <w:start w:val="1"/>
      <w:numFmt w:val="bullet"/>
      <w:pStyle w:val="ListBullet2"/>
      <w:lvlText w:val=""/>
      <w:lvlJc w:val="left"/>
      <w:pPr>
        <w:ind w:left="720" w:hanging="360"/>
      </w:pPr>
      <w:rPr>
        <w:rFonts w:ascii="Wingdings 2" w:hAnsi="Wingdings 2" w:hint="default"/>
      </w:rPr>
    </w:lvl>
  </w:abstractNum>
  <w:abstractNum w:abstractNumId="4" w15:restartNumberingAfterBreak="0">
    <w:nsid w:val="FFFFFF88"/>
    <w:multiLevelType w:val="singleLevel"/>
    <w:tmpl w:val="DA802368"/>
    <w:lvl w:ilvl="0">
      <w:start w:val="1"/>
      <w:numFmt w:val="decimal"/>
      <w:pStyle w:val="ListNumber"/>
      <w:lvlText w:val="%1."/>
      <w:lvlJc w:val="left"/>
      <w:pPr>
        <w:tabs>
          <w:tab w:val="num" w:pos="360"/>
        </w:tabs>
        <w:ind w:left="360" w:hanging="360"/>
      </w:pPr>
    </w:lvl>
  </w:abstractNum>
  <w:abstractNum w:abstractNumId="5" w15:restartNumberingAfterBreak="0">
    <w:nsid w:val="02D55C7A"/>
    <w:multiLevelType w:val="hybridMultilevel"/>
    <w:tmpl w:val="926EF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E27C78"/>
    <w:multiLevelType w:val="hybridMultilevel"/>
    <w:tmpl w:val="C6CE5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332E5E"/>
    <w:multiLevelType w:val="hybridMultilevel"/>
    <w:tmpl w:val="D1009DC2"/>
    <w:lvl w:ilvl="0" w:tplc="FFFFFFFF">
      <w:start w:val="6"/>
      <w:numFmt w:val="upperLetter"/>
      <w:lvlText w:val="%1."/>
      <w:lvlJc w:val="left"/>
      <w:pPr>
        <w:ind w:left="720" w:hanging="360"/>
      </w:pPr>
      <w:rPr>
        <w:rFonts w:hint="default"/>
      </w:rPr>
    </w:lvl>
    <w:lvl w:ilvl="1" w:tplc="0409000B">
      <w:start w:val="1"/>
      <w:numFmt w:val="bullet"/>
      <w:lvlText w:val=""/>
      <w:lvlJc w:val="left"/>
      <w:pPr>
        <w:ind w:left="1440" w:hanging="360"/>
      </w:pPr>
      <w:rPr>
        <w:rFonts w:ascii="Wingdings" w:hAnsi="Wingding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0C208EE"/>
    <w:multiLevelType w:val="hybridMultilevel"/>
    <w:tmpl w:val="AB6AA10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F73932"/>
    <w:multiLevelType w:val="hybridMultilevel"/>
    <w:tmpl w:val="52DE6BF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8BA5954"/>
    <w:multiLevelType w:val="hybridMultilevel"/>
    <w:tmpl w:val="D228C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AE456E8"/>
    <w:multiLevelType w:val="hybridMultilevel"/>
    <w:tmpl w:val="EA60F580"/>
    <w:lvl w:ilvl="0" w:tplc="0409000F">
      <w:start w:val="1"/>
      <w:numFmt w:val="decimal"/>
      <w:lvlText w:val="%1."/>
      <w:lvlJc w:val="left"/>
      <w:pPr>
        <w:ind w:left="1800" w:hanging="360"/>
      </w:pPr>
    </w:lvl>
    <w:lvl w:ilvl="1" w:tplc="B246996A">
      <w:start w:val="1"/>
      <w:numFmt w:val="lowerLetter"/>
      <w:lvlText w:val="(%2)"/>
      <w:lvlJc w:val="left"/>
      <w:pPr>
        <w:ind w:left="2520" w:hanging="360"/>
      </w:pPr>
      <w:rPr>
        <w:rFonts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1C080478"/>
    <w:multiLevelType w:val="hybridMultilevel"/>
    <w:tmpl w:val="AAE6E754"/>
    <w:lvl w:ilvl="0" w:tplc="FFFFFFFF">
      <w:start w:val="1"/>
      <w:numFmt w:val="upperLetter"/>
      <w:lvlText w:val="%1."/>
      <w:lvlJc w:val="left"/>
      <w:pPr>
        <w:ind w:left="720" w:hanging="360"/>
      </w:pPr>
      <w:rPr>
        <w:rFonts w:hint="default"/>
      </w:rPr>
    </w:lvl>
    <w:lvl w:ilvl="1" w:tplc="99A4B1A4">
      <w:start w:val="1"/>
      <w:numFmt w:val="upperLetter"/>
      <w:lvlText w:val="%2."/>
      <w:lvlJc w:val="left"/>
      <w:pPr>
        <w:ind w:left="720" w:hanging="360"/>
      </w:pPr>
      <w:rPr>
        <w:rFonts w:hint="default"/>
      </w:rPr>
    </w:lvl>
    <w:lvl w:ilvl="2" w:tplc="04090003">
      <w:start w:val="1"/>
      <w:numFmt w:val="bullet"/>
      <w:lvlText w:val="o"/>
      <w:lvlJc w:val="left"/>
      <w:pPr>
        <w:ind w:left="1440" w:hanging="360"/>
      </w:pPr>
      <w:rPr>
        <w:rFonts w:ascii="Courier New" w:hAnsi="Courier New" w:cs="Courier New"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24020A3"/>
    <w:multiLevelType w:val="hybridMultilevel"/>
    <w:tmpl w:val="F71EE124"/>
    <w:lvl w:ilvl="0" w:tplc="99A4B1A4">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916772C"/>
    <w:multiLevelType w:val="hybridMultilevel"/>
    <w:tmpl w:val="53F8B3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2AB17A9B"/>
    <w:multiLevelType w:val="multilevel"/>
    <w:tmpl w:val="0409001D"/>
    <w:styleLink w:val="MedianListStyle"/>
    <w:lvl w:ilvl="0">
      <w:start w:val="1"/>
      <w:numFmt w:val="bullet"/>
      <w:lvlText w:val=""/>
      <w:lvlJc w:val="left"/>
      <w:pPr>
        <w:ind w:left="360" w:hanging="360"/>
      </w:pPr>
      <w:rPr>
        <w:rFonts w:ascii="Wingdings 2" w:hAnsi="Wingdings 2" w:hint="default"/>
        <w:color w:val="699BFF"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B5474DC"/>
    <w:multiLevelType w:val="hybridMultilevel"/>
    <w:tmpl w:val="512C7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C880799"/>
    <w:multiLevelType w:val="hybridMultilevel"/>
    <w:tmpl w:val="B7F49C8A"/>
    <w:lvl w:ilvl="0" w:tplc="557000B0">
      <w:start w:val="1"/>
      <w:numFmt w:val="bullet"/>
      <w:pStyle w:val="ListBullet"/>
      <w:lvlText w:val=""/>
      <w:lvlJc w:val="left"/>
      <w:pPr>
        <w:ind w:left="3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30DF1C53"/>
    <w:multiLevelType w:val="hybridMultilevel"/>
    <w:tmpl w:val="909C145E"/>
    <w:lvl w:ilvl="0" w:tplc="0409000B">
      <w:start w:val="1"/>
      <w:numFmt w:val="bullet"/>
      <w:lvlText w:val=""/>
      <w:lvlJc w:val="left"/>
      <w:pPr>
        <w:ind w:left="1714" w:hanging="360"/>
      </w:pPr>
      <w:rPr>
        <w:rFonts w:ascii="Wingdings" w:hAnsi="Wingdings" w:hint="default"/>
      </w:rPr>
    </w:lvl>
    <w:lvl w:ilvl="1" w:tplc="04090003" w:tentative="1">
      <w:start w:val="1"/>
      <w:numFmt w:val="bullet"/>
      <w:lvlText w:val="o"/>
      <w:lvlJc w:val="left"/>
      <w:pPr>
        <w:ind w:left="2434" w:hanging="360"/>
      </w:pPr>
      <w:rPr>
        <w:rFonts w:ascii="Courier New" w:hAnsi="Courier New" w:cs="Courier New" w:hint="default"/>
      </w:rPr>
    </w:lvl>
    <w:lvl w:ilvl="2" w:tplc="04090005" w:tentative="1">
      <w:start w:val="1"/>
      <w:numFmt w:val="bullet"/>
      <w:lvlText w:val=""/>
      <w:lvlJc w:val="left"/>
      <w:pPr>
        <w:ind w:left="3154" w:hanging="360"/>
      </w:pPr>
      <w:rPr>
        <w:rFonts w:ascii="Wingdings" w:hAnsi="Wingdings" w:hint="default"/>
      </w:rPr>
    </w:lvl>
    <w:lvl w:ilvl="3" w:tplc="04090001" w:tentative="1">
      <w:start w:val="1"/>
      <w:numFmt w:val="bullet"/>
      <w:lvlText w:val=""/>
      <w:lvlJc w:val="left"/>
      <w:pPr>
        <w:ind w:left="3874" w:hanging="360"/>
      </w:pPr>
      <w:rPr>
        <w:rFonts w:ascii="Symbol" w:hAnsi="Symbol" w:hint="default"/>
      </w:rPr>
    </w:lvl>
    <w:lvl w:ilvl="4" w:tplc="04090003" w:tentative="1">
      <w:start w:val="1"/>
      <w:numFmt w:val="bullet"/>
      <w:lvlText w:val="o"/>
      <w:lvlJc w:val="left"/>
      <w:pPr>
        <w:ind w:left="4594" w:hanging="360"/>
      </w:pPr>
      <w:rPr>
        <w:rFonts w:ascii="Courier New" w:hAnsi="Courier New" w:cs="Courier New" w:hint="default"/>
      </w:rPr>
    </w:lvl>
    <w:lvl w:ilvl="5" w:tplc="04090005" w:tentative="1">
      <w:start w:val="1"/>
      <w:numFmt w:val="bullet"/>
      <w:lvlText w:val=""/>
      <w:lvlJc w:val="left"/>
      <w:pPr>
        <w:ind w:left="5314" w:hanging="360"/>
      </w:pPr>
      <w:rPr>
        <w:rFonts w:ascii="Wingdings" w:hAnsi="Wingdings" w:hint="default"/>
      </w:rPr>
    </w:lvl>
    <w:lvl w:ilvl="6" w:tplc="04090001" w:tentative="1">
      <w:start w:val="1"/>
      <w:numFmt w:val="bullet"/>
      <w:lvlText w:val=""/>
      <w:lvlJc w:val="left"/>
      <w:pPr>
        <w:ind w:left="6034" w:hanging="360"/>
      </w:pPr>
      <w:rPr>
        <w:rFonts w:ascii="Symbol" w:hAnsi="Symbol" w:hint="default"/>
      </w:rPr>
    </w:lvl>
    <w:lvl w:ilvl="7" w:tplc="04090003" w:tentative="1">
      <w:start w:val="1"/>
      <w:numFmt w:val="bullet"/>
      <w:lvlText w:val="o"/>
      <w:lvlJc w:val="left"/>
      <w:pPr>
        <w:ind w:left="6754" w:hanging="360"/>
      </w:pPr>
      <w:rPr>
        <w:rFonts w:ascii="Courier New" w:hAnsi="Courier New" w:cs="Courier New" w:hint="default"/>
      </w:rPr>
    </w:lvl>
    <w:lvl w:ilvl="8" w:tplc="04090005" w:tentative="1">
      <w:start w:val="1"/>
      <w:numFmt w:val="bullet"/>
      <w:lvlText w:val=""/>
      <w:lvlJc w:val="left"/>
      <w:pPr>
        <w:ind w:left="7474" w:hanging="360"/>
      </w:pPr>
      <w:rPr>
        <w:rFonts w:ascii="Wingdings" w:hAnsi="Wingdings" w:hint="default"/>
      </w:rPr>
    </w:lvl>
  </w:abstractNum>
  <w:abstractNum w:abstractNumId="19" w15:restartNumberingAfterBreak="0">
    <w:nsid w:val="33307775"/>
    <w:multiLevelType w:val="hybridMultilevel"/>
    <w:tmpl w:val="F35E04B4"/>
    <w:lvl w:ilvl="0" w:tplc="04090015">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43DF498"/>
    <w:multiLevelType w:val="hybridMultilevel"/>
    <w:tmpl w:val="F4E6E1F4"/>
    <w:lvl w:ilvl="0" w:tplc="F672280A">
      <w:start w:val="1"/>
      <w:numFmt w:val="bullet"/>
      <w:lvlText w:val=""/>
      <w:lvlJc w:val="left"/>
      <w:pPr>
        <w:ind w:left="720" w:hanging="360"/>
      </w:pPr>
      <w:rPr>
        <w:rFonts w:ascii="Symbol" w:hAnsi="Symbol" w:hint="default"/>
      </w:rPr>
    </w:lvl>
    <w:lvl w:ilvl="1" w:tplc="86E46CC6">
      <w:start w:val="1"/>
      <w:numFmt w:val="bullet"/>
      <w:lvlText w:val="o"/>
      <w:lvlJc w:val="left"/>
      <w:pPr>
        <w:ind w:left="1440" w:hanging="360"/>
      </w:pPr>
      <w:rPr>
        <w:rFonts w:ascii="Courier New" w:hAnsi="Courier New" w:hint="default"/>
      </w:rPr>
    </w:lvl>
    <w:lvl w:ilvl="2" w:tplc="46D015D6">
      <w:start w:val="1"/>
      <w:numFmt w:val="bullet"/>
      <w:lvlText w:val=""/>
      <w:lvlJc w:val="left"/>
      <w:pPr>
        <w:ind w:left="2160" w:hanging="360"/>
      </w:pPr>
      <w:rPr>
        <w:rFonts w:ascii="Wingdings" w:hAnsi="Wingdings" w:hint="default"/>
      </w:rPr>
    </w:lvl>
    <w:lvl w:ilvl="3" w:tplc="02D4EFAC">
      <w:start w:val="1"/>
      <w:numFmt w:val="bullet"/>
      <w:lvlText w:val=""/>
      <w:lvlJc w:val="left"/>
      <w:pPr>
        <w:ind w:left="2880" w:hanging="360"/>
      </w:pPr>
      <w:rPr>
        <w:rFonts w:ascii="Symbol" w:hAnsi="Symbol" w:hint="default"/>
      </w:rPr>
    </w:lvl>
    <w:lvl w:ilvl="4" w:tplc="39DAAA6E">
      <w:start w:val="1"/>
      <w:numFmt w:val="bullet"/>
      <w:lvlText w:val="o"/>
      <w:lvlJc w:val="left"/>
      <w:pPr>
        <w:ind w:left="3600" w:hanging="360"/>
      </w:pPr>
      <w:rPr>
        <w:rFonts w:ascii="Courier New" w:hAnsi="Courier New" w:hint="default"/>
      </w:rPr>
    </w:lvl>
    <w:lvl w:ilvl="5" w:tplc="AB1019B4">
      <w:start w:val="1"/>
      <w:numFmt w:val="bullet"/>
      <w:lvlText w:val=""/>
      <w:lvlJc w:val="left"/>
      <w:pPr>
        <w:ind w:left="4320" w:hanging="360"/>
      </w:pPr>
      <w:rPr>
        <w:rFonts w:ascii="Wingdings" w:hAnsi="Wingdings" w:hint="default"/>
      </w:rPr>
    </w:lvl>
    <w:lvl w:ilvl="6" w:tplc="85940CE6">
      <w:start w:val="1"/>
      <w:numFmt w:val="bullet"/>
      <w:lvlText w:val=""/>
      <w:lvlJc w:val="left"/>
      <w:pPr>
        <w:ind w:left="5040" w:hanging="360"/>
      </w:pPr>
      <w:rPr>
        <w:rFonts w:ascii="Symbol" w:hAnsi="Symbol" w:hint="default"/>
      </w:rPr>
    </w:lvl>
    <w:lvl w:ilvl="7" w:tplc="2F4A866A">
      <w:start w:val="1"/>
      <w:numFmt w:val="bullet"/>
      <w:lvlText w:val="o"/>
      <w:lvlJc w:val="left"/>
      <w:pPr>
        <w:ind w:left="5760" w:hanging="360"/>
      </w:pPr>
      <w:rPr>
        <w:rFonts w:ascii="Courier New" w:hAnsi="Courier New" w:hint="default"/>
      </w:rPr>
    </w:lvl>
    <w:lvl w:ilvl="8" w:tplc="39FAA2DE">
      <w:start w:val="1"/>
      <w:numFmt w:val="bullet"/>
      <w:lvlText w:val=""/>
      <w:lvlJc w:val="left"/>
      <w:pPr>
        <w:ind w:left="6480" w:hanging="360"/>
      </w:pPr>
      <w:rPr>
        <w:rFonts w:ascii="Wingdings" w:hAnsi="Wingdings" w:hint="default"/>
      </w:rPr>
    </w:lvl>
  </w:abstractNum>
  <w:abstractNum w:abstractNumId="21" w15:restartNumberingAfterBreak="0">
    <w:nsid w:val="350C5E41"/>
    <w:multiLevelType w:val="hybridMultilevel"/>
    <w:tmpl w:val="75DE5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287BC4"/>
    <w:multiLevelType w:val="hybridMultilevel"/>
    <w:tmpl w:val="C0EA5794"/>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3" w15:restartNumberingAfterBreak="0">
    <w:nsid w:val="35F95746"/>
    <w:multiLevelType w:val="hybridMultilevel"/>
    <w:tmpl w:val="CFEE8F62"/>
    <w:lvl w:ilvl="0" w:tplc="73A63BA4">
      <w:start w:val="6"/>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75571F7"/>
    <w:multiLevelType w:val="hybridMultilevel"/>
    <w:tmpl w:val="6DA0FDE2"/>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5" w15:restartNumberingAfterBreak="0">
    <w:nsid w:val="3BFA9801"/>
    <w:multiLevelType w:val="hybridMultilevel"/>
    <w:tmpl w:val="F546465E"/>
    <w:lvl w:ilvl="0" w:tplc="D48A345E">
      <w:start w:val="1"/>
      <w:numFmt w:val="bullet"/>
      <w:lvlText w:val=""/>
      <w:lvlJc w:val="left"/>
      <w:pPr>
        <w:ind w:left="720" w:hanging="360"/>
      </w:pPr>
      <w:rPr>
        <w:rFonts w:ascii="Symbol" w:hAnsi="Symbol" w:hint="default"/>
      </w:rPr>
    </w:lvl>
    <w:lvl w:ilvl="1" w:tplc="774879D2">
      <w:start w:val="1"/>
      <w:numFmt w:val="bullet"/>
      <w:lvlText w:val="o"/>
      <w:lvlJc w:val="left"/>
      <w:pPr>
        <w:ind w:left="1440" w:hanging="360"/>
      </w:pPr>
      <w:rPr>
        <w:rFonts w:ascii="Courier New" w:hAnsi="Courier New" w:hint="default"/>
      </w:rPr>
    </w:lvl>
    <w:lvl w:ilvl="2" w:tplc="FFE8F488">
      <w:start w:val="1"/>
      <w:numFmt w:val="bullet"/>
      <w:lvlText w:val=""/>
      <w:lvlJc w:val="left"/>
      <w:pPr>
        <w:ind w:left="2160" w:hanging="360"/>
      </w:pPr>
      <w:rPr>
        <w:rFonts w:ascii="Wingdings" w:hAnsi="Wingdings" w:hint="default"/>
      </w:rPr>
    </w:lvl>
    <w:lvl w:ilvl="3" w:tplc="CE7A9DA4">
      <w:start w:val="1"/>
      <w:numFmt w:val="bullet"/>
      <w:lvlText w:val=""/>
      <w:lvlJc w:val="left"/>
      <w:pPr>
        <w:ind w:left="2880" w:hanging="360"/>
      </w:pPr>
      <w:rPr>
        <w:rFonts w:ascii="Symbol" w:hAnsi="Symbol" w:hint="default"/>
      </w:rPr>
    </w:lvl>
    <w:lvl w:ilvl="4" w:tplc="48FC4222">
      <w:start w:val="1"/>
      <w:numFmt w:val="bullet"/>
      <w:lvlText w:val="o"/>
      <w:lvlJc w:val="left"/>
      <w:pPr>
        <w:ind w:left="3600" w:hanging="360"/>
      </w:pPr>
      <w:rPr>
        <w:rFonts w:ascii="Courier New" w:hAnsi="Courier New" w:hint="default"/>
      </w:rPr>
    </w:lvl>
    <w:lvl w:ilvl="5" w:tplc="5C6622D2">
      <w:start w:val="1"/>
      <w:numFmt w:val="bullet"/>
      <w:lvlText w:val=""/>
      <w:lvlJc w:val="left"/>
      <w:pPr>
        <w:ind w:left="4320" w:hanging="360"/>
      </w:pPr>
      <w:rPr>
        <w:rFonts w:ascii="Wingdings" w:hAnsi="Wingdings" w:hint="default"/>
      </w:rPr>
    </w:lvl>
    <w:lvl w:ilvl="6" w:tplc="436E34A4">
      <w:start w:val="1"/>
      <w:numFmt w:val="bullet"/>
      <w:lvlText w:val=""/>
      <w:lvlJc w:val="left"/>
      <w:pPr>
        <w:ind w:left="5040" w:hanging="360"/>
      </w:pPr>
      <w:rPr>
        <w:rFonts w:ascii="Symbol" w:hAnsi="Symbol" w:hint="default"/>
      </w:rPr>
    </w:lvl>
    <w:lvl w:ilvl="7" w:tplc="F38E1FE8">
      <w:start w:val="1"/>
      <w:numFmt w:val="bullet"/>
      <w:lvlText w:val="o"/>
      <w:lvlJc w:val="left"/>
      <w:pPr>
        <w:ind w:left="5760" w:hanging="360"/>
      </w:pPr>
      <w:rPr>
        <w:rFonts w:ascii="Courier New" w:hAnsi="Courier New" w:hint="default"/>
      </w:rPr>
    </w:lvl>
    <w:lvl w:ilvl="8" w:tplc="6DFE42F8">
      <w:start w:val="1"/>
      <w:numFmt w:val="bullet"/>
      <w:lvlText w:val=""/>
      <w:lvlJc w:val="left"/>
      <w:pPr>
        <w:ind w:left="6480" w:hanging="360"/>
      </w:pPr>
      <w:rPr>
        <w:rFonts w:ascii="Wingdings" w:hAnsi="Wingdings" w:hint="default"/>
      </w:rPr>
    </w:lvl>
  </w:abstractNum>
  <w:abstractNum w:abstractNumId="26" w15:restartNumberingAfterBreak="0">
    <w:nsid w:val="482C0BE1"/>
    <w:multiLevelType w:val="hybridMultilevel"/>
    <w:tmpl w:val="E67603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964387F"/>
    <w:multiLevelType w:val="hybridMultilevel"/>
    <w:tmpl w:val="6CA68F6A"/>
    <w:lvl w:ilvl="0" w:tplc="99A4B1A4">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4CF1781D"/>
    <w:multiLevelType w:val="hybridMultilevel"/>
    <w:tmpl w:val="8FC275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E530D95"/>
    <w:multiLevelType w:val="hybridMultilevel"/>
    <w:tmpl w:val="2D4AD922"/>
    <w:lvl w:ilvl="0" w:tplc="99A4B1A4">
      <w:start w:val="1"/>
      <w:numFmt w:val="upperLetter"/>
      <w:lvlText w:val="%1."/>
      <w:lvlJc w:val="left"/>
      <w:pPr>
        <w:ind w:left="1530" w:hanging="360"/>
      </w:pPr>
      <w:rPr>
        <w:rFonts w:hint="default"/>
      </w:rPr>
    </w:lvl>
    <w:lvl w:ilvl="1" w:tplc="BB009F4E">
      <w:start w:val="1"/>
      <w:numFmt w:val="decimal"/>
      <w:lvlText w:val="(%2)"/>
      <w:lvlJc w:val="left"/>
      <w:pPr>
        <w:ind w:left="2670" w:hanging="780"/>
      </w:pPr>
      <w:rPr>
        <w:rFonts w:hint="default"/>
      </w:rPr>
    </w:lvl>
    <w:lvl w:ilvl="2" w:tplc="8C868932">
      <w:start w:val="1"/>
      <w:numFmt w:val="decimal"/>
      <w:lvlText w:val="%3."/>
      <w:lvlJc w:val="left"/>
      <w:pPr>
        <w:ind w:left="3150" w:hanging="360"/>
      </w:pPr>
      <w:rPr>
        <w:rFonts w:hint="default"/>
      </w:r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30" w15:restartNumberingAfterBreak="0">
    <w:nsid w:val="511855EF"/>
    <w:multiLevelType w:val="hybridMultilevel"/>
    <w:tmpl w:val="44A6F04C"/>
    <w:lvl w:ilvl="0" w:tplc="04090001">
      <w:start w:val="1"/>
      <w:numFmt w:val="bullet"/>
      <w:lvlText w:val=""/>
      <w:lvlJc w:val="left"/>
      <w:pPr>
        <w:ind w:left="1714" w:hanging="360"/>
      </w:pPr>
      <w:rPr>
        <w:rFonts w:ascii="Symbol" w:hAnsi="Symbol" w:hint="default"/>
      </w:rPr>
    </w:lvl>
    <w:lvl w:ilvl="1" w:tplc="FFFFFFFF" w:tentative="1">
      <w:start w:val="1"/>
      <w:numFmt w:val="bullet"/>
      <w:lvlText w:val="o"/>
      <w:lvlJc w:val="left"/>
      <w:pPr>
        <w:ind w:left="2434" w:hanging="360"/>
      </w:pPr>
      <w:rPr>
        <w:rFonts w:ascii="Courier New" w:hAnsi="Courier New" w:cs="Courier New" w:hint="default"/>
      </w:rPr>
    </w:lvl>
    <w:lvl w:ilvl="2" w:tplc="FFFFFFFF" w:tentative="1">
      <w:start w:val="1"/>
      <w:numFmt w:val="bullet"/>
      <w:lvlText w:val=""/>
      <w:lvlJc w:val="left"/>
      <w:pPr>
        <w:ind w:left="3154" w:hanging="360"/>
      </w:pPr>
      <w:rPr>
        <w:rFonts w:ascii="Wingdings" w:hAnsi="Wingdings" w:hint="default"/>
      </w:rPr>
    </w:lvl>
    <w:lvl w:ilvl="3" w:tplc="FFFFFFFF" w:tentative="1">
      <w:start w:val="1"/>
      <w:numFmt w:val="bullet"/>
      <w:lvlText w:val=""/>
      <w:lvlJc w:val="left"/>
      <w:pPr>
        <w:ind w:left="3874" w:hanging="360"/>
      </w:pPr>
      <w:rPr>
        <w:rFonts w:ascii="Symbol" w:hAnsi="Symbol" w:hint="default"/>
      </w:rPr>
    </w:lvl>
    <w:lvl w:ilvl="4" w:tplc="FFFFFFFF" w:tentative="1">
      <w:start w:val="1"/>
      <w:numFmt w:val="bullet"/>
      <w:lvlText w:val="o"/>
      <w:lvlJc w:val="left"/>
      <w:pPr>
        <w:ind w:left="4594" w:hanging="360"/>
      </w:pPr>
      <w:rPr>
        <w:rFonts w:ascii="Courier New" w:hAnsi="Courier New" w:cs="Courier New" w:hint="default"/>
      </w:rPr>
    </w:lvl>
    <w:lvl w:ilvl="5" w:tplc="FFFFFFFF" w:tentative="1">
      <w:start w:val="1"/>
      <w:numFmt w:val="bullet"/>
      <w:lvlText w:val=""/>
      <w:lvlJc w:val="left"/>
      <w:pPr>
        <w:ind w:left="5314" w:hanging="360"/>
      </w:pPr>
      <w:rPr>
        <w:rFonts w:ascii="Wingdings" w:hAnsi="Wingdings" w:hint="default"/>
      </w:rPr>
    </w:lvl>
    <w:lvl w:ilvl="6" w:tplc="FFFFFFFF" w:tentative="1">
      <w:start w:val="1"/>
      <w:numFmt w:val="bullet"/>
      <w:lvlText w:val=""/>
      <w:lvlJc w:val="left"/>
      <w:pPr>
        <w:ind w:left="6034" w:hanging="360"/>
      </w:pPr>
      <w:rPr>
        <w:rFonts w:ascii="Symbol" w:hAnsi="Symbol" w:hint="default"/>
      </w:rPr>
    </w:lvl>
    <w:lvl w:ilvl="7" w:tplc="FFFFFFFF" w:tentative="1">
      <w:start w:val="1"/>
      <w:numFmt w:val="bullet"/>
      <w:lvlText w:val="o"/>
      <w:lvlJc w:val="left"/>
      <w:pPr>
        <w:ind w:left="6754" w:hanging="360"/>
      </w:pPr>
      <w:rPr>
        <w:rFonts w:ascii="Courier New" w:hAnsi="Courier New" w:cs="Courier New" w:hint="default"/>
      </w:rPr>
    </w:lvl>
    <w:lvl w:ilvl="8" w:tplc="FFFFFFFF" w:tentative="1">
      <w:start w:val="1"/>
      <w:numFmt w:val="bullet"/>
      <w:lvlText w:val=""/>
      <w:lvlJc w:val="left"/>
      <w:pPr>
        <w:ind w:left="7474" w:hanging="360"/>
      </w:pPr>
      <w:rPr>
        <w:rFonts w:ascii="Wingdings" w:hAnsi="Wingdings" w:hint="default"/>
      </w:rPr>
    </w:lvl>
  </w:abstractNum>
  <w:abstractNum w:abstractNumId="31" w15:restartNumberingAfterBreak="0">
    <w:nsid w:val="55B013CB"/>
    <w:multiLevelType w:val="hybridMultilevel"/>
    <w:tmpl w:val="7D140DFA"/>
    <w:lvl w:ilvl="0" w:tplc="99A4B1A4">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594F4B44"/>
    <w:multiLevelType w:val="hybridMultilevel"/>
    <w:tmpl w:val="37981E58"/>
    <w:lvl w:ilvl="0" w:tplc="86A02B0C">
      <w:start w:val="1"/>
      <w:numFmt w:val="bullet"/>
      <w:lvlText w:val=""/>
      <w:lvlJc w:val="left"/>
      <w:pPr>
        <w:ind w:left="720" w:hanging="360"/>
      </w:pPr>
      <w:rPr>
        <w:rFonts w:ascii="Symbol" w:hAnsi="Symbol" w:hint="default"/>
      </w:rPr>
    </w:lvl>
    <w:lvl w:ilvl="1" w:tplc="DED072BC">
      <w:start w:val="1"/>
      <w:numFmt w:val="bullet"/>
      <w:lvlText w:val="o"/>
      <w:lvlJc w:val="left"/>
      <w:pPr>
        <w:ind w:left="1440" w:hanging="360"/>
      </w:pPr>
      <w:rPr>
        <w:rFonts w:ascii="Courier New" w:hAnsi="Courier New" w:hint="default"/>
      </w:rPr>
    </w:lvl>
    <w:lvl w:ilvl="2" w:tplc="1646EFB8">
      <w:start w:val="1"/>
      <w:numFmt w:val="bullet"/>
      <w:lvlText w:val=""/>
      <w:lvlJc w:val="left"/>
      <w:pPr>
        <w:ind w:left="2160" w:hanging="360"/>
      </w:pPr>
      <w:rPr>
        <w:rFonts w:ascii="Wingdings" w:hAnsi="Wingdings" w:hint="default"/>
      </w:rPr>
    </w:lvl>
    <w:lvl w:ilvl="3" w:tplc="1E86741C">
      <w:start w:val="1"/>
      <w:numFmt w:val="bullet"/>
      <w:lvlText w:val=""/>
      <w:lvlJc w:val="left"/>
      <w:pPr>
        <w:ind w:left="2880" w:hanging="360"/>
      </w:pPr>
      <w:rPr>
        <w:rFonts w:ascii="Symbol" w:hAnsi="Symbol" w:hint="default"/>
      </w:rPr>
    </w:lvl>
    <w:lvl w:ilvl="4" w:tplc="DDCEA310">
      <w:start w:val="1"/>
      <w:numFmt w:val="bullet"/>
      <w:lvlText w:val="o"/>
      <w:lvlJc w:val="left"/>
      <w:pPr>
        <w:ind w:left="3600" w:hanging="360"/>
      </w:pPr>
      <w:rPr>
        <w:rFonts w:ascii="Courier New" w:hAnsi="Courier New" w:hint="default"/>
      </w:rPr>
    </w:lvl>
    <w:lvl w:ilvl="5" w:tplc="1B76F70E">
      <w:start w:val="1"/>
      <w:numFmt w:val="bullet"/>
      <w:lvlText w:val=""/>
      <w:lvlJc w:val="left"/>
      <w:pPr>
        <w:ind w:left="4320" w:hanging="360"/>
      </w:pPr>
      <w:rPr>
        <w:rFonts w:ascii="Wingdings" w:hAnsi="Wingdings" w:hint="default"/>
      </w:rPr>
    </w:lvl>
    <w:lvl w:ilvl="6" w:tplc="7E1EA1FA">
      <w:start w:val="1"/>
      <w:numFmt w:val="bullet"/>
      <w:lvlText w:val=""/>
      <w:lvlJc w:val="left"/>
      <w:pPr>
        <w:ind w:left="5040" w:hanging="360"/>
      </w:pPr>
      <w:rPr>
        <w:rFonts w:ascii="Symbol" w:hAnsi="Symbol" w:hint="default"/>
      </w:rPr>
    </w:lvl>
    <w:lvl w:ilvl="7" w:tplc="9886ECF6">
      <w:start w:val="1"/>
      <w:numFmt w:val="bullet"/>
      <w:lvlText w:val="o"/>
      <w:lvlJc w:val="left"/>
      <w:pPr>
        <w:ind w:left="5760" w:hanging="360"/>
      </w:pPr>
      <w:rPr>
        <w:rFonts w:ascii="Courier New" w:hAnsi="Courier New" w:hint="default"/>
      </w:rPr>
    </w:lvl>
    <w:lvl w:ilvl="8" w:tplc="2A44D45E">
      <w:start w:val="1"/>
      <w:numFmt w:val="bullet"/>
      <w:lvlText w:val=""/>
      <w:lvlJc w:val="left"/>
      <w:pPr>
        <w:ind w:left="6480" w:hanging="360"/>
      </w:pPr>
      <w:rPr>
        <w:rFonts w:ascii="Wingdings" w:hAnsi="Wingdings" w:hint="default"/>
      </w:rPr>
    </w:lvl>
  </w:abstractNum>
  <w:abstractNum w:abstractNumId="33" w15:restartNumberingAfterBreak="0">
    <w:nsid w:val="5CD52A29"/>
    <w:multiLevelType w:val="hybridMultilevel"/>
    <w:tmpl w:val="3F18E236"/>
    <w:lvl w:ilvl="0" w:tplc="C25E4392">
      <w:start w:val="1"/>
      <w:numFmt w:val="bullet"/>
      <w:lvlText w:val=""/>
      <w:lvlJc w:val="left"/>
      <w:pPr>
        <w:tabs>
          <w:tab w:val="num" w:pos="720"/>
        </w:tabs>
        <w:ind w:left="720" w:hanging="360"/>
      </w:pPr>
      <w:rPr>
        <w:rFonts w:ascii="Symbol" w:hAnsi="Symbol" w:hint="default"/>
      </w:rPr>
    </w:lvl>
    <w:lvl w:ilvl="1" w:tplc="C03EB972" w:tentative="1">
      <w:start w:val="1"/>
      <w:numFmt w:val="bullet"/>
      <w:lvlText w:val=""/>
      <w:lvlJc w:val="left"/>
      <w:pPr>
        <w:tabs>
          <w:tab w:val="num" w:pos="1440"/>
        </w:tabs>
        <w:ind w:left="1440" w:hanging="360"/>
      </w:pPr>
      <w:rPr>
        <w:rFonts w:ascii="Symbol" w:hAnsi="Symbol" w:hint="default"/>
      </w:rPr>
    </w:lvl>
    <w:lvl w:ilvl="2" w:tplc="F64693A8" w:tentative="1">
      <w:start w:val="1"/>
      <w:numFmt w:val="bullet"/>
      <w:lvlText w:val=""/>
      <w:lvlJc w:val="left"/>
      <w:pPr>
        <w:tabs>
          <w:tab w:val="num" w:pos="2160"/>
        </w:tabs>
        <w:ind w:left="2160" w:hanging="360"/>
      </w:pPr>
      <w:rPr>
        <w:rFonts w:ascii="Symbol" w:hAnsi="Symbol" w:hint="default"/>
      </w:rPr>
    </w:lvl>
    <w:lvl w:ilvl="3" w:tplc="FAB4687A" w:tentative="1">
      <w:start w:val="1"/>
      <w:numFmt w:val="bullet"/>
      <w:lvlText w:val=""/>
      <w:lvlJc w:val="left"/>
      <w:pPr>
        <w:tabs>
          <w:tab w:val="num" w:pos="2880"/>
        </w:tabs>
        <w:ind w:left="2880" w:hanging="360"/>
      </w:pPr>
      <w:rPr>
        <w:rFonts w:ascii="Symbol" w:hAnsi="Symbol" w:hint="default"/>
      </w:rPr>
    </w:lvl>
    <w:lvl w:ilvl="4" w:tplc="A8DCA58A" w:tentative="1">
      <w:start w:val="1"/>
      <w:numFmt w:val="bullet"/>
      <w:lvlText w:val=""/>
      <w:lvlJc w:val="left"/>
      <w:pPr>
        <w:tabs>
          <w:tab w:val="num" w:pos="3600"/>
        </w:tabs>
        <w:ind w:left="3600" w:hanging="360"/>
      </w:pPr>
      <w:rPr>
        <w:rFonts w:ascii="Symbol" w:hAnsi="Symbol" w:hint="default"/>
      </w:rPr>
    </w:lvl>
    <w:lvl w:ilvl="5" w:tplc="4D286206" w:tentative="1">
      <w:start w:val="1"/>
      <w:numFmt w:val="bullet"/>
      <w:lvlText w:val=""/>
      <w:lvlJc w:val="left"/>
      <w:pPr>
        <w:tabs>
          <w:tab w:val="num" w:pos="4320"/>
        </w:tabs>
        <w:ind w:left="4320" w:hanging="360"/>
      </w:pPr>
      <w:rPr>
        <w:rFonts w:ascii="Symbol" w:hAnsi="Symbol" w:hint="default"/>
      </w:rPr>
    </w:lvl>
    <w:lvl w:ilvl="6" w:tplc="0EFAE6D2" w:tentative="1">
      <w:start w:val="1"/>
      <w:numFmt w:val="bullet"/>
      <w:lvlText w:val=""/>
      <w:lvlJc w:val="left"/>
      <w:pPr>
        <w:tabs>
          <w:tab w:val="num" w:pos="5040"/>
        </w:tabs>
        <w:ind w:left="5040" w:hanging="360"/>
      </w:pPr>
      <w:rPr>
        <w:rFonts w:ascii="Symbol" w:hAnsi="Symbol" w:hint="default"/>
      </w:rPr>
    </w:lvl>
    <w:lvl w:ilvl="7" w:tplc="8F46ED7A" w:tentative="1">
      <w:start w:val="1"/>
      <w:numFmt w:val="bullet"/>
      <w:lvlText w:val=""/>
      <w:lvlJc w:val="left"/>
      <w:pPr>
        <w:tabs>
          <w:tab w:val="num" w:pos="5760"/>
        </w:tabs>
        <w:ind w:left="5760" w:hanging="360"/>
      </w:pPr>
      <w:rPr>
        <w:rFonts w:ascii="Symbol" w:hAnsi="Symbol" w:hint="default"/>
      </w:rPr>
    </w:lvl>
    <w:lvl w:ilvl="8" w:tplc="F228962C" w:tentative="1">
      <w:start w:val="1"/>
      <w:numFmt w:val="bullet"/>
      <w:lvlText w:val=""/>
      <w:lvlJc w:val="left"/>
      <w:pPr>
        <w:tabs>
          <w:tab w:val="num" w:pos="6480"/>
        </w:tabs>
        <w:ind w:left="6480" w:hanging="360"/>
      </w:pPr>
      <w:rPr>
        <w:rFonts w:ascii="Symbol" w:hAnsi="Symbol" w:hint="default"/>
      </w:rPr>
    </w:lvl>
  </w:abstractNum>
  <w:abstractNum w:abstractNumId="34" w15:restartNumberingAfterBreak="0">
    <w:nsid w:val="5F1A2BD1"/>
    <w:multiLevelType w:val="hybridMultilevel"/>
    <w:tmpl w:val="EA94D840"/>
    <w:lvl w:ilvl="0" w:tplc="E7BCC2F6">
      <w:numFmt w:val="bullet"/>
      <w:lvlText w:val="•"/>
      <w:lvlJc w:val="left"/>
      <w:pPr>
        <w:ind w:left="1080" w:hanging="72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610E2A36"/>
    <w:multiLevelType w:val="hybridMultilevel"/>
    <w:tmpl w:val="8FE257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8B0271"/>
    <w:multiLevelType w:val="hybridMultilevel"/>
    <w:tmpl w:val="97F2BF1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660B1157"/>
    <w:multiLevelType w:val="hybridMultilevel"/>
    <w:tmpl w:val="CD2A71A2"/>
    <w:lvl w:ilvl="0" w:tplc="E200B88E">
      <w:start w:val="1"/>
      <w:numFmt w:val="bullet"/>
      <w:lvlText w:val=""/>
      <w:lvlJc w:val="left"/>
      <w:pPr>
        <w:tabs>
          <w:tab w:val="num" w:pos="720"/>
        </w:tabs>
        <w:ind w:left="720" w:hanging="360"/>
      </w:pPr>
      <w:rPr>
        <w:rFonts w:ascii="Symbol" w:hAnsi="Symbol" w:hint="default"/>
      </w:rPr>
    </w:lvl>
    <w:lvl w:ilvl="1" w:tplc="C2B05188" w:tentative="1">
      <w:start w:val="1"/>
      <w:numFmt w:val="bullet"/>
      <w:lvlText w:val=""/>
      <w:lvlJc w:val="left"/>
      <w:pPr>
        <w:tabs>
          <w:tab w:val="num" w:pos="1440"/>
        </w:tabs>
        <w:ind w:left="1440" w:hanging="360"/>
      </w:pPr>
      <w:rPr>
        <w:rFonts w:ascii="Symbol" w:hAnsi="Symbol" w:hint="default"/>
      </w:rPr>
    </w:lvl>
    <w:lvl w:ilvl="2" w:tplc="421A4250" w:tentative="1">
      <w:start w:val="1"/>
      <w:numFmt w:val="bullet"/>
      <w:lvlText w:val=""/>
      <w:lvlJc w:val="left"/>
      <w:pPr>
        <w:tabs>
          <w:tab w:val="num" w:pos="2160"/>
        </w:tabs>
        <w:ind w:left="2160" w:hanging="360"/>
      </w:pPr>
      <w:rPr>
        <w:rFonts w:ascii="Symbol" w:hAnsi="Symbol" w:hint="default"/>
      </w:rPr>
    </w:lvl>
    <w:lvl w:ilvl="3" w:tplc="48AECABC" w:tentative="1">
      <w:start w:val="1"/>
      <w:numFmt w:val="bullet"/>
      <w:lvlText w:val=""/>
      <w:lvlJc w:val="left"/>
      <w:pPr>
        <w:tabs>
          <w:tab w:val="num" w:pos="2880"/>
        </w:tabs>
        <w:ind w:left="2880" w:hanging="360"/>
      </w:pPr>
      <w:rPr>
        <w:rFonts w:ascii="Symbol" w:hAnsi="Symbol" w:hint="default"/>
      </w:rPr>
    </w:lvl>
    <w:lvl w:ilvl="4" w:tplc="091E0950" w:tentative="1">
      <w:start w:val="1"/>
      <w:numFmt w:val="bullet"/>
      <w:lvlText w:val=""/>
      <w:lvlJc w:val="left"/>
      <w:pPr>
        <w:tabs>
          <w:tab w:val="num" w:pos="3600"/>
        </w:tabs>
        <w:ind w:left="3600" w:hanging="360"/>
      </w:pPr>
      <w:rPr>
        <w:rFonts w:ascii="Symbol" w:hAnsi="Symbol" w:hint="default"/>
      </w:rPr>
    </w:lvl>
    <w:lvl w:ilvl="5" w:tplc="97E267E8" w:tentative="1">
      <w:start w:val="1"/>
      <w:numFmt w:val="bullet"/>
      <w:lvlText w:val=""/>
      <w:lvlJc w:val="left"/>
      <w:pPr>
        <w:tabs>
          <w:tab w:val="num" w:pos="4320"/>
        </w:tabs>
        <w:ind w:left="4320" w:hanging="360"/>
      </w:pPr>
      <w:rPr>
        <w:rFonts w:ascii="Symbol" w:hAnsi="Symbol" w:hint="default"/>
      </w:rPr>
    </w:lvl>
    <w:lvl w:ilvl="6" w:tplc="BA446818" w:tentative="1">
      <w:start w:val="1"/>
      <w:numFmt w:val="bullet"/>
      <w:lvlText w:val=""/>
      <w:lvlJc w:val="left"/>
      <w:pPr>
        <w:tabs>
          <w:tab w:val="num" w:pos="5040"/>
        </w:tabs>
        <w:ind w:left="5040" w:hanging="360"/>
      </w:pPr>
      <w:rPr>
        <w:rFonts w:ascii="Symbol" w:hAnsi="Symbol" w:hint="default"/>
      </w:rPr>
    </w:lvl>
    <w:lvl w:ilvl="7" w:tplc="CA3AD192" w:tentative="1">
      <w:start w:val="1"/>
      <w:numFmt w:val="bullet"/>
      <w:lvlText w:val=""/>
      <w:lvlJc w:val="left"/>
      <w:pPr>
        <w:tabs>
          <w:tab w:val="num" w:pos="5760"/>
        </w:tabs>
        <w:ind w:left="5760" w:hanging="360"/>
      </w:pPr>
      <w:rPr>
        <w:rFonts w:ascii="Symbol" w:hAnsi="Symbol" w:hint="default"/>
      </w:rPr>
    </w:lvl>
    <w:lvl w:ilvl="8" w:tplc="8A06A3D6" w:tentative="1">
      <w:start w:val="1"/>
      <w:numFmt w:val="bullet"/>
      <w:lvlText w:val=""/>
      <w:lvlJc w:val="left"/>
      <w:pPr>
        <w:tabs>
          <w:tab w:val="num" w:pos="6480"/>
        </w:tabs>
        <w:ind w:left="6480" w:hanging="360"/>
      </w:pPr>
      <w:rPr>
        <w:rFonts w:ascii="Symbol" w:hAnsi="Symbol" w:hint="default"/>
      </w:rPr>
    </w:lvl>
  </w:abstractNum>
  <w:abstractNum w:abstractNumId="38" w15:restartNumberingAfterBreak="0">
    <w:nsid w:val="66FC30A7"/>
    <w:multiLevelType w:val="hybridMultilevel"/>
    <w:tmpl w:val="5B621FF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68D50595"/>
    <w:multiLevelType w:val="hybridMultilevel"/>
    <w:tmpl w:val="A13C14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6B98DF3D"/>
    <w:multiLevelType w:val="hybridMultilevel"/>
    <w:tmpl w:val="99D0466C"/>
    <w:lvl w:ilvl="0" w:tplc="03D66568">
      <w:start w:val="1"/>
      <w:numFmt w:val="lowerLetter"/>
      <w:lvlText w:val="%1."/>
      <w:lvlJc w:val="left"/>
      <w:pPr>
        <w:ind w:left="720" w:hanging="360"/>
      </w:pPr>
    </w:lvl>
    <w:lvl w:ilvl="1" w:tplc="E54E84F6">
      <w:start w:val="1"/>
      <w:numFmt w:val="lowerLetter"/>
      <w:lvlText w:val="%2."/>
      <w:lvlJc w:val="left"/>
      <w:pPr>
        <w:ind w:left="1440" w:hanging="360"/>
      </w:pPr>
    </w:lvl>
    <w:lvl w:ilvl="2" w:tplc="64547A6A">
      <w:start w:val="1"/>
      <w:numFmt w:val="lowerRoman"/>
      <w:lvlText w:val="%3."/>
      <w:lvlJc w:val="right"/>
      <w:pPr>
        <w:ind w:left="2160" w:hanging="180"/>
      </w:pPr>
    </w:lvl>
    <w:lvl w:ilvl="3" w:tplc="B09AB2BA">
      <w:start w:val="1"/>
      <w:numFmt w:val="decimal"/>
      <w:lvlText w:val="%4."/>
      <w:lvlJc w:val="left"/>
      <w:pPr>
        <w:ind w:left="2880" w:hanging="360"/>
      </w:pPr>
    </w:lvl>
    <w:lvl w:ilvl="4" w:tplc="09043258">
      <w:start w:val="1"/>
      <w:numFmt w:val="lowerLetter"/>
      <w:lvlText w:val="%5."/>
      <w:lvlJc w:val="left"/>
      <w:pPr>
        <w:ind w:left="3600" w:hanging="360"/>
      </w:pPr>
    </w:lvl>
    <w:lvl w:ilvl="5" w:tplc="A6FA6E2C">
      <w:start w:val="1"/>
      <w:numFmt w:val="lowerRoman"/>
      <w:lvlText w:val="%6."/>
      <w:lvlJc w:val="right"/>
      <w:pPr>
        <w:ind w:left="4320" w:hanging="180"/>
      </w:pPr>
    </w:lvl>
    <w:lvl w:ilvl="6" w:tplc="1C7619F0">
      <w:start w:val="1"/>
      <w:numFmt w:val="decimal"/>
      <w:lvlText w:val="%7."/>
      <w:lvlJc w:val="left"/>
      <w:pPr>
        <w:ind w:left="5040" w:hanging="360"/>
      </w:pPr>
    </w:lvl>
    <w:lvl w:ilvl="7" w:tplc="64F8DBB4">
      <w:start w:val="1"/>
      <w:numFmt w:val="lowerLetter"/>
      <w:lvlText w:val="%8."/>
      <w:lvlJc w:val="left"/>
      <w:pPr>
        <w:ind w:left="5760" w:hanging="360"/>
      </w:pPr>
    </w:lvl>
    <w:lvl w:ilvl="8" w:tplc="20C0E25C">
      <w:start w:val="1"/>
      <w:numFmt w:val="lowerRoman"/>
      <w:lvlText w:val="%9."/>
      <w:lvlJc w:val="right"/>
      <w:pPr>
        <w:ind w:left="6480" w:hanging="180"/>
      </w:pPr>
    </w:lvl>
  </w:abstractNum>
  <w:abstractNum w:abstractNumId="41" w15:restartNumberingAfterBreak="0">
    <w:nsid w:val="6BA555F5"/>
    <w:multiLevelType w:val="hybridMultilevel"/>
    <w:tmpl w:val="2FE85B60"/>
    <w:lvl w:ilvl="0" w:tplc="04090015">
      <w:start w:val="1"/>
      <w:numFmt w:val="upperLetter"/>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BD80F77"/>
    <w:multiLevelType w:val="hybridMultilevel"/>
    <w:tmpl w:val="19CAAE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EB901C5"/>
    <w:multiLevelType w:val="hybridMultilevel"/>
    <w:tmpl w:val="01EC3B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45C392B"/>
    <w:multiLevelType w:val="hybridMultilevel"/>
    <w:tmpl w:val="C0BA2A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5080D09"/>
    <w:multiLevelType w:val="hybridMultilevel"/>
    <w:tmpl w:val="9E1E5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5B56BC2"/>
    <w:multiLevelType w:val="hybridMultilevel"/>
    <w:tmpl w:val="92042A9C"/>
    <w:lvl w:ilvl="0" w:tplc="01F092C2">
      <w:start w:val="1"/>
      <w:numFmt w:val="bullet"/>
      <w:lvlText w:val="·"/>
      <w:lvlJc w:val="left"/>
      <w:pPr>
        <w:ind w:left="720" w:hanging="360"/>
      </w:pPr>
      <w:rPr>
        <w:rFonts w:ascii="Symbol" w:hAnsi="Symbol" w:hint="default"/>
      </w:rPr>
    </w:lvl>
    <w:lvl w:ilvl="1" w:tplc="97D8DEDC">
      <w:start w:val="1"/>
      <w:numFmt w:val="bullet"/>
      <w:lvlText w:val="o"/>
      <w:lvlJc w:val="left"/>
      <w:pPr>
        <w:ind w:left="1440" w:hanging="360"/>
      </w:pPr>
      <w:rPr>
        <w:rFonts w:ascii="Courier New" w:hAnsi="Courier New" w:hint="default"/>
      </w:rPr>
    </w:lvl>
    <w:lvl w:ilvl="2" w:tplc="1F2C66EE">
      <w:start w:val="1"/>
      <w:numFmt w:val="bullet"/>
      <w:lvlText w:val=""/>
      <w:lvlJc w:val="left"/>
      <w:pPr>
        <w:ind w:left="2160" w:hanging="360"/>
      </w:pPr>
      <w:rPr>
        <w:rFonts w:ascii="Wingdings" w:hAnsi="Wingdings" w:hint="default"/>
      </w:rPr>
    </w:lvl>
    <w:lvl w:ilvl="3" w:tplc="3816EB26">
      <w:start w:val="1"/>
      <w:numFmt w:val="bullet"/>
      <w:lvlText w:val=""/>
      <w:lvlJc w:val="left"/>
      <w:pPr>
        <w:ind w:left="2880" w:hanging="360"/>
      </w:pPr>
      <w:rPr>
        <w:rFonts w:ascii="Symbol" w:hAnsi="Symbol" w:hint="default"/>
      </w:rPr>
    </w:lvl>
    <w:lvl w:ilvl="4" w:tplc="948EA2FA">
      <w:start w:val="1"/>
      <w:numFmt w:val="bullet"/>
      <w:lvlText w:val="o"/>
      <w:lvlJc w:val="left"/>
      <w:pPr>
        <w:ind w:left="3600" w:hanging="360"/>
      </w:pPr>
      <w:rPr>
        <w:rFonts w:ascii="Courier New" w:hAnsi="Courier New" w:hint="default"/>
      </w:rPr>
    </w:lvl>
    <w:lvl w:ilvl="5" w:tplc="041ADA82">
      <w:start w:val="1"/>
      <w:numFmt w:val="bullet"/>
      <w:lvlText w:val=""/>
      <w:lvlJc w:val="left"/>
      <w:pPr>
        <w:ind w:left="4320" w:hanging="360"/>
      </w:pPr>
      <w:rPr>
        <w:rFonts w:ascii="Wingdings" w:hAnsi="Wingdings" w:hint="default"/>
      </w:rPr>
    </w:lvl>
    <w:lvl w:ilvl="6" w:tplc="2A904C7E">
      <w:start w:val="1"/>
      <w:numFmt w:val="bullet"/>
      <w:lvlText w:val=""/>
      <w:lvlJc w:val="left"/>
      <w:pPr>
        <w:ind w:left="5040" w:hanging="360"/>
      </w:pPr>
      <w:rPr>
        <w:rFonts w:ascii="Symbol" w:hAnsi="Symbol" w:hint="default"/>
      </w:rPr>
    </w:lvl>
    <w:lvl w:ilvl="7" w:tplc="017408BC">
      <w:start w:val="1"/>
      <w:numFmt w:val="bullet"/>
      <w:lvlText w:val="o"/>
      <w:lvlJc w:val="left"/>
      <w:pPr>
        <w:ind w:left="5760" w:hanging="360"/>
      </w:pPr>
      <w:rPr>
        <w:rFonts w:ascii="Courier New" w:hAnsi="Courier New" w:hint="default"/>
      </w:rPr>
    </w:lvl>
    <w:lvl w:ilvl="8" w:tplc="7D7A290C">
      <w:start w:val="1"/>
      <w:numFmt w:val="bullet"/>
      <w:lvlText w:val=""/>
      <w:lvlJc w:val="left"/>
      <w:pPr>
        <w:ind w:left="6480" w:hanging="360"/>
      </w:pPr>
      <w:rPr>
        <w:rFonts w:ascii="Wingdings" w:hAnsi="Wingdings" w:hint="default"/>
      </w:rPr>
    </w:lvl>
  </w:abstractNum>
  <w:abstractNum w:abstractNumId="47" w15:restartNumberingAfterBreak="0">
    <w:nsid w:val="7DB37EB6"/>
    <w:multiLevelType w:val="hybridMultilevel"/>
    <w:tmpl w:val="BF300DB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150565975">
    <w:abstractNumId w:val="46"/>
  </w:num>
  <w:num w:numId="2" w16cid:durableId="1272131316">
    <w:abstractNumId w:val="40"/>
  </w:num>
  <w:num w:numId="3" w16cid:durableId="1692144529">
    <w:abstractNumId w:val="20"/>
  </w:num>
  <w:num w:numId="4" w16cid:durableId="2036809579">
    <w:abstractNumId w:val="25"/>
  </w:num>
  <w:num w:numId="5" w16cid:durableId="1664701499">
    <w:abstractNumId w:val="32"/>
  </w:num>
  <w:num w:numId="6" w16cid:durableId="1717730012">
    <w:abstractNumId w:val="15"/>
  </w:num>
  <w:num w:numId="7" w16cid:durableId="1747148133">
    <w:abstractNumId w:val="17"/>
  </w:num>
  <w:num w:numId="8" w16cid:durableId="444543998">
    <w:abstractNumId w:val="3"/>
  </w:num>
  <w:num w:numId="9" w16cid:durableId="367877180">
    <w:abstractNumId w:val="2"/>
  </w:num>
  <w:num w:numId="10" w16cid:durableId="1592788">
    <w:abstractNumId w:val="1"/>
  </w:num>
  <w:num w:numId="11" w16cid:durableId="1360887187">
    <w:abstractNumId w:val="0"/>
  </w:num>
  <w:num w:numId="12" w16cid:durableId="1252618181">
    <w:abstractNumId w:val="4"/>
  </w:num>
  <w:num w:numId="13" w16cid:durableId="331681242">
    <w:abstractNumId w:val="14"/>
  </w:num>
  <w:num w:numId="14" w16cid:durableId="151718776">
    <w:abstractNumId w:val="35"/>
  </w:num>
  <w:num w:numId="15" w16cid:durableId="617489877">
    <w:abstractNumId w:val="5"/>
  </w:num>
  <w:num w:numId="16" w16cid:durableId="973826115">
    <w:abstractNumId w:val="39"/>
  </w:num>
  <w:num w:numId="17" w16cid:durableId="654920448">
    <w:abstractNumId w:val="11"/>
  </w:num>
  <w:num w:numId="18" w16cid:durableId="860823392">
    <w:abstractNumId w:val="34"/>
  </w:num>
  <w:num w:numId="19" w16cid:durableId="703094631">
    <w:abstractNumId w:val="18"/>
  </w:num>
  <w:num w:numId="20" w16cid:durableId="2002271677">
    <w:abstractNumId w:val="29"/>
  </w:num>
  <w:num w:numId="21" w16cid:durableId="1637370809">
    <w:abstractNumId w:val="24"/>
  </w:num>
  <w:num w:numId="22" w16cid:durableId="1243949841">
    <w:abstractNumId w:val="38"/>
  </w:num>
  <w:num w:numId="23" w16cid:durableId="1945451737">
    <w:abstractNumId w:val="30"/>
  </w:num>
  <w:num w:numId="24" w16cid:durableId="1142504324">
    <w:abstractNumId w:val="47"/>
  </w:num>
  <w:num w:numId="25" w16cid:durableId="316571017">
    <w:abstractNumId w:val="21"/>
  </w:num>
  <w:num w:numId="26" w16cid:durableId="1398430209">
    <w:abstractNumId w:val="8"/>
  </w:num>
  <w:num w:numId="27" w16cid:durableId="2043087990">
    <w:abstractNumId w:val="28"/>
  </w:num>
  <w:num w:numId="28" w16cid:durableId="2111585119">
    <w:abstractNumId w:val="45"/>
  </w:num>
  <w:num w:numId="29" w16cid:durableId="1313022885">
    <w:abstractNumId w:val="16"/>
  </w:num>
  <w:num w:numId="30" w16cid:durableId="1621952521">
    <w:abstractNumId w:val="6"/>
  </w:num>
  <w:num w:numId="31" w16cid:durableId="2048943555">
    <w:abstractNumId w:val="26"/>
  </w:num>
  <w:num w:numId="32" w16cid:durableId="1605457725">
    <w:abstractNumId w:val="10"/>
  </w:num>
  <w:num w:numId="33" w16cid:durableId="874586793">
    <w:abstractNumId w:val="43"/>
  </w:num>
  <w:num w:numId="34" w16cid:durableId="730467588">
    <w:abstractNumId w:val="44"/>
  </w:num>
  <w:num w:numId="35" w16cid:durableId="613173722">
    <w:abstractNumId w:val="42"/>
  </w:num>
  <w:num w:numId="36" w16cid:durableId="1758474931">
    <w:abstractNumId w:val="36"/>
  </w:num>
  <w:num w:numId="37" w16cid:durableId="1213343641">
    <w:abstractNumId w:val="9"/>
  </w:num>
  <w:num w:numId="38" w16cid:durableId="140928242">
    <w:abstractNumId w:val="41"/>
  </w:num>
  <w:num w:numId="39" w16cid:durableId="551888008">
    <w:abstractNumId w:val="27"/>
  </w:num>
  <w:num w:numId="40" w16cid:durableId="5060279">
    <w:abstractNumId w:val="31"/>
  </w:num>
  <w:num w:numId="41" w16cid:durableId="1406997728">
    <w:abstractNumId w:val="13"/>
  </w:num>
  <w:num w:numId="42" w16cid:durableId="285359794">
    <w:abstractNumId w:val="19"/>
  </w:num>
  <w:num w:numId="43" w16cid:durableId="799685803">
    <w:abstractNumId w:val="12"/>
  </w:num>
  <w:num w:numId="44" w16cid:durableId="1729717282">
    <w:abstractNumId w:val="37"/>
  </w:num>
  <w:num w:numId="45" w16cid:durableId="256134288">
    <w:abstractNumId w:val="33"/>
  </w:num>
  <w:num w:numId="46" w16cid:durableId="393507808">
    <w:abstractNumId w:val="23"/>
  </w:num>
  <w:num w:numId="47" w16cid:durableId="46338271">
    <w:abstractNumId w:val="7"/>
  </w:num>
  <w:num w:numId="48" w16cid:durableId="508251529">
    <w:abstractNumId w:val="2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DateAndTime/>
  <w:proofState w:spelling="clean" w:grammar="clean"/>
  <w:attachedTemplate r:id="rId1"/>
  <w:defaultTabStop w:val="720"/>
  <w:drawingGridHorizontalSpacing w:val="115"/>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08FE"/>
    <w:rsid w:val="00000A39"/>
    <w:rsid w:val="00001D4F"/>
    <w:rsid w:val="00001FEA"/>
    <w:rsid w:val="00002237"/>
    <w:rsid w:val="000024AF"/>
    <w:rsid w:val="00002A31"/>
    <w:rsid w:val="000034F7"/>
    <w:rsid w:val="0000428D"/>
    <w:rsid w:val="00004DF9"/>
    <w:rsid w:val="00005553"/>
    <w:rsid w:val="000055CF"/>
    <w:rsid w:val="000056CB"/>
    <w:rsid w:val="00005F27"/>
    <w:rsid w:val="00006172"/>
    <w:rsid w:val="000065BC"/>
    <w:rsid w:val="0000790B"/>
    <w:rsid w:val="00007A64"/>
    <w:rsid w:val="00007AD8"/>
    <w:rsid w:val="0000A575"/>
    <w:rsid w:val="00010130"/>
    <w:rsid w:val="000105C2"/>
    <w:rsid w:val="00010C9F"/>
    <w:rsid w:val="00010D12"/>
    <w:rsid w:val="00011941"/>
    <w:rsid w:val="000119F1"/>
    <w:rsid w:val="00013311"/>
    <w:rsid w:val="00013ADF"/>
    <w:rsid w:val="0001438F"/>
    <w:rsid w:val="00014692"/>
    <w:rsid w:val="00015076"/>
    <w:rsid w:val="000151EC"/>
    <w:rsid w:val="0001531F"/>
    <w:rsid w:val="0001541D"/>
    <w:rsid w:val="000166F8"/>
    <w:rsid w:val="0001794E"/>
    <w:rsid w:val="00020479"/>
    <w:rsid w:val="00021BED"/>
    <w:rsid w:val="00022AB1"/>
    <w:rsid w:val="00023DE6"/>
    <w:rsid w:val="000242A7"/>
    <w:rsid w:val="000246AE"/>
    <w:rsid w:val="00024F47"/>
    <w:rsid w:val="00025E9F"/>
    <w:rsid w:val="00025F45"/>
    <w:rsid w:val="00026013"/>
    <w:rsid w:val="00026E50"/>
    <w:rsid w:val="00027551"/>
    <w:rsid w:val="00027BF8"/>
    <w:rsid w:val="00027E6A"/>
    <w:rsid w:val="0003066C"/>
    <w:rsid w:val="00030B7E"/>
    <w:rsid w:val="00031334"/>
    <w:rsid w:val="000315B7"/>
    <w:rsid w:val="00032121"/>
    <w:rsid w:val="00032AC8"/>
    <w:rsid w:val="00033CC0"/>
    <w:rsid w:val="00033E3C"/>
    <w:rsid w:val="00033F88"/>
    <w:rsid w:val="0003440F"/>
    <w:rsid w:val="00034F5B"/>
    <w:rsid w:val="00035D13"/>
    <w:rsid w:val="00036041"/>
    <w:rsid w:val="00037915"/>
    <w:rsid w:val="00037B74"/>
    <w:rsid w:val="0004115A"/>
    <w:rsid w:val="00041554"/>
    <w:rsid w:val="00042169"/>
    <w:rsid w:val="00044499"/>
    <w:rsid w:val="000445CC"/>
    <w:rsid w:val="00044C77"/>
    <w:rsid w:val="00045AF8"/>
    <w:rsid w:val="00045C78"/>
    <w:rsid w:val="000474C8"/>
    <w:rsid w:val="000509F0"/>
    <w:rsid w:val="00051097"/>
    <w:rsid w:val="00053050"/>
    <w:rsid w:val="000535C9"/>
    <w:rsid w:val="00054166"/>
    <w:rsid w:val="00054AB2"/>
    <w:rsid w:val="00054CC8"/>
    <w:rsid w:val="000554FF"/>
    <w:rsid w:val="00055E1E"/>
    <w:rsid w:val="00057740"/>
    <w:rsid w:val="00057A72"/>
    <w:rsid w:val="000619A9"/>
    <w:rsid w:val="00061B2C"/>
    <w:rsid w:val="00062A6F"/>
    <w:rsid w:val="00062DA9"/>
    <w:rsid w:val="00062E8D"/>
    <w:rsid w:val="00063146"/>
    <w:rsid w:val="00063433"/>
    <w:rsid w:val="000640AC"/>
    <w:rsid w:val="00064404"/>
    <w:rsid w:val="00064753"/>
    <w:rsid w:val="00065439"/>
    <w:rsid w:val="00065563"/>
    <w:rsid w:val="00066E71"/>
    <w:rsid w:val="00066EC7"/>
    <w:rsid w:val="0006730A"/>
    <w:rsid w:val="000714B6"/>
    <w:rsid w:val="000714EB"/>
    <w:rsid w:val="00072223"/>
    <w:rsid w:val="0007239C"/>
    <w:rsid w:val="000739AE"/>
    <w:rsid w:val="0007452C"/>
    <w:rsid w:val="00074B5C"/>
    <w:rsid w:val="00074C0D"/>
    <w:rsid w:val="00074E18"/>
    <w:rsid w:val="00075159"/>
    <w:rsid w:val="000769AB"/>
    <w:rsid w:val="00076AB9"/>
    <w:rsid w:val="00077991"/>
    <w:rsid w:val="00077EE4"/>
    <w:rsid w:val="00080091"/>
    <w:rsid w:val="00080172"/>
    <w:rsid w:val="00080E1F"/>
    <w:rsid w:val="0008303E"/>
    <w:rsid w:val="0008362B"/>
    <w:rsid w:val="0008390A"/>
    <w:rsid w:val="000847DA"/>
    <w:rsid w:val="00084A93"/>
    <w:rsid w:val="00084BB5"/>
    <w:rsid w:val="000852C7"/>
    <w:rsid w:val="000856E4"/>
    <w:rsid w:val="00085E9F"/>
    <w:rsid w:val="00086306"/>
    <w:rsid w:val="000865A8"/>
    <w:rsid w:val="0008699F"/>
    <w:rsid w:val="00090F31"/>
    <w:rsid w:val="000919DA"/>
    <w:rsid w:val="00091E60"/>
    <w:rsid w:val="00093632"/>
    <w:rsid w:val="00093E6F"/>
    <w:rsid w:val="00093F94"/>
    <w:rsid w:val="00096D61"/>
    <w:rsid w:val="000976CC"/>
    <w:rsid w:val="000A022E"/>
    <w:rsid w:val="000A03CF"/>
    <w:rsid w:val="000A0531"/>
    <w:rsid w:val="000A0D17"/>
    <w:rsid w:val="000A224E"/>
    <w:rsid w:val="000A2776"/>
    <w:rsid w:val="000A296A"/>
    <w:rsid w:val="000A46F8"/>
    <w:rsid w:val="000A49B4"/>
    <w:rsid w:val="000A4B1C"/>
    <w:rsid w:val="000A515F"/>
    <w:rsid w:val="000A556A"/>
    <w:rsid w:val="000A570C"/>
    <w:rsid w:val="000A599F"/>
    <w:rsid w:val="000A60E8"/>
    <w:rsid w:val="000A743A"/>
    <w:rsid w:val="000A7AE7"/>
    <w:rsid w:val="000A7DF6"/>
    <w:rsid w:val="000B0C16"/>
    <w:rsid w:val="000B1357"/>
    <w:rsid w:val="000B2095"/>
    <w:rsid w:val="000B272F"/>
    <w:rsid w:val="000B2C06"/>
    <w:rsid w:val="000B35CE"/>
    <w:rsid w:val="000B35F8"/>
    <w:rsid w:val="000B4FF4"/>
    <w:rsid w:val="000B501E"/>
    <w:rsid w:val="000B74B2"/>
    <w:rsid w:val="000B759B"/>
    <w:rsid w:val="000B7BEE"/>
    <w:rsid w:val="000C09C6"/>
    <w:rsid w:val="000C0D41"/>
    <w:rsid w:val="000C14D9"/>
    <w:rsid w:val="000C1C34"/>
    <w:rsid w:val="000C21F0"/>
    <w:rsid w:val="000C27AD"/>
    <w:rsid w:val="000C2E35"/>
    <w:rsid w:val="000C448E"/>
    <w:rsid w:val="000C64E3"/>
    <w:rsid w:val="000C6EA5"/>
    <w:rsid w:val="000C701A"/>
    <w:rsid w:val="000C74EC"/>
    <w:rsid w:val="000D055E"/>
    <w:rsid w:val="000D06F2"/>
    <w:rsid w:val="000D0D1E"/>
    <w:rsid w:val="000D261D"/>
    <w:rsid w:val="000D28D2"/>
    <w:rsid w:val="000D2AD5"/>
    <w:rsid w:val="000D3939"/>
    <w:rsid w:val="000D3A84"/>
    <w:rsid w:val="000D49CA"/>
    <w:rsid w:val="000D52A3"/>
    <w:rsid w:val="000D568C"/>
    <w:rsid w:val="000D5A4D"/>
    <w:rsid w:val="000D5C4E"/>
    <w:rsid w:val="000D5CFA"/>
    <w:rsid w:val="000D61DD"/>
    <w:rsid w:val="000D6F4E"/>
    <w:rsid w:val="000D776C"/>
    <w:rsid w:val="000E00FB"/>
    <w:rsid w:val="000E039D"/>
    <w:rsid w:val="000E116E"/>
    <w:rsid w:val="000E14A8"/>
    <w:rsid w:val="000E2B1E"/>
    <w:rsid w:val="000E2BBA"/>
    <w:rsid w:val="000E2D10"/>
    <w:rsid w:val="000E2F28"/>
    <w:rsid w:val="000E3947"/>
    <w:rsid w:val="000E403C"/>
    <w:rsid w:val="000E478D"/>
    <w:rsid w:val="000E47EC"/>
    <w:rsid w:val="000E4F9E"/>
    <w:rsid w:val="000E5913"/>
    <w:rsid w:val="000E6746"/>
    <w:rsid w:val="000E7038"/>
    <w:rsid w:val="000E7913"/>
    <w:rsid w:val="000F12AD"/>
    <w:rsid w:val="000F1499"/>
    <w:rsid w:val="000F3898"/>
    <w:rsid w:val="000F4977"/>
    <w:rsid w:val="000F4A2D"/>
    <w:rsid w:val="000F4CC3"/>
    <w:rsid w:val="000F5467"/>
    <w:rsid w:val="000F5692"/>
    <w:rsid w:val="000F5C47"/>
    <w:rsid w:val="000F6039"/>
    <w:rsid w:val="000F6CEE"/>
    <w:rsid w:val="000F700C"/>
    <w:rsid w:val="000F76E3"/>
    <w:rsid w:val="000F7845"/>
    <w:rsid w:val="000F7864"/>
    <w:rsid w:val="000F7DA5"/>
    <w:rsid w:val="000F7EB5"/>
    <w:rsid w:val="00100680"/>
    <w:rsid w:val="0010325F"/>
    <w:rsid w:val="001041E3"/>
    <w:rsid w:val="0010478F"/>
    <w:rsid w:val="00104793"/>
    <w:rsid w:val="00105755"/>
    <w:rsid w:val="0010672A"/>
    <w:rsid w:val="00107060"/>
    <w:rsid w:val="00107957"/>
    <w:rsid w:val="00107D3E"/>
    <w:rsid w:val="00107F65"/>
    <w:rsid w:val="00111D0E"/>
    <w:rsid w:val="001121BF"/>
    <w:rsid w:val="00113870"/>
    <w:rsid w:val="0011393C"/>
    <w:rsid w:val="001143D0"/>
    <w:rsid w:val="001156AE"/>
    <w:rsid w:val="00117044"/>
    <w:rsid w:val="00117082"/>
    <w:rsid w:val="00117E4D"/>
    <w:rsid w:val="00121553"/>
    <w:rsid w:val="00122CC2"/>
    <w:rsid w:val="001232A0"/>
    <w:rsid w:val="00123C94"/>
    <w:rsid w:val="0012408B"/>
    <w:rsid w:val="001243CF"/>
    <w:rsid w:val="0012524F"/>
    <w:rsid w:val="0012535C"/>
    <w:rsid w:val="001262E1"/>
    <w:rsid w:val="00127BF1"/>
    <w:rsid w:val="00130BA0"/>
    <w:rsid w:val="00130E20"/>
    <w:rsid w:val="001316AA"/>
    <w:rsid w:val="001327CA"/>
    <w:rsid w:val="00132A57"/>
    <w:rsid w:val="00132AEA"/>
    <w:rsid w:val="00133777"/>
    <w:rsid w:val="0013387D"/>
    <w:rsid w:val="001357A2"/>
    <w:rsid w:val="00135DA8"/>
    <w:rsid w:val="00137B4B"/>
    <w:rsid w:val="00137CC0"/>
    <w:rsid w:val="00137D74"/>
    <w:rsid w:val="001402F0"/>
    <w:rsid w:val="00141450"/>
    <w:rsid w:val="00141ECF"/>
    <w:rsid w:val="00141FC0"/>
    <w:rsid w:val="001426DD"/>
    <w:rsid w:val="00142811"/>
    <w:rsid w:val="00142E00"/>
    <w:rsid w:val="00142F3D"/>
    <w:rsid w:val="001432DC"/>
    <w:rsid w:val="00144734"/>
    <w:rsid w:val="001450EF"/>
    <w:rsid w:val="0014520A"/>
    <w:rsid w:val="00145B5B"/>
    <w:rsid w:val="00146093"/>
    <w:rsid w:val="001460D7"/>
    <w:rsid w:val="001463E8"/>
    <w:rsid w:val="00146432"/>
    <w:rsid w:val="00146612"/>
    <w:rsid w:val="0014745D"/>
    <w:rsid w:val="0015012D"/>
    <w:rsid w:val="00150EA3"/>
    <w:rsid w:val="00151099"/>
    <w:rsid w:val="00151315"/>
    <w:rsid w:val="00153982"/>
    <w:rsid w:val="001543D4"/>
    <w:rsid w:val="00154402"/>
    <w:rsid w:val="0015505D"/>
    <w:rsid w:val="0015519A"/>
    <w:rsid w:val="001551FF"/>
    <w:rsid w:val="0015604D"/>
    <w:rsid w:val="00156D50"/>
    <w:rsid w:val="00156D91"/>
    <w:rsid w:val="00160098"/>
    <w:rsid w:val="00160393"/>
    <w:rsid w:val="001604F4"/>
    <w:rsid w:val="001605C7"/>
    <w:rsid w:val="00161F17"/>
    <w:rsid w:val="00162227"/>
    <w:rsid w:val="001645FC"/>
    <w:rsid w:val="0016479E"/>
    <w:rsid w:val="001659ED"/>
    <w:rsid w:val="001668CA"/>
    <w:rsid w:val="001669F6"/>
    <w:rsid w:val="00166B71"/>
    <w:rsid w:val="00167519"/>
    <w:rsid w:val="0016759B"/>
    <w:rsid w:val="00167969"/>
    <w:rsid w:val="00167E60"/>
    <w:rsid w:val="00170A1C"/>
    <w:rsid w:val="00170C43"/>
    <w:rsid w:val="00171074"/>
    <w:rsid w:val="00171E80"/>
    <w:rsid w:val="00173C38"/>
    <w:rsid w:val="00174140"/>
    <w:rsid w:val="00174432"/>
    <w:rsid w:val="0017544D"/>
    <w:rsid w:val="00176423"/>
    <w:rsid w:val="00176740"/>
    <w:rsid w:val="00176ED7"/>
    <w:rsid w:val="001802FB"/>
    <w:rsid w:val="00180B64"/>
    <w:rsid w:val="00181429"/>
    <w:rsid w:val="00183A70"/>
    <w:rsid w:val="001845B8"/>
    <w:rsid w:val="00184990"/>
    <w:rsid w:val="00184C58"/>
    <w:rsid w:val="00184CAA"/>
    <w:rsid w:val="00184E28"/>
    <w:rsid w:val="001852CD"/>
    <w:rsid w:val="0018567F"/>
    <w:rsid w:val="00186118"/>
    <w:rsid w:val="00186439"/>
    <w:rsid w:val="00186E22"/>
    <w:rsid w:val="001871DA"/>
    <w:rsid w:val="001907C8"/>
    <w:rsid w:val="00192B4D"/>
    <w:rsid w:val="00192CB4"/>
    <w:rsid w:val="00192D94"/>
    <w:rsid w:val="00192E71"/>
    <w:rsid w:val="001933DB"/>
    <w:rsid w:val="0019381A"/>
    <w:rsid w:val="00193CCE"/>
    <w:rsid w:val="00194F97"/>
    <w:rsid w:val="00195B1F"/>
    <w:rsid w:val="00196152"/>
    <w:rsid w:val="00197066"/>
    <w:rsid w:val="00197A81"/>
    <w:rsid w:val="001A0CAC"/>
    <w:rsid w:val="001A1CEC"/>
    <w:rsid w:val="001A2010"/>
    <w:rsid w:val="001A3A8C"/>
    <w:rsid w:val="001A4875"/>
    <w:rsid w:val="001A5553"/>
    <w:rsid w:val="001A5715"/>
    <w:rsid w:val="001A5D60"/>
    <w:rsid w:val="001A6AC5"/>
    <w:rsid w:val="001B0A46"/>
    <w:rsid w:val="001B0D66"/>
    <w:rsid w:val="001B1630"/>
    <w:rsid w:val="001B19C7"/>
    <w:rsid w:val="001B1AD8"/>
    <w:rsid w:val="001B22E3"/>
    <w:rsid w:val="001B29F8"/>
    <w:rsid w:val="001B2A35"/>
    <w:rsid w:val="001B49BA"/>
    <w:rsid w:val="001B52E5"/>
    <w:rsid w:val="001B5566"/>
    <w:rsid w:val="001B563A"/>
    <w:rsid w:val="001B5777"/>
    <w:rsid w:val="001B579C"/>
    <w:rsid w:val="001B58B2"/>
    <w:rsid w:val="001B64E7"/>
    <w:rsid w:val="001B7DE9"/>
    <w:rsid w:val="001C0B75"/>
    <w:rsid w:val="001C0D8C"/>
    <w:rsid w:val="001C120D"/>
    <w:rsid w:val="001C282C"/>
    <w:rsid w:val="001C31E9"/>
    <w:rsid w:val="001C3753"/>
    <w:rsid w:val="001C41D0"/>
    <w:rsid w:val="001C4397"/>
    <w:rsid w:val="001C4ED5"/>
    <w:rsid w:val="001C51F4"/>
    <w:rsid w:val="001C527F"/>
    <w:rsid w:val="001C5B6F"/>
    <w:rsid w:val="001C5C13"/>
    <w:rsid w:val="001C6242"/>
    <w:rsid w:val="001C6660"/>
    <w:rsid w:val="001C6730"/>
    <w:rsid w:val="001C69FD"/>
    <w:rsid w:val="001C6BEB"/>
    <w:rsid w:val="001D0DAC"/>
    <w:rsid w:val="001D2C7D"/>
    <w:rsid w:val="001D324A"/>
    <w:rsid w:val="001D3291"/>
    <w:rsid w:val="001D44F9"/>
    <w:rsid w:val="001D4527"/>
    <w:rsid w:val="001D664C"/>
    <w:rsid w:val="001D6EF2"/>
    <w:rsid w:val="001E0B31"/>
    <w:rsid w:val="001E0BD0"/>
    <w:rsid w:val="001E116A"/>
    <w:rsid w:val="001E1516"/>
    <w:rsid w:val="001E2C50"/>
    <w:rsid w:val="001E3E4B"/>
    <w:rsid w:val="001E41BE"/>
    <w:rsid w:val="001E5463"/>
    <w:rsid w:val="001E64B8"/>
    <w:rsid w:val="001F0217"/>
    <w:rsid w:val="001F0854"/>
    <w:rsid w:val="001F120F"/>
    <w:rsid w:val="001F1E4C"/>
    <w:rsid w:val="001F2531"/>
    <w:rsid w:val="001F3D3E"/>
    <w:rsid w:val="001F4309"/>
    <w:rsid w:val="001F4661"/>
    <w:rsid w:val="001F47D8"/>
    <w:rsid w:val="001F4C69"/>
    <w:rsid w:val="001F5756"/>
    <w:rsid w:val="001F6629"/>
    <w:rsid w:val="001F7801"/>
    <w:rsid w:val="001F7D7E"/>
    <w:rsid w:val="001F7E38"/>
    <w:rsid w:val="00200F06"/>
    <w:rsid w:val="0020144E"/>
    <w:rsid w:val="002021A8"/>
    <w:rsid w:val="00202342"/>
    <w:rsid w:val="002027BF"/>
    <w:rsid w:val="00202C39"/>
    <w:rsid w:val="0020416D"/>
    <w:rsid w:val="00204CD9"/>
    <w:rsid w:val="00204DD9"/>
    <w:rsid w:val="00205094"/>
    <w:rsid w:val="00205107"/>
    <w:rsid w:val="002053AE"/>
    <w:rsid w:val="0020586A"/>
    <w:rsid w:val="00205F94"/>
    <w:rsid w:val="0020661B"/>
    <w:rsid w:val="00206C45"/>
    <w:rsid w:val="00210F6E"/>
    <w:rsid w:val="00211111"/>
    <w:rsid w:val="0021177A"/>
    <w:rsid w:val="00211980"/>
    <w:rsid w:val="002132BE"/>
    <w:rsid w:val="002134D7"/>
    <w:rsid w:val="00213B1B"/>
    <w:rsid w:val="00214069"/>
    <w:rsid w:val="002154DC"/>
    <w:rsid w:val="002159D8"/>
    <w:rsid w:val="0021658B"/>
    <w:rsid w:val="00217822"/>
    <w:rsid w:val="00221774"/>
    <w:rsid w:val="002217E1"/>
    <w:rsid w:val="00221C1F"/>
    <w:rsid w:val="0022250C"/>
    <w:rsid w:val="00222577"/>
    <w:rsid w:val="00223FD2"/>
    <w:rsid w:val="002250E4"/>
    <w:rsid w:val="002273B3"/>
    <w:rsid w:val="00227C6E"/>
    <w:rsid w:val="00227E54"/>
    <w:rsid w:val="002308F3"/>
    <w:rsid w:val="002313D7"/>
    <w:rsid w:val="00232516"/>
    <w:rsid w:val="00232DF3"/>
    <w:rsid w:val="0023391B"/>
    <w:rsid w:val="0023404B"/>
    <w:rsid w:val="00234099"/>
    <w:rsid w:val="00234C49"/>
    <w:rsid w:val="00235B3C"/>
    <w:rsid w:val="00235BC0"/>
    <w:rsid w:val="0023721F"/>
    <w:rsid w:val="0024222B"/>
    <w:rsid w:val="0024251C"/>
    <w:rsid w:val="002428ED"/>
    <w:rsid w:val="00242ACF"/>
    <w:rsid w:val="00242D80"/>
    <w:rsid w:val="0024384A"/>
    <w:rsid w:val="00244B0F"/>
    <w:rsid w:val="00245173"/>
    <w:rsid w:val="00246EAA"/>
    <w:rsid w:val="0024790F"/>
    <w:rsid w:val="0024794D"/>
    <w:rsid w:val="00247B87"/>
    <w:rsid w:val="00251F36"/>
    <w:rsid w:val="00251FD3"/>
    <w:rsid w:val="00252127"/>
    <w:rsid w:val="002527A6"/>
    <w:rsid w:val="00254164"/>
    <w:rsid w:val="002546CD"/>
    <w:rsid w:val="002554BB"/>
    <w:rsid w:val="002554C0"/>
    <w:rsid w:val="002558F8"/>
    <w:rsid w:val="00255D14"/>
    <w:rsid w:val="00260E3D"/>
    <w:rsid w:val="00261C5E"/>
    <w:rsid w:val="00261CA8"/>
    <w:rsid w:val="00261E47"/>
    <w:rsid w:val="0026206B"/>
    <w:rsid w:val="0026365E"/>
    <w:rsid w:val="00264056"/>
    <w:rsid w:val="002646E0"/>
    <w:rsid w:val="00264875"/>
    <w:rsid w:val="002651DA"/>
    <w:rsid w:val="002655F3"/>
    <w:rsid w:val="00267064"/>
    <w:rsid w:val="0026750E"/>
    <w:rsid w:val="0027024C"/>
    <w:rsid w:val="002706A0"/>
    <w:rsid w:val="0027150C"/>
    <w:rsid w:val="00271566"/>
    <w:rsid w:val="00271988"/>
    <w:rsid w:val="00271AA2"/>
    <w:rsid w:val="00271D8E"/>
    <w:rsid w:val="002729E8"/>
    <w:rsid w:val="00272A5B"/>
    <w:rsid w:val="00273C95"/>
    <w:rsid w:val="00273DB0"/>
    <w:rsid w:val="002744DB"/>
    <w:rsid w:val="00274AAD"/>
    <w:rsid w:val="002757B9"/>
    <w:rsid w:val="00275B6A"/>
    <w:rsid w:val="00275B9E"/>
    <w:rsid w:val="002771CE"/>
    <w:rsid w:val="002772BD"/>
    <w:rsid w:val="00277E02"/>
    <w:rsid w:val="002803A0"/>
    <w:rsid w:val="00281150"/>
    <w:rsid w:val="00281509"/>
    <w:rsid w:val="0028251D"/>
    <w:rsid w:val="0028357C"/>
    <w:rsid w:val="00283725"/>
    <w:rsid w:val="002849DA"/>
    <w:rsid w:val="002853AD"/>
    <w:rsid w:val="00285F8C"/>
    <w:rsid w:val="00286810"/>
    <w:rsid w:val="002871E1"/>
    <w:rsid w:val="0029072D"/>
    <w:rsid w:val="00290900"/>
    <w:rsid w:val="00290ABD"/>
    <w:rsid w:val="00290C27"/>
    <w:rsid w:val="00290E28"/>
    <w:rsid w:val="00290F7C"/>
    <w:rsid w:val="002921C9"/>
    <w:rsid w:val="00292942"/>
    <w:rsid w:val="00292EB2"/>
    <w:rsid w:val="00293709"/>
    <w:rsid w:val="002944E0"/>
    <w:rsid w:val="0029548E"/>
    <w:rsid w:val="00295679"/>
    <w:rsid w:val="00295EA2"/>
    <w:rsid w:val="002A0682"/>
    <w:rsid w:val="002A1B39"/>
    <w:rsid w:val="002A1FCE"/>
    <w:rsid w:val="002A2A37"/>
    <w:rsid w:val="002A37C2"/>
    <w:rsid w:val="002A48DE"/>
    <w:rsid w:val="002A4BC5"/>
    <w:rsid w:val="002A543B"/>
    <w:rsid w:val="002A56C4"/>
    <w:rsid w:val="002A5F23"/>
    <w:rsid w:val="002A6206"/>
    <w:rsid w:val="002A63EF"/>
    <w:rsid w:val="002A71C6"/>
    <w:rsid w:val="002A7FCF"/>
    <w:rsid w:val="002B02E4"/>
    <w:rsid w:val="002B109D"/>
    <w:rsid w:val="002B14B5"/>
    <w:rsid w:val="002B1C90"/>
    <w:rsid w:val="002B1F6B"/>
    <w:rsid w:val="002B2278"/>
    <w:rsid w:val="002B250B"/>
    <w:rsid w:val="002B264A"/>
    <w:rsid w:val="002B26CD"/>
    <w:rsid w:val="002B3471"/>
    <w:rsid w:val="002B41F0"/>
    <w:rsid w:val="002B42D8"/>
    <w:rsid w:val="002B58D5"/>
    <w:rsid w:val="002B5C32"/>
    <w:rsid w:val="002B79F6"/>
    <w:rsid w:val="002B7D1E"/>
    <w:rsid w:val="002B7F86"/>
    <w:rsid w:val="002B7FC2"/>
    <w:rsid w:val="002C0677"/>
    <w:rsid w:val="002C067F"/>
    <w:rsid w:val="002C0864"/>
    <w:rsid w:val="002C1AC7"/>
    <w:rsid w:val="002C2B59"/>
    <w:rsid w:val="002C340B"/>
    <w:rsid w:val="002C3D7B"/>
    <w:rsid w:val="002C40A0"/>
    <w:rsid w:val="002C4EF1"/>
    <w:rsid w:val="002C56EB"/>
    <w:rsid w:val="002C6066"/>
    <w:rsid w:val="002C74A6"/>
    <w:rsid w:val="002C7ACC"/>
    <w:rsid w:val="002D0BA5"/>
    <w:rsid w:val="002D19F5"/>
    <w:rsid w:val="002D2427"/>
    <w:rsid w:val="002D2868"/>
    <w:rsid w:val="002D35E6"/>
    <w:rsid w:val="002D36E1"/>
    <w:rsid w:val="002D46B0"/>
    <w:rsid w:val="002D4C6E"/>
    <w:rsid w:val="002D5363"/>
    <w:rsid w:val="002D6648"/>
    <w:rsid w:val="002D6B7A"/>
    <w:rsid w:val="002D70E6"/>
    <w:rsid w:val="002D75AB"/>
    <w:rsid w:val="002E0947"/>
    <w:rsid w:val="002E160A"/>
    <w:rsid w:val="002E2E94"/>
    <w:rsid w:val="002E2FFD"/>
    <w:rsid w:val="002E31E7"/>
    <w:rsid w:val="002E34A5"/>
    <w:rsid w:val="002E422A"/>
    <w:rsid w:val="002E43EE"/>
    <w:rsid w:val="002E44FD"/>
    <w:rsid w:val="002E5C05"/>
    <w:rsid w:val="002E6E07"/>
    <w:rsid w:val="002E770C"/>
    <w:rsid w:val="002E78AA"/>
    <w:rsid w:val="002E7E2B"/>
    <w:rsid w:val="002F00F9"/>
    <w:rsid w:val="002F01CD"/>
    <w:rsid w:val="002F268A"/>
    <w:rsid w:val="002F364B"/>
    <w:rsid w:val="002F38DC"/>
    <w:rsid w:val="002F3E3A"/>
    <w:rsid w:val="002F44E7"/>
    <w:rsid w:val="002F5E42"/>
    <w:rsid w:val="002F6C0C"/>
    <w:rsid w:val="002F6E95"/>
    <w:rsid w:val="002F714C"/>
    <w:rsid w:val="002F7403"/>
    <w:rsid w:val="002F7813"/>
    <w:rsid w:val="003010BF"/>
    <w:rsid w:val="003012E2"/>
    <w:rsid w:val="00301DE6"/>
    <w:rsid w:val="0030642C"/>
    <w:rsid w:val="00306AC8"/>
    <w:rsid w:val="00310725"/>
    <w:rsid w:val="0031131F"/>
    <w:rsid w:val="00311785"/>
    <w:rsid w:val="00312F02"/>
    <w:rsid w:val="003133F7"/>
    <w:rsid w:val="00317057"/>
    <w:rsid w:val="00317EAF"/>
    <w:rsid w:val="00317EF7"/>
    <w:rsid w:val="00320626"/>
    <w:rsid w:val="00320AC3"/>
    <w:rsid w:val="00320BC8"/>
    <w:rsid w:val="003210CD"/>
    <w:rsid w:val="00321E5F"/>
    <w:rsid w:val="003236B4"/>
    <w:rsid w:val="003239D8"/>
    <w:rsid w:val="00323DB4"/>
    <w:rsid w:val="00324692"/>
    <w:rsid w:val="00325661"/>
    <w:rsid w:val="003257D9"/>
    <w:rsid w:val="0032798C"/>
    <w:rsid w:val="00327E36"/>
    <w:rsid w:val="00330782"/>
    <w:rsid w:val="00331345"/>
    <w:rsid w:val="003323D2"/>
    <w:rsid w:val="00332B5D"/>
    <w:rsid w:val="00334784"/>
    <w:rsid w:val="00334872"/>
    <w:rsid w:val="003349B8"/>
    <w:rsid w:val="00335F69"/>
    <w:rsid w:val="003373D1"/>
    <w:rsid w:val="00337658"/>
    <w:rsid w:val="003413FD"/>
    <w:rsid w:val="00341B71"/>
    <w:rsid w:val="0034252F"/>
    <w:rsid w:val="00343BFA"/>
    <w:rsid w:val="003447C0"/>
    <w:rsid w:val="00344E3C"/>
    <w:rsid w:val="00345346"/>
    <w:rsid w:val="00345667"/>
    <w:rsid w:val="00345F6F"/>
    <w:rsid w:val="003506E1"/>
    <w:rsid w:val="00351851"/>
    <w:rsid w:val="00352825"/>
    <w:rsid w:val="0035314F"/>
    <w:rsid w:val="00353A01"/>
    <w:rsid w:val="003542B0"/>
    <w:rsid w:val="00354317"/>
    <w:rsid w:val="0035557A"/>
    <w:rsid w:val="00355E6E"/>
    <w:rsid w:val="00357225"/>
    <w:rsid w:val="003607A7"/>
    <w:rsid w:val="003608AD"/>
    <w:rsid w:val="00362255"/>
    <w:rsid w:val="00362F08"/>
    <w:rsid w:val="0036422F"/>
    <w:rsid w:val="00366ACF"/>
    <w:rsid w:val="00366DDA"/>
    <w:rsid w:val="00366FCE"/>
    <w:rsid w:val="003676A7"/>
    <w:rsid w:val="003679E2"/>
    <w:rsid w:val="003704C0"/>
    <w:rsid w:val="00371058"/>
    <w:rsid w:val="0037114C"/>
    <w:rsid w:val="00372066"/>
    <w:rsid w:val="003720DA"/>
    <w:rsid w:val="00373413"/>
    <w:rsid w:val="003737C5"/>
    <w:rsid w:val="003737ED"/>
    <w:rsid w:val="00373950"/>
    <w:rsid w:val="00374550"/>
    <w:rsid w:val="00377FB8"/>
    <w:rsid w:val="00380F54"/>
    <w:rsid w:val="00381DC0"/>
    <w:rsid w:val="00383ECA"/>
    <w:rsid w:val="0038465E"/>
    <w:rsid w:val="00385191"/>
    <w:rsid w:val="00386DD1"/>
    <w:rsid w:val="003912DB"/>
    <w:rsid w:val="003918C3"/>
    <w:rsid w:val="00392E5E"/>
    <w:rsid w:val="003938F4"/>
    <w:rsid w:val="0039D5B0"/>
    <w:rsid w:val="003A006A"/>
    <w:rsid w:val="003A0A7D"/>
    <w:rsid w:val="003A0F48"/>
    <w:rsid w:val="003A154C"/>
    <w:rsid w:val="003A18E9"/>
    <w:rsid w:val="003A3E54"/>
    <w:rsid w:val="003A48A1"/>
    <w:rsid w:val="003A5853"/>
    <w:rsid w:val="003A6459"/>
    <w:rsid w:val="003A6699"/>
    <w:rsid w:val="003A71AC"/>
    <w:rsid w:val="003A7662"/>
    <w:rsid w:val="003A7786"/>
    <w:rsid w:val="003A790E"/>
    <w:rsid w:val="003A7CB5"/>
    <w:rsid w:val="003B00F3"/>
    <w:rsid w:val="003B0A2D"/>
    <w:rsid w:val="003B16E4"/>
    <w:rsid w:val="003B1F66"/>
    <w:rsid w:val="003B437B"/>
    <w:rsid w:val="003B48D5"/>
    <w:rsid w:val="003B4EA7"/>
    <w:rsid w:val="003B4F41"/>
    <w:rsid w:val="003B4FE0"/>
    <w:rsid w:val="003B5512"/>
    <w:rsid w:val="003B69C7"/>
    <w:rsid w:val="003B6A5B"/>
    <w:rsid w:val="003C1AAC"/>
    <w:rsid w:val="003C310C"/>
    <w:rsid w:val="003C348B"/>
    <w:rsid w:val="003C3A21"/>
    <w:rsid w:val="003C446A"/>
    <w:rsid w:val="003C4E3E"/>
    <w:rsid w:val="003C54CE"/>
    <w:rsid w:val="003C5747"/>
    <w:rsid w:val="003C5AAA"/>
    <w:rsid w:val="003C5D8A"/>
    <w:rsid w:val="003C5FE5"/>
    <w:rsid w:val="003C62D1"/>
    <w:rsid w:val="003C671E"/>
    <w:rsid w:val="003D02DF"/>
    <w:rsid w:val="003D05CF"/>
    <w:rsid w:val="003D1760"/>
    <w:rsid w:val="003D1E75"/>
    <w:rsid w:val="003D3A19"/>
    <w:rsid w:val="003D41FE"/>
    <w:rsid w:val="003D50F2"/>
    <w:rsid w:val="003D5BFB"/>
    <w:rsid w:val="003D5CFB"/>
    <w:rsid w:val="003D613C"/>
    <w:rsid w:val="003D69CC"/>
    <w:rsid w:val="003D6F68"/>
    <w:rsid w:val="003DE154"/>
    <w:rsid w:val="003E0722"/>
    <w:rsid w:val="003E09E0"/>
    <w:rsid w:val="003E0C2D"/>
    <w:rsid w:val="003E1E82"/>
    <w:rsid w:val="003E1ED3"/>
    <w:rsid w:val="003E3250"/>
    <w:rsid w:val="003E354D"/>
    <w:rsid w:val="003E569C"/>
    <w:rsid w:val="003E6E7A"/>
    <w:rsid w:val="003F01E4"/>
    <w:rsid w:val="003F1E1D"/>
    <w:rsid w:val="003F21F7"/>
    <w:rsid w:val="003F2E67"/>
    <w:rsid w:val="003F348D"/>
    <w:rsid w:val="003F36D3"/>
    <w:rsid w:val="003F3B3F"/>
    <w:rsid w:val="003F41EF"/>
    <w:rsid w:val="003F4C73"/>
    <w:rsid w:val="003F4F45"/>
    <w:rsid w:val="003F5D40"/>
    <w:rsid w:val="003F7397"/>
    <w:rsid w:val="003F7CE1"/>
    <w:rsid w:val="00400683"/>
    <w:rsid w:val="0040109D"/>
    <w:rsid w:val="004014E9"/>
    <w:rsid w:val="004025EA"/>
    <w:rsid w:val="00402738"/>
    <w:rsid w:val="00402A70"/>
    <w:rsid w:val="00402FF4"/>
    <w:rsid w:val="004040EF"/>
    <w:rsid w:val="00404542"/>
    <w:rsid w:val="00405ED7"/>
    <w:rsid w:val="004070BA"/>
    <w:rsid w:val="004101C4"/>
    <w:rsid w:val="0041058B"/>
    <w:rsid w:val="00412014"/>
    <w:rsid w:val="00412B11"/>
    <w:rsid w:val="0041354D"/>
    <w:rsid w:val="0041368C"/>
    <w:rsid w:val="00414289"/>
    <w:rsid w:val="00414A85"/>
    <w:rsid w:val="00414B55"/>
    <w:rsid w:val="00415E9E"/>
    <w:rsid w:val="004200C4"/>
    <w:rsid w:val="004206C9"/>
    <w:rsid w:val="00421848"/>
    <w:rsid w:val="004224F7"/>
    <w:rsid w:val="00422D2E"/>
    <w:rsid w:val="00422FC1"/>
    <w:rsid w:val="004236B1"/>
    <w:rsid w:val="00423EF3"/>
    <w:rsid w:val="00424507"/>
    <w:rsid w:val="00424C09"/>
    <w:rsid w:val="00425410"/>
    <w:rsid w:val="00425B73"/>
    <w:rsid w:val="00426A10"/>
    <w:rsid w:val="00427A85"/>
    <w:rsid w:val="00427C0B"/>
    <w:rsid w:val="00430084"/>
    <w:rsid w:val="004302AB"/>
    <w:rsid w:val="004306D4"/>
    <w:rsid w:val="00430953"/>
    <w:rsid w:val="00431298"/>
    <w:rsid w:val="0043178B"/>
    <w:rsid w:val="004320EF"/>
    <w:rsid w:val="00432505"/>
    <w:rsid w:val="004325D2"/>
    <w:rsid w:val="004332D7"/>
    <w:rsid w:val="00434201"/>
    <w:rsid w:val="00436AA4"/>
    <w:rsid w:val="00436ADF"/>
    <w:rsid w:val="00436E66"/>
    <w:rsid w:val="004371F2"/>
    <w:rsid w:val="004376AC"/>
    <w:rsid w:val="0044009E"/>
    <w:rsid w:val="00440113"/>
    <w:rsid w:val="004403CC"/>
    <w:rsid w:val="004403FB"/>
    <w:rsid w:val="004410EA"/>
    <w:rsid w:val="00441148"/>
    <w:rsid w:val="004418C4"/>
    <w:rsid w:val="00441EB3"/>
    <w:rsid w:val="004423AD"/>
    <w:rsid w:val="00442646"/>
    <w:rsid w:val="004429AA"/>
    <w:rsid w:val="00442F94"/>
    <w:rsid w:val="00443A4C"/>
    <w:rsid w:val="00443B5B"/>
    <w:rsid w:val="00443DCD"/>
    <w:rsid w:val="00444A4D"/>
    <w:rsid w:val="004451C8"/>
    <w:rsid w:val="00446098"/>
    <w:rsid w:val="004467BD"/>
    <w:rsid w:val="004467ED"/>
    <w:rsid w:val="00446B0A"/>
    <w:rsid w:val="00447A27"/>
    <w:rsid w:val="00450643"/>
    <w:rsid w:val="00450AFE"/>
    <w:rsid w:val="00452253"/>
    <w:rsid w:val="00454DCB"/>
    <w:rsid w:val="004559B0"/>
    <w:rsid w:val="00455CB8"/>
    <w:rsid w:val="004563EB"/>
    <w:rsid w:val="004566DA"/>
    <w:rsid w:val="00456E55"/>
    <w:rsid w:val="00457916"/>
    <w:rsid w:val="004602E4"/>
    <w:rsid w:val="004605C5"/>
    <w:rsid w:val="00460B9C"/>
    <w:rsid w:val="00460D04"/>
    <w:rsid w:val="0046144D"/>
    <w:rsid w:val="004627E3"/>
    <w:rsid w:val="00462D49"/>
    <w:rsid w:val="00462F23"/>
    <w:rsid w:val="00464074"/>
    <w:rsid w:val="0046525E"/>
    <w:rsid w:val="004658FE"/>
    <w:rsid w:val="00465AC3"/>
    <w:rsid w:val="00465B73"/>
    <w:rsid w:val="00465BB3"/>
    <w:rsid w:val="00465C98"/>
    <w:rsid w:val="00465EB9"/>
    <w:rsid w:val="00470136"/>
    <w:rsid w:val="004705B5"/>
    <w:rsid w:val="004706CF"/>
    <w:rsid w:val="0047115F"/>
    <w:rsid w:val="00471235"/>
    <w:rsid w:val="004717C5"/>
    <w:rsid w:val="00472D6F"/>
    <w:rsid w:val="004736CE"/>
    <w:rsid w:val="004737A3"/>
    <w:rsid w:val="00474AD5"/>
    <w:rsid w:val="00475191"/>
    <w:rsid w:val="004754DF"/>
    <w:rsid w:val="0047644E"/>
    <w:rsid w:val="00480018"/>
    <w:rsid w:val="004809B3"/>
    <w:rsid w:val="00480C0A"/>
    <w:rsid w:val="00481461"/>
    <w:rsid w:val="00482E22"/>
    <w:rsid w:val="00483366"/>
    <w:rsid w:val="00483DB8"/>
    <w:rsid w:val="0048492C"/>
    <w:rsid w:val="00484DE6"/>
    <w:rsid w:val="00484F2F"/>
    <w:rsid w:val="004857E8"/>
    <w:rsid w:val="004858F4"/>
    <w:rsid w:val="00485EBD"/>
    <w:rsid w:val="00486295"/>
    <w:rsid w:val="00487581"/>
    <w:rsid w:val="0049103B"/>
    <w:rsid w:val="004918CA"/>
    <w:rsid w:val="00491BF5"/>
    <w:rsid w:val="00492E9C"/>
    <w:rsid w:val="00493BCF"/>
    <w:rsid w:val="00495A41"/>
    <w:rsid w:val="0049750F"/>
    <w:rsid w:val="00497878"/>
    <w:rsid w:val="00497E56"/>
    <w:rsid w:val="004999A4"/>
    <w:rsid w:val="004A05CA"/>
    <w:rsid w:val="004A121E"/>
    <w:rsid w:val="004A2020"/>
    <w:rsid w:val="004A2AE3"/>
    <w:rsid w:val="004A309D"/>
    <w:rsid w:val="004A3B68"/>
    <w:rsid w:val="004A3DD5"/>
    <w:rsid w:val="004A4A21"/>
    <w:rsid w:val="004A5090"/>
    <w:rsid w:val="004A7B36"/>
    <w:rsid w:val="004B05D5"/>
    <w:rsid w:val="004B1CBB"/>
    <w:rsid w:val="004B1FE1"/>
    <w:rsid w:val="004B2C2D"/>
    <w:rsid w:val="004B37D4"/>
    <w:rsid w:val="004B4401"/>
    <w:rsid w:val="004B49AB"/>
    <w:rsid w:val="004B52CE"/>
    <w:rsid w:val="004B5B9D"/>
    <w:rsid w:val="004B5BE2"/>
    <w:rsid w:val="004B5C01"/>
    <w:rsid w:val="004B5F65"/>
    <w:rsid w:val="004B5FF2"/>
    <w:rsid w:val="004B6B6F"/>
    <w:rsid w:val="004B734F"/>
    <w:rsid w:val="004C1469"/>
    <w:rsid w:val="004C149E"/>
    <w:rsid w:val="004C1A59"/>
    <w:rsid w:val="004C1CD9"/>
    <w:rsid w:val="004C24FD"/>
    <w:rsid w:val="004C2619"/>
    <w:rsid w:val="004C26B6"/>
    <w:rsid w:val="004C2B39"/>
    <w:rsid w:val="004C2BBE"/>
    <w:rsid w:val="004C3844"/>
    <w:rsid w:val="004C4151"/>
    <w:rsid w:val="004C42A7"/>
    <w:rsid w:val="004C43D0"/>
    <w:rsid w:val="004C4F90"/>
    <w:rsid w:val="004C5232"/>
    <w:rsid w:val="004C5264"/>
    <w:rsid w:val="004C5484"/>
    <w:rsid w:val="004C5619"/>
    <w:rsid w:val="004C5D0F"/>
    <w:rsid w:val="004C608B"/>
    <w:rsid w:val="004C699F"/>
    <w:rsid w:val="004C6A64"/>
    <w:rsid w:val="004C70D6"/>
    <w:rsid w:val="004C7E06"/>
    <w:rsid w:val="004D1B32"/>
    <w:rsid w:val="004D20F5"/>
    <w:rsid w:val="004D2B92"/>
    <w:rsid w:val="004D2E9D"/>
    <w:rsid w:val="004D3B85"/>
    <w:rsid w:val="004D3D78"/>
    <w:rsid w:val="004D4310"/>
    <w:rsid w:val="004D49F9"/>
    <w:rsid w:val="004D632C"/>
    <w:rsid w:val="004D672F"/>
    <w:rsid w:val="004D7CD9"/>
    <w:rsid w:val="004E03D8"/>
    <w:rsid w:val="004E0562"/>
    <w:rsid w:val="004E0C6B"/>
    <w:rsid w:val="004E12D0"/>
    <w:rsid w:val="004E15B2"/>
    <w:rsid w:val="004E26EF"/>
    <w:rsid w:val="004E2F56"/>
    <w:rsid w:val="004E3E06"/>
    <w:rsid w:val="004E3EC9"/>
    <w:rsid w:val="004E42B4"/>
    <w:rsid w:val="004E44DF"/>
    <w:rsid w:val="004E56D1"/>
    <w:rsid w:val="004E582A"/>
    <w:rsid w:val="004E59B0"/>
    <w:rsid w:val="004E6FAF"/>
    <w:rsid w:val="004F05A1"/>
    <w:rsid w:val="004F0C23"/>
    <w:rsid w:val="004F0E71"/>
    <w:rsid w:val="004F1723"/>
    <w:rsid w:val="004F2108"/>
    <w:rsid w:val="004F298B"/>
    <w:rsid w:val="004F2E83"/>
    <w:rsid w:val="004F3058"/>
    <w:rsid w:val="004F3624"/>
    <w:rsid w:val="004F3BB2"/>
    <w:rsid w:val="004F419F"/>
    <w:rsid w:val="004F43BB"/>
    <w:rsid w:val="004F4504"/>
    <w:rsid w:val="004F4861"/>
    <w:rsid w:val="004F4881"/>
    <w:rsid w:val="004F4E8C"/>
    <w:rsid w:val="004F586A"/>
    <w:rsid w:val="004F62D5"/>
    <w:rsid w:val="004F6BD4"/>
    <w:rsid w:val="004F734E"/>
    <w:rsid w:val="004F7416"/>
    <w:rsid w:val="004F7C3C"/>
    <w:rsid w:val="005001BD"/>
    <w:rsid w:val="00500FCE"/>
    <w:rsid w:val="0050142D"/>
    <w:rsid w:val="005014B9"/>
    <w:rsid w:val="00501D4E"/>
    <w:rsid w:val="00501DD9"/>
    <w:rsid w:val="00502879"/>
    <w:rsid w:val="00502A68"/>
    <w:rsid w:val="00502AFC"/>
    <w:rsid w:val="00502F3D"/>
    <w:rsid w:val="0050332B"/>
    <w:rsid w:val="00504274"/>
    <w:rsid w:val="005053D2"/>
    <w:rsid w:val="005061D2"/>
    <w:rsid w:val="005069A7"/>
    <w:rsid w:val="0051013C"/>
    <w:rsid w:val="00510194"/>
    <w:rsid w:val="00510256"/>
    <w:rsid w:val="00510710"/>
    <w:rsid w:val="0051146C"/>
    <w:rsid w:val="00513B5F"/>
    <w:rsid w:val="00513D76"/>
    <w:rsid w:val="005147B9"/>
    <w:rsid w:val="005159B9"/>
    <w:rsid w:val="00515B9A"/>
    <w:rsid w:val="00515D21"/>
    <w:rsid w:val="0051687E"/>
    <w:rsid w:val="00516F66"/>
    <w:rsid w:val="005172BF"/>
    <w:rsid w:val="00520322"/>
    <w:rsid w:val="005205DD"/>
    <w:rsid w:val="00520FEA"/>
    <w:rsid w:val="00521020"/>
    <w:rsid w:val="00522A9D"/>
    <w:rsid w:val="00522D40"/>
    <w:rsid w:val="005236D2"/>
    <w:rsid w:val="00523C74"/>
    <w:rsid w:val="00523D55"/>
    <w:rsid w:val="00525193"/>
    <w:rsid w:val="005259E1"/>
    <w:rsid w:val="005259EA"/>
    <w:rsid w:val="005270F0"/>
    <w:rsid w:val="00527910"/>
    <w:rsid w:val="00527DC2"/>
    <w:rsid w:val="0052E95E"/>
    <w:rsid w:val="00530037"/>
    <w:rsid w:val="005300F9"/>
    <w:rsid w:val="005311A2"/>
    <w:rsid w:val="0053133F"/>
    <w:rsid w:val="00531688"/>
    <w:rsid w:val="00531A1A"/>
    <w:rsid w:val="005321D6"/>
    <w:rsid w:val="00532335"/>
    <w:rsid w:val="00532767"/>
    <w:rsid w:val="005330C3"/>
    <w:rsid w:val="0053333F"/>
    <w:rsid w:val="00533663"/>
    <w:rsid w:val="005336D5"/>
    <w:rsid w:val="005338FA"/>
    <w:rsid w:val="00534211"/>
    <w:rsid w:val="00535856"/>
    <w:rsid w:val="00535DD0"/>
    <w:rsid w:val="00537316"/>
    <w:rsid w:val="00537C6E"/>
    <w:rsid w:val="00540956"/>
    <w:rsid w:val="00540CBA"/>
    <w:rsid w:val="00540CFD"/>
    <w:rsid w:val="0054114F"/>
    <w:rsid w:val="00541A0C"/>
    <w:rsid w:val="005434D5"/>
    <w:rsid w:val="00543D27"/>
    <w:rsid w:val="005450E9"/>
    <w:rsid w:val="005453A9"/>
    <w:rsid w:val="0054680C"/>
    <w:rsid w:val="00547E8D"/>
    <w:rsid w:val="00550225"/>
    <w:rsid w:val="005509A7"/>
    <w:rsid w:val="00550B90"/>
    <w:rsid w:val="00550E0A"/>
    <w:rsid w:val="00550E60"/>
    <w:rsid w:val="00550EFC"/>
    <w:rsid w:val="005515DC"/>
    <w:rsid w:val="00551F3D"/>
    <w:rsid w:val="005522A9"/>
    <w:rsid w:val="00553123"/>
    <w:rsid w:val="005533E1"/>
    <w:rsid w:val="005537C1"/>
    <w:rsid w:val="00554135"/>
    <w:rsid w:val="005547CC"/>
    <w:rsid w:val="00557D14"/>
    <w:rsid w:val="0056095F"/>
    <w:rsid w:val="005610FE"/>
    <w:rsid w:val="00561110"/>
    <w:rsid w:val="005621F4"/>
    <w:rsid w:val="005629DC"/>
    <w:rsid w:val="00562D15"/>
    <w:rsid w:val="00562D19"/>
    <w:rsid w:val="005646E2"/>
    <w:rsid w:val="00564C95"/>
    <w:rsid w:val="00564F80"/>
    <w:rsid w:val="0056581B"/>
    <w:rsid w:val="00565A80"/>
    <w:rsid w:val="005661D2"/>
    <w:rsid w:val="00567B72"/>
    <w:rsid w:val="00570980"/>
    <w:rsid w:val="00570A0C"/>
    <w:rsid w:val="00570A9A"/>
    <w:rsid w:val="00571762"/>
    <w:rsid w:val="005724D4"/>
    <w:rsid w:val="0057280E"/>
    <w:rsid w:val="00573F18"/>
    <w:rsid w:val="00574AA5"/>
    <w:rsid w:val="0057598A"/>
    <w:rsid w:val="005767C3"/>
    <w:rsid w:val="00577060"/>
    <w:rsid w:val="00577F99"/>
    <w:rsid w:val="00582213"/>
    <w:rsid w:val="005825AE"/>
    <w:rsid w:val="00582975"/>
    <w:rsid w:val="00584100"/>
    <w:rsid w:val="00584B4C"/>
    <w:rsid w:val="00584F87"/>
    <w:rsid w:val="00585711"/>
    <w:rsid w:val="00585996"/>
    <w:rsid w:val="00585B31"/>
    <w:rsid w:val="00587F57"/>
    <w:rsid w:val="00590B65"/>
    <w:rsid w:val="00591C8C"/>
    <w:rsid w:val="00592089"/>
    <w:rsid w:val="00592822"/>
    <w:rsid w:val="00592F90"/>
    <w:rsid w:val="00594242"/>
    <w:rsid w:val="0059455B"/>
    <w:rsid w:val="00594D91"/>
    <w:rsid w:val="005957DE"/>
    <w:rsid w:val="005959BF"/>
    <w:rsid w:val="00595C99"/>
    <w:rsid w:val="005960C1"/>
    <w:rsid w:val="00596F6D"/>
    <w:rsid w:val="005A205D"/>
    <w:rsid w:val="005A32F1"/>
    <w:rsid w:val="005A59ED"/>
    <w:rsid w:val="005A5C8F"/>
    <w:rsid w:val="005A644D"/>
    <w:rsid w:val="005A67B4"/>
    <w:rsid w:val="005A6E52"/>
    <w:rsid w:val="005A7A74"/>
    <w:rsid w:val="005A7B38"/>
    <w:rsid w:val="005B1E9D"/>
    <w:rsid w:val="005B2AD0"/>
    <w:rsid w:val="005B2CDD"/>
    <w:rsid w:val="005B3305"/>
    <w:rsid w:val="005B3447"/>
    <w:rsid w:val="005B408E"/>
    <w:rsid w:val="005B4390"/>
    <w:rsid w:val="005B46D7"/>
    <w:rsid w:val="005B4859"/>
    <w:rsid w:val="005B55D5"/>
    <w:rsid w:val="005B57F2"/>
    <w:rsid w:val="005B5FD1"/>
    <w:rsid w:val="005B6851"/>
    <w:rsid w:val="005BC10B"/>
    <w:rsid w:val="005C02D8"/>
    <w:rsid w:val="005C081D"/>
    <w:rsid w:val="005C10D1"/>
    <w:rsid w:val="005C193B"/>
    <w:rsid w:val="005C1E8C"/>
    <w:rsid w:val="005C1F2D"/>
    <w:rsid w:val="005C3535"/>
    <w:rsid w:val="005C487A"/>
    <w:rsid w:val="005C54BB"/>
    <w:rsid w:val="005C61DD"/>
    <w:rsid w:val="005C6437"/>
    <w:rsid w:val="005C7937"/>
    <w:rsid w:val="005C7CD0"/>
    <w:rsid w:val="005D0BFD"/>
    <w:rsid w:val="005D11CB"/>
    <w:rsid w:val="005D1753"/>
    <w:rsid w:val="005D3B46"/>
    <w:rsid w:val="005D4EE1"/>
    <w:rsid w:val="005D5A64"/>
    <w:rsid w:val="005D6190"/>
    <w:rsid w:val="005D634A"/>
    <w:rsid w:val="005D6A95"/>
    <w:rsid w:val="005D6EF0"/>
    <w:rsid w:val="005D7583"/>
    <w:rsid w:val="005D75F0"/>
    <w:rsid w:val="005E026D"/>
    <w:rsid w:val="005E0608"/>
    <w:rsid w:val="005E0CBA"/>
    <w:rsid w:val="005E2F4E"/>
    <w:rsid w:val="005E4140"/>
    <w:rsid w:val="005E4465"/>
    <w:rsid w:val="005E4CB4"/>
    <w:rsid w:val="005E511D"/>
    <w:rsid w:val="005E5323"/>
    <w:rsid w:val="005E61E2"/>
    <w:rsid w:val="005E656B"/>
    <w:rsid w:val="005E7ED2"/>
    <w:rsid w:val="005E7EE3"/>
    <w:rsid w:val="005F14B1"/>
    <w:rsid w:val="005F212A"/>
    <w:rsid w:val="005F2D6A"/>
    <w:rsid w:val="005F2E94"/>
    <w:rsid w:val="005F3261"/>
    <w:rsid w:val="005F3ACE"/>
    <w:rsid w:val="005F3F9F"/>
    <w:rsid w:val="005F4641"/>
    <w:rsid w:val="005F4AF3"/>
    <w:rsid w:val="005F5203"/>
    <w:rsid w:val="005F54DA"/>
    <w:rsid w:val="005F684F"/>
    <w:rsid w:val="005F6E0A"/>
    <w:rsid w:val="005F70E2"/>
    <w:rsid w:val="005F718E"/>
    <w:rsid w:val="005F75C7"/>
    <w:rsid w:val="005F793E"/>
    <w:rsid w:val="005F7D50"/>
    <w:rsid w:val="00600B3C"/>
    <w:rsid w:val="00600C50"/>
    <w:rsid w:val="006015DC"/>
    <w:rsid w:val="0060222D"/>
    <w:rsid w:val="00602DA7"/>
    <w:rsid w:val="0060319E"/>
    <w:rsid w:val="006043D2"/>
    <w:rsid w:val="00604F28"/>
    <w:rsid w:val="00605B50"/>
    <w:rsid w:val="00606844"/>
    <w:rsid w:val="006068D7"/>
    <w:rsid w:val="00606D3A"/>
    <w:rsid w:val="0060707A"/>
    <w:rsid w:val="00607F3D"/>
    <w:rsid w:val="00607FF0"/>
    <w:rsid w:val="00610F82"/>
    <w:rsid w:val="006111AA"/>
    <w:rsid w:val="006112F1"/>
    <w:rsid w:val="006115E7"/>
    <w:rsid w:val="006123B2"/>
    <w:rsid w:val="006129D9"/>
    <w:rsid w:val="00612FA6"/>
    <w:rsid w:val="006134E6"/>
    <w:rsid w:val="00613983"/>
    <w:rsid w:val="00613C0B"/>
    <w:rsid w:val="00615B80"/>
    <w:rsid w:val="00615F36"/>
    <w:rsid w:val="00616B22"/>
    <w:rsid w:val="00616C7B"/>
    <w:rsid w:val="0061747F"/>
    <w:rsid w:val="00621693"/>
    <w:rsid w:val="00621A2D"/>
    <w:rsid w:val="00622142"/>
    <w:rsid w:val="00622AE5"/>
    <w:rsid w:val="00622F0B"/>
    <w:rsid w:val="00623C5D"/>
    <w:rsid w:val="0062426B"/>
    <w:rsid w:val="00624B6B"/>
    <w:rsid w:val="00624D24"/>
    <w:rsid w:val="0062538A"/>
    <w:rsid w:val="006255B4"/>
    <w:rsid w:val="00625E72"/>
    <w:rsid w:val="00626C17"/>
    <w:rsid w:val="00626FE6"/>
    <w:rsid w:val="00627D37"/>
    <w:rsid w:val="00631058"/>
    <w:rsid w:val="006310B6"/>
    <w:rsid w:val="006318E0"/>
    <w:rsid w:val="006331F5"/>
    <w:rsid w:val="00634991"/>
    <w:rsid w:val="006353DF"/>
    <w:rsid w:val="0063579E"/>
    <w:rsid w:val="006374F0"/>
    <w:rsid w:val="00640E20"/>
    <w:rsid w:val="00640ED6"/>
    <w:rsid w:val="006414BF"/>
    <w:rsid w:val="00642040"/>
    <w:rsid w:val="006426A5"/>
    <w:rsid w:val="00643A6C"/>
    <w:rsid w:val="00643C83"/>
    <w:rsid w:val="00643DAA"/>
    <w:rsid w:val="006458F8"/>
    <w:rsid w:val="00645F6A"/>
    <w:rsid w:val="00646487"/>
    <w:rsid w:val="00646FBF"/>
    <w:rsid w:val="006475E1"/>
    <w:rsid w:val="0065045F"/>
    <w:rsid w:val="00650925"/>
    <w:rsid w:val="00650EFB"/>
    <w:rsid w:val="00650FFE"/>
    <w:rsid w:val="0065268B"/>
    <w:rsid w:val="0065276B"/>
    <w:rsid w:val="006539BC"/>
    <w:rsid w:val="00654A63"/>
    <w:rsid w:val="0065528B"/>
    <w:rsid w:val="00655CD4"/>
    <w:rsid w:val="00656790"/>
    <w:rsid w:val="0065741F"/>
    <w:rsid w:val="00660297"/>
    <w:rsid w:val="0066086A"/>
    <w:rsid w:val="0066117C"/>
    <w:rsid w:val="006636E4"/>
    <w:rsid w:val="00663D2F"/>
    <w:rsid w:val="00663E37"/>
    <w:rsid w:val="00663FE9"/>
    <w:rsid w:val="006646B9"/>
    <w:rsid w:val="006646C7"/>
    <w:rsid w:val="006649B3"/>
    <w:rsid w:val="0066546E"/>
    <w:rsid w:val="006654FD"/>
    <w:rsid w:val="00665C90"/>
    <w:rsid w:val="00666E15"/>
    <w:rsid w:val="00670CF7"/>
    <w:rsid w:val="00670FA1"/>
    <w:rsid w:val="006742C7"/>
    <w:rsid w:val="00674B5C"/>
    <w:rsid w:val="00674E6B"/>
    <w:rsid w:val="00675049"/>
    <w:rsid w:val="00676A81"/>
    <w:rsid w:val="00676EE5"/>
    <w:rsid w:val="006774C1"/>
    <w:rsid w:val="00677740"/>
    <w:rsid w:val="00680925"/>
    <w:rsid w:val="00680E3E"/>
    <w:rsid w:val="006810F6"/>
    <w:rsid w:val="00681E71"/>
    <w:rsid w:val="00683A6A"/>
    <w:rsid w:val="006841D5"/>
    <w:rsid w:val="00684F17"/>
    <w:rsid w:val="00685349"/>
    <w:rsid w:val="006853B7"/>
    <w:rsid w:val="00685E17"/>
    <w:rsid w:val="0068688C"/>
    <w:rsid w:val="00686ACE"/>
    <w:rsid w:val="00686E88"/>
    <w:rsid w:val="00687417"/>
    <w:rsid w:val="006904EB"/>
    <w:rsid w:val="00690857"/>
    <w:rsid w:val="00690F8C"/>
    <w:rsid w:val="00691082"/>
    <w:rsid w:val="00691373"/>
    <w:rsid w:val="00691551"/>
    <w:rsid w:val="0069168C"/>
    <w:rsid w:val="006928E8"/>
    <w:rsid w:val="00693D2C"/>
    <w:rsid w:val="00694E37"/>
    <w:rsid w:val="006954BD"/>
    <w:rsid w:val="0069641D"/>
    <w:rsid w:val="00696874"/>
    <w:rsid w:val="00696DF0"/>
    <w:rsid w:val="006976C1"/>
    <w:rsid w:val="006977C2"/>
    <w:rsid w:val="00697960"/>
    <w:rsid w:val="00697E9E"/>
    <w:rsid w:val="006A139B"/>
    <w:rsid w:val="006A172E"/>
    <w:rsid w:val="006A23CB"/>
    <w:rsid w:val="006A349A"/>
    <w:rsid w:val="006A3705"/>
    <w:rsid w:val="006A4445"/>
    <w:rsid w:val="006A4547"/>
    <w:rsid w:val="006A47D1"/>
    <w:rsid w:val="006A4A3F"/>
    <w:rsid w:val="006A533E"/>
    <w:rsid w:val="006A6894"/>
    <w:rsid w:val="006A7F23"/>
    <w:rsid w:val="006B08AF"/>
    <w:rsid w:val="006B093C"/>
    <w:rsid w:val="006B170B"/>
    <w:rsid w:val="006B1F86"/>
    <w:rsid w:val="006B2213"/>
    <w:rsid w:val="006B2A32"/>
    <w:rsid w:val="006B348C"/>
    <w:rsid w:val="006B3624"/>
    <w:rsid w:val="006B3D3D"/>
    <w:rsid w:val="006B4040"/>
    <w:rsid w:val="006B4755"/>
    <w:rsid w:val="006B4AD5"/>
    <w:rsid w:val="006B5050"/>
    <w:rsid w:val="006B51BD"/>
    <w:rsid w:val="006B5261"/>
    <w:rsid w:val="006B62BD"/>
    <w:rsid w:val="006B6A66"/>
    <w:rsid w:val="006B7D42"/>
    <w:rsid w:val="006B7DC0"/>
    <w:rsid w:val="006C0008"/>
    <w:rsid w:val="006C003F"/>
    <w:rsid w:val="006C1082"/>
    <w:rsid w:val="006C23AF"/>
    <w:rsid w:val="006C393E"/>
    <w:rsid w:val="006C3E2C"/>
    <w:rsid w:val="006C6713"/>
    <w:rsid w:val="006C68A8"/>
    <w:rsid w:val="006C6C27"/>
    <w:rsid w:val="006C6E26"/>
    <w:rsid w:val="006C71DD"/>
    <w:rsid w:val="006D02A7"/>
    <w:rsid w:val="006D08E1"/>
    <w:rsid w:val="006D0C17"/>
    <w:rsid w:val="006D1215"/>
    <w:rsid w:val="006D12A8"/>
    <w:rsid w:val="006D167E"/>
    <w:rsid w:val="006D1CE1"/>
    <w:rsid w:val="006D2A55"/>
    <w:rsid w:val="006D2F0D"/>
    <w:rsid w:val="006D3956"/>
    <w:rsid w:val="006D456F"/>
    <w:rsid w:val="006D4C32"/>
    <w:rsid w:val="006D5BE9"/>
    <w:rsid w:val="006D5C90"/>
    <w:rsid w:val="006D64D3"/>
    <w:rsid w:val="006D6AB3"/>
    <w:rsid w:val="006D70A8"/>
    <w:rsid w:val="006E3078"/>
    <w:rsid w:val="006E3270"/>
    <w:rsid w:val="006E4AE9"/>
    <w:rsid w:val="006E562F"/>
    <w:rsid w:val="006E5BE8"/>
    <w:rsid w:val="006E61D9"/>
    <w:rsid w:val="006E79C6"/>
    <w:rsid w:val="006F02A7"/>
    <w:rsid w:val="006F0D61"/>
    <w:rsid w:val="006F0F20"/>
    <w:rsid w:val="006F17DF"/>
    <w:rsid w:val="006F1A2F"/>
    <w:rsid w:val="006F22AC"/>
    <w:rsid w:val="006F3064"/>
    <w:rsid w:val="006F3AD1"/>
    <w:rsid w:val="006F4E85"/>
    <w:rsid w:val="006F4FAE"/>
    <w:rsid w:val="006F50F5"/>
    <w:rsid w:val="006F5540"/>
    <w:rsid w:val="006F5542"/>
    <w:rsid w:val="006F565C"/>
    <w:rsid w:val="006F5DC8"/>
    <w:rsid w:val="006F60BD"/>
    <w:rsid w:val="006F61F4"/>
    <w:rsid w:val="006F6C0E"/>
    <w:rsid w:val="006F70B1"/>
    <w:rsid w:val="007001F6"/>
    <w:rsid w:val="0070101D"/>
    <w:rsid w:val="007010B1"/>
    <w:rsid w:val="0070207A"/>
    <w:rsid w:val="007025C1"/>
    <w:rsid w:val="007028EC"/>
    <w:rsid w:val="00703561"/>
    <w:rsid w:val="00703C18"/>
    <w:rsid w:val="00704D05"/>
    <w:rsid w:val="00706095"/>
    <w:rsid w:val="00706861"/>
    <w:rsid w:val="00707384"/>
    <w:rsid w:val="00707C87"/>
    <w:rsid w:val="00707F07"/>
    <w:rsid w:val="00710509"/>
    <w:rsid w:val="00710C53"/>
    <w:rsid w:val="007110AD"/>
    <w:rsid w:val="00712540"/>
    <w:rsid w:val="007128EC"/>
    <w:rsid w:val="00712C83"/>
    <w:rsid w:val="00714A80"/>
    <w:rsid w:val="007150BB"/>
    <w:rsid w:val="00716490"/>
    <w:rsid w:val="00716819"/>
    <w:rsid w:val="0071688A"/>
    <w:rsid w:val="00716E07"/>
    <w:rsid w:val="00717BB6"/>
    <w:rsid w:val="0071C344"/>
    <w:rsid w:val="00720384"/>
    <w:rsid w:val="00721614"/>
    <w:rsid w:val="00721AF3"/>
    <w:rsid w:val="00722158"/>
    <w:rsid w:val="00722596"/>
    <w:rsid w:val="00722CF0"/>
    <w:rsid w:val="007233C4"/>
    <w:rsid w:val="00724E48"/>
    <w:rsid w:val="0072515F"/>
    <w:rsid w:val="00725AE8"/>
    <w:rsid w:val="007262D1"/>
    <w:rsid w:val="00727180"/>
    <w:rsid w:val="00727C34"/>
    <w:rsid w:val="00730F26"/>
    <w:rsid w:val="0073105A"/>
    <w:rsid w:val="007317A5"/>
    <w:rsid w:val="0073247B"/>
    <w:rsid w:val="007332F8"/>
    <w:rsid w:val="00733419"/>
    <w:rsid w:val="00733E26"/>
    <w:rsid w:val="00734F22"/>
    <w:rsid w:val="007355F5"/>
    <w:rsid w:val="0073613F"/>
    <w:rsid w:val="00736597"/>
    <w:rsid w:val="00736698"/>
    <w:rsid w:val="00740EB6"/>
    <w:rsid w:val="00741667"/>
    <w:rsid w:val="00744C04"/>
    <w:rsid w:val="00744EBA"/>
    <w:rsid w:val="00745284"/>
    <w:rsid w:val="00750147"/>
    <w:rsid w:val="007508EF"/>
    <w:rsid w:val="00751721"/>
    <w:rsid w:val="00751E3E"/>
    <w:rsid w:val="00752D68"/>
    <w:rsid w:val="007533C4"/>
    <w:rsid w:val="00753474"/>
    <w:rsid w:val="007546A4"/>
    <w:rsid w:val="0075493F"/>
    <w:rsid w:val="00754F7B"/>
    <w:rsid w:val="00755154"/>
    <w:rsid w:val="0075592A"/>
    <w:rsid w:val="00755B44"/>
    <w:rsid w:val="00755D0A"/>
    <w:rsid w:val="00756F37"/>
    <w:rsid w:val="0075712C"/>
    <w:rsid w:val="00757289"/>
    <w:rsid w:val="00757BB9"/>
    <w:rsid w:val="00760B99"/>
    <w:rsid w:val="00761FD6"/>
    <w:rsid w:val="00763798"/>
    <w:rsid w:val="00763C1F"/>
    <w:rsid w:val="007648C1"/>
    <w:rsid w:val="00764C60"/>
    <w:rsid w:val="0076661A"/>
    <w:rsid w:val="00766656"/>
    <w:rsid w:val="00767006"/>
    <w:rsid w:val="00767D48"/>
    <w:rsid w:val="00767FDA"/>
    <w:rsid w:val="007700D9"/>
    <w:rsid w:val="007713B0"/>
    <w:rsid w:val="00771E3A"/>
    <w:rsid w:val="0077237A"/>
    <w:rsid w:val="00776588"/>
    <w:rsid w:val="00776D16"/>
    <w:rsid w:val="00777CF0"/>
    <w:rsid w:val="00777EE0"/>
    <w:rsid w:val="0078047B"/>
    <w:rsid w:val="00780CB4"/>
    <w:rsid w:val="007812F5"/>
    <w:rsid w:val="00781A64"/>
    <w:rsid w:val="007834B7"/>
    <w:rsid w:val="0078356A"/>
    <w:rsid w:val="0078433A"/>
    <w:rsid w:val="0078436B"/>
    <w:rsid w:val="00784999"/>
    <w:rsid w:val="00785FA9"/>
    <w:rsid w:val="0078669D"/>
    <w:rsid w:val="00786899"/>
    <w:rsid w:val="00786BA4"/>
    <w:rsid w:val="0078769A"/>
    <w:rsid w:val="0079018F"/>
    <w:rsid w:val="00790424"/>
    <w:rsid w:val="00790AEE"/>
    <w:rsid w:val="00790CA3"/>
    <w:rsid w:val="00790CFA"/>
    <w:rsid w:val="00791413"/>
    <w:rsid w:val="0079161E"/>
    <w:rsid w:val="0079283C"/>
    <w:rsid w:val="00792AF6"/>
    <w:rsid w:val="007933BE"/>
    <w:rsid w:val="00793886"/>
    <w:rsid w:val="00795006"/>
    <w:rsid w:val="007953AD"/>
    <w:rsid w:val="00795953"/>
    <w:rsid w:val="00795AC4"/>
    <w:rsid w:val="007974FA"/>
    <w:rsid w:val="007A0584"/>
    <w:rsid w:val="007A06EF"/>
    <w:rsid w:val="007A177C"/>
    <w:rsid w:val="007A3937"/>
    <w:rsid w:val="007A3BA9"/>
    <w:rsid w:val="007A4034"/>
    <w:rsid w:val="007A4842"/>
    <w:rsid w:val="007A5225"/>
    <w:rsid w:val="007A59B2"/>
    <w:rsid w:val="007A77A8"/>
    <w:rsid w:val="007B0F8B"/>
    <w:rsid w:val="007B2B2D"/>
    <w:rsid w:val="007B2C58"/>
    <w:rsid w:val="007B303D"/>
    <w:rsid w:val="007B344A"/>
    <w:rsid w:val="007B39BC"/>
    <w:rsid w:val="007B3CB5"/>
    <w:rsid w:val="007B4A7B"/>
    <w:rsid w:val="007B59ED"/>
    <w:rsid w:val="007B5EE2"/>
    <w:rsid w:val="007B6785"/>
    <w:rsid w:val="007B7AA5"/>
    <w:rsid w:val="007B7B8F"/>
    <w:rsid w:val="007B7EE6"/>
    <w:rsid w:val="007C1EB9"/>
    <w:rsid w:val="007C25A7"/>
    <w:rsid w:val="007C25EE"/>
    <w:rsid w:val="007C2FA7"/>
    <w:rsid w:val="007C3035"/>
    <w:rsid w:val="007C46BE"/>
    <w:rsid w:val="007C4E6F"/>
    <w:rsid w:val="007C524F"/>
    <w:rsid w:val="007C5627"/>
    <w:rsid w:val="007C5932"/>
    <w:rsid w:val="007C62B0"/>
    <w:rsid w:val="007C666B"/>
    <w:rsid w:val="007C7165"/>
    <w:rsid w:val="007C7A89"/>
    <w:rsid w:val="007D0588"/>
    <w:rsid w:val="007D0953"/>
    <w:rsid w:val="007D1617"/>
    <w:rsid w:val="007D1671"/>
    <w:rsid w:val="007D1DF4"/>
    <w:rsid w:val="007D22AB"/>
    <w:rsid w:val="007D2BA9"/>
    <w:rsid w:val="007D322E"/>
    <w:rsid w:val="007D3547"/>
    <w:rsid w:val="007D3972"/>
    <w:rsid w:val="007D3C87"/>
    <w:rsid w:val="007D492E"/>
    <w:rsid w:val="007D557B"/>
    <w:rsid w:val="007D59B0"/>
    <w:rsid w:val="007D63C9"/>
    <w:rsid w:val="007D7D01"/>
    <w:rsid w:val="007E0645"/>
    <w:rsid w:val="007E0BCA"/>
    <w:rsid w:val="007E0DC4"/>
    <w:rsid w:val="007E1FD5"/>
    <w:rsid w:val="007E2BBE"/>
    <w:rsid w:val="007E6254"/>
    <w:rsid w:val="007E625B"/>
    <w:rsid w:val="007E7C37"/>
    <w:rsid w:val="007F0BB6"/>
    <w:rsid w:val="007F13F0"/>
    <w:rsid w:val="007F1452"/>
    <w:rsid w:val="007F2B96"/>
    <w:rsid w:val="007F2C27"/>
    <w:rsid w:val="007F3342"/>
    <w:rsid w:val="007F3A56"/>
    <w:rsid w:val="007F3F34"/>
    <w:rsid w:val="007F41DA"/>
    <w:rsid w:val="007F6CBF"/>
    <w:rsid w:val="00800B37"/>
    <w:rsid w:val="0080197E"/>
    <w:rsid w:val="00801F53"/>
    <w:rsid w:val="0080244E"/>
    <w:rsid w:val="00802A56"/>
    <w:rsid w:val="00802BD1"/>
    <w:rsid w:val="00802D16"/>
    <w:rsid w:val="008033A5"/>
    <w:rsid w:val="00803631"/>
    <w:rsid w:val="00803D2A"/>
    <w:rsid w:val="00803DD4"/>
    <w:rsid w:val="00803E53"/>
    <w:rsid w:val="00804DE1"/>
    <w:rsid w:val="00805610"/>
    <w:rsid w:val="00805D57"/>
    <w:rsid w:val="0080673C"/>
    <w:rsid w:val="00806919"/>
    <w:rsid w:val="0080796F"/>
    <w:rsid w:val="00807BD1"/>
    <w:rsid w:val="00807E31"/>
    <w:rsid w:val="0081025C"/>
    <w:rsid w:val="008104B8"/>
    <w:rsid w:val="00810A52"/>
    <w:rsid w:val="00810B5D"/>
    <w:rsid w:val="00811079"/>
    <w:rsid w:val="008110C2"/>
    <w:rsid w:val="00811A95"/>
    <w:rsid w:val="0081228B"/>
    <w:rsid w:val="008128F9"/>
    <w:rsid w:val="00813650"/>
    <w:rsid w:val="008138C5"/>
    <w:rsid w:val="00813A40"/>
    <w:rsid w:val="008142C8"/>
    <w:rsid w:val="008145E2"/>
    <w:rsid w:val="008152AF"/>
    <w:rsid w:val="008152F4"/>
    <w:rsid w:val="00815B8D"/>
    <w:rsid w:val="00816489"/>
    <w:rsid w:val="00821542"/>
    <w:rsid w:val="00821638"/>
    <w:rsid w:val="00821D3C"/>
    <w:rsid w:val="00822121"/>
    <w:rsid w:val="0082217A"/>
    <w:rsid w:val="00822C81"/>
    <w:rsid w:val="0082552B"/>
    <w:rsid w:val="00825C9E"/>
    <w:rsid w:val="00827285"/>
    <w:rsid w:val="0083023F"/>
    <w:rsid w:val="008312AE"/>
    <w:rsid w:val="00832810"/>
    <w:rsid w:val="0083387B"/>
    <w:rsid w:val="00833C30"/>
    <w:rsid w:val="00834BD4"/>
    <w:rsid w:val="00835402"/>
    <w:rsid w:val="0083545A"/>
    <w:rsid w:val="00835806"/>
    <w:rsid w:val="008442A5"/>
    <w:rsid w:val="0084433D"/>
    <w:rsid w:val="0084497E"/>
    <w:rsid w:val="00846056"/>
    <w:rsid w:val="00846AE5"/>
    <w:rsid w:val="008479A2"/>
    <w:rsid w:val="00847E6E"/>
    <w:rsid w:val="0085064E"/>
    <w:rsid w:val="00851900"/>
    <w:rsid w:val="008521BA"/>
    <w:rsid w:val="0085267B"/>
    <w:rsid w:val="008538BE"/>
    <w:rsid w:val="00853A18"/>
    <w:rsid w:val="00854DD4"/>
    <w:rsid w:val="00854E36"/>
    <w:rsid w:val="00854FA7"/>
    <w:rsid w:val="0085595C"/>
    <w:rsid w:val="00856120"/>
    <w:rsid w:val="008564DB"/>
    <w:rsid w:val="0085651B"/>
    <w:rsid w:val="008567B7"/>
    <w:rsid w:val="008575EE"/>
    <w:rsid w:val="008579B8"/>
    <w:rsid w:val="00857D75"/>
    <w:rsid w:val="00860491"/>
    <w:rsid w:val="008614DC"/>
    <w:rsid w:val="00862FD3"/>
    <w:rsid w:val="00863DEF"/>
    <w:rsid w:val="00864580"/>
    <w:rsid w:val="0086477A"/>
    <w:rsid w:val="00864E31"/>
    <w:rsid w:val="008665F1"/>
    <w:rsid w:val="0086721A"/>
    <w:rsid w:val="0086733A"/>
    <w:rsid w:val="00867F51"/>
    <w:rsid w:val="00870027"/>
    <w:rsid w:val="008701DE"/>
    <w:rsid w:val="00870336"/>
    <w:rsid w:val="008712B7"/>
    <w:rsid w:val="00871623"/>
    <w:rsid w:val="00871733"/>
    <w:rsid w:val="00871AED"/>
    <w:rsid w:val="00871BB4"/>
    <w:rsid w:val="008720DD"/>
    <w:rsid w:val="00874176"/>
    <w:rsid w:val="00874739"/>
    <w:rsid w:val="00874ABB"/>
    <w:rsid w:val="008767FD"/>
    <w:rsid w:val="00876FDA"/>
    <w:rsid w:val="00880291"/>
    <w:rsid w:val="008809A6"/>
    <w:rsid w:val="00880A3C"/>
    <w:rsid w:val="00880F5F"/>
    <w:rsid w:val="00881B86"/>
    <w:rsid w:val="00881C15"/>
    <w:rsid w:val="00881FB1"/>
    <w:rsid w:val="008821F8"/>
    <w:rsid w:val="00882649"/>
    <w:rsid w:val="00882740"/>
    <w:rsid w:val="0088295F"/>
    <w:rsid w:val="00883FF2"/>
    <w:rsid w:val="0088446D"/>
    <w:rsid w:val="00884A0B"/>
    <w:rsid w:val="008876BA"/>
    <w:rsid w:val="00887CCC"/>
    <w:rsid w:val="00890EB2"/>
    <w:rsid w:val="00891E2F"/>
    <w:rsid w:val="00893607"/>
    <w:rsid w:val="008936A6"/>
    <w:rsid w:val="00893C4F"/>
    <w:rsid w:val="00894494"/>
    <w:rsid w:val="008944AE"/>
    <w:rsid w:val="008967C5"/>
    <w:rsid w:val="008970BA"/>
    <w:rsid w:val="00897165"/>
    <w:rsid w:val="008971EF"/>
    <w:rsid w:val="00897FAF"/>
    <w:rsid w:val="008A04B6"/>
    <w:rsid w:val="008A09BC"/>
    <w:rsid w:val="008A14F2"/>
    <w:rsid w:val="008A47C5"/>
    <w:rsid w:val="008A4822"/>
    <w:rsid w:val="008A4B5A"/>
    <w:rsid w:val="008A612D"/>
    <w:rsid w:val="008A7161"/>
    <w:rsid w:val="008A75E5"/>
    <w:rsid w:val="008A79B8"/>
    <w:rsid w:val="008A7DA8"/>
    <w:rsid w:val="008B0E06"/>
    <w:rsid w:val="008B1E12"/>
    <w:rsid w:val="008B213A"/>
    <w:rsid w:val="008B27D8"/>
    <w:rsid w:val="008B293D"/>
    <w:rsid w:val="008B2D5E"/>
    <w:rsid w:val="008B2ED4"/>
    <w:rsid w:val="008B3650"/>
    <w:rsid w:val="008B3712"/>
    <w:rsid w:val="008B376A"/>
    <w:rsid w:val="008B4DF2"/>
    <w:rsid w:val="008B512A"/>
    <w:rsid w:val="008B550A"/>
    <w:rsid w:val="008B5684"/>
    <w:rsid w:val="008B5699"/>
    <w:rsid w:val="008B617F"/>
    <w:rsid w:val="008B6ADA"/>
    <w:rsid w:val="008B7775"/>
    <w:rsid w:val="008B7BC4"/>
    <w:rsid w:val="008C03CE"/>
    <w:rsid w:val="008C092D"/>
    <w:rsid w:val="008C0C3F"/>
    <w:rsid w:val="008C1475"/>
    <w:rsid w:val="008C17B7"/>
    <w:rsid w:val="008C2141"/>
    <w:rsid w:val="008C270E"/>
    <w:rsid w:val="008C359B"/>
    <w:rsid w:val="008C4133"/>
    <w:rsid w:val="008C44A2"/>
    <w:rsid w:val="008C5171"/>
    <w:rsid w:val="008C519F"/>
    <w:rsid w:val="008C521E"/>
    <w:rsid w:val="008C5771"/>
    <w:rsid w:val="008C5ECC"/>
    <w:rsid w:val="008C716F"/>
    <w:rsid w:val="008C7AD7"/>
    <w:rsid w:val="008C7BC8"/>
    <w:rsid w:val="008D1142"/>
    <w:rsid w:val="008D1777"/>
    <w:rsid w:val="008D1C9C"/>
    <w:rsid w:val="008D1CE0"/>
    <w:rsid w:val="008D23C0"/>
    <w:rsid w:val="008D26DC"/>
    <w:rsid w:val="008D2B4C"/>
    <w:rsid w:val="008D2E73"/>
    <w:rsid w:val="008D36CD"/>
    <w:rsid w:val="008D3818"/>
    <w:rsid w:val="008D4014"/>
    <w:rsid w:val="008D4637"/>
    <w:rsid w:val="008D6E9E"/>
    <w:rsid w:val="008E103D"/>
    <w:rsid w:val="008E25E4"/>
    <w:rsid w:val="008E2806"/>
    <w:rsid w:val="008E349E"/>
    <w:rsid w:val="008E378C"/>
    <w:rsid w:val="008E3A5A"/>
    <w:rsid w:val="008E4365"/>
    <w:rsid w:val="008E4DBD"/>
    <w:rsid w:val="008E4EA1"/>
    <w:rsid w:val="008E54C1"/>
    <w:rsid w:val="008E69DF"/>
    <w:rsid w:val="008E6B4A"/>
    <w:rsid w:val="008E72A3"/>
    <w:rsid w:val="008E74F3"/>
    <w:rsid w:val="008E7583"/>
    <w:rsid w:val="008E7C88"/>
    <w:rsid w:val="008E7D47"/>
    <w:rsid w:val="008F0525"/>
    <w:rsid w:val="008F05FE"/>
    <w:rsid w:val="008F0AB5"/>
    <w:rsid w:val="008F16E3"/>
    <w:rsid w:val="008F1D8B"/>
    <w:rsid w:val="008F2961"/>
    <w:rsid w:val="008F2B0D"/>
    <w:rsid w:val="008F2BAF"/>
    <w:rsid w:val="008F57DC"/>
    <w:rsid w:val="008F5E3E"/>
    <w:rsid w:val="008F6503"/>
    <w:rsid w:val="008F6B28"/>
    <w:rsid w:val="008F7C56"/>
    <w:rsid w:val="009009F0"/>
    <w:rsid w:val="00901662"/>
    <w:rsid w:val="0090174B"/>
    <w:rsid w:val="00901FD6"/>
    <w:rsid w:val="00902181"/>
    <w:rsid w:val="009026B5"/>
    <w:rsid w:val="00903744"/>
    <w:rsid w:val="00903827"/>
    <w:rsid w:val="009050F4"/>
    <w:rsid w:val="00905CB6"/>
    <w:rsid w:val="009061BC"/>
    <w:rsid w:val="00906687"/>
    <w:rsid w:val="00906883"/>
    <w:rsid w:val="00907494"/>
    <w:rsid w:val="009075FC"/>
    <w:rsid w:val="0090B13A"/>
    <w:rsid w:val="00910F7E"/>
    <w:rsid w:val="009115FE"/>
    <w:rsid w:val="00911B61"/>
    <w:rsid w:val="00911CBE"/>
    <w:rsid w:val="00912110"/>
    <w:rsid w:val="0091217F"/>
    <w:rsid w:val="009122EC"/>
    <w:rsid w:val="00912D7F"/>
    <w:rsid w:val="00914117"/>
    <w:rsid w:val="0091472F"/>
    <w:rsid w:val="00915526"/>
    <w:rsid w:val="00915D24"/>
    <w:rsid w:val="00915EF3"/>
    <w:rsid w:val="00917539"/>
    <w:rsid w:val="00917974"/>
    <w:rsid w:val="00917B6F"/>
    <w:rsid w:val="00920103"/>
    <w:rsid w:val="00920122"/>
    <w:rsid w:val="00921975"/>
    <w:rsid w:val="00921A8A"/>
    <w:rsid w:val="00921CA6"/>
    <w:rsid w:val="0092353B"/>
    <w:rsid w:val="00923ABF"/>
    <w:rsid w:val="00923DD7"/>
    <w:rsid w:val="00925D6D"/>
    <w:rsid w:val="00925F6B"/>
    <w:rsid w:val="00926F34"/>
    <w:rsid w:val="00927363"/>
    <w:rsid w:val="009273A0"/>
    <w:rsid w:val="00927A3A"/>
    <w:rsid w:val="00927D37"/>
    <w:rsid w:val="00929392"/>
    <w:rsid w:val="009312EC"/>
    <w:rsid w:val="00932213"/>
    <w:rsid w:val="00932AE3"/>
    <w:rsid w:val="0093335B"/>
    <w:rsid w:val="009336B1"/>
    <w:rsid w:val="00933FC1"/>
    <w:rsid w:val="00934C3D"/>
    <w:rsid w:val="00934CD5"/>
    <w:rsid w:val="009352F5"/>
    <w:rsid w:val="009355E5"/>
    <w:rsid w:val="00935A90"/>
    <w:rsid w:val="00935DCE"/>
    <w:rsid w:val="00937014"/>
    <w:rsid w:val="00937F53"/>
    <w:rsid w:val="009409AF"/>
    <w:rsid w:val="00941277"/>
    <w:rsid w:val="009417F2"/>
    <w:rsid w:val="00942AB2"/>
    <w:rsid w:val="00942BC8"/>
    <w:rsid w:val="00942C4A"/>
    <w:rsid w:val="00942EC2"/>
    <w:rsid w:val="009435A9"/>
    <w:rsid w:val="00943957"/>
    <w:rsid w:val="009449FC"/>
    <w:rsid w:val="00946891"/>
    <w:rsid w:val="00946D95"/>
    <w:rsid w:val="00947DF2"/>
    <w:rsid w:val="00947FB9"/>
    <w:rsid w:val="00950798"/>
    <w:rsid w:val="00950D6B"/>
    <w:rsid w:val="0095135B"/>
    <w:rsid w:val="00952318"/>
    <w:rsid w:val="00952673"/>
    <w:rsid w:val="009538F0"/>
    <w:rsid w:val="009540EB"/>
    <w:rsid w:val="00954317"/>
    <w:rsid w:val="00955A1C"/>
    <w:rsid w:val="00955FF1"/>
    <w:rsid w:val="00956459"/>
    <w:rsid w:val="009564F7"/>
    <w:rsid w:val="00961950"/>
    <w:rsid w:val="009627AD"/>
    <w:rsid w:val="009628F3"/>
    <w:rsid w:val="00962B07"/>
    <w:rsid w:val="00963184"/>
    <w:rsid w:val="00963235"/>
    <w:rsid w:val="00963A1B"/>
    <w:rsid w:val="00963BC8"/>
    <w:rsid w:val="009642DB"/>
    <w:rsid w:val="009652F1"/>
    <w:rsid w:val="009654D1"/>
    <w:rsid w:val="00965663"/>
    <w:rsid w:val="009656EC"/>
    <w:rsid w:val="00965E68"/>
    <w:rsid w:val="00965E73"/>
    <w:rsid w:val="00966227"/>
    <w:rsid w:val="00966C02"/>
    <w:rsid w:val="00966D05"/>
    <w:rsid w:val="0096773F"/>
    <w:rsid w:val="009706E8"/>
    <w:rsid w:val="00970805"/>
    <w:rsid w:val="00972B9B"/>
    <w:rsid w:val="00972BFB"/>
    <w:rsid w:val="00973DE0"/>
    <w:rsid w:val="0097462D"/>
    <w:rsid w:val="00974723"/>
    <w:rsid w:val="009753F3"/>
    <w:rsid w:val="009760FF"/>
    <w:rsid w:val="00976A86"/>
    <w:rsid w:val="00976BC2"/>
    <w:rsid w:val="00977023"/>
    <w:rsid w:val="0097707E"/>
    <w:rsid w:val="00977116"/>
    <w:rsid w:val="00977D8E"/>
    <w:rsid w:val="00980417"/>
    <w:rsid w:val="009805BA"/>
    <w:rsid w:val="00981546"/>
    <w:rsid w:val="00981617"/>
    <w:rsid w:val="009819F3"/>
    <w:rsid w:val="0098240C"/>
    <w:rsid w:val="0098249B"/>
    <w:rsid w:val="00982BCB"/>
    <w:rsid w:val="00983693"/>
    <w:rsid w:val="009842E6"/>
    <w:rsid w:val="009844F5"/>
    <w:rsid w:val="009845BF"/>
    <w:rsid w:val="00986009"/>
    <w:rsid w:val="00986DA5"/>
    <w:rsid w:val="00987162"/>
    <w:rsid w:val="00987258"/>
    <w:rsid w:val="009875A6"/>
    <w:rsid w:val="009879D0"/>
    <w:rsid w:val="00987A55"/>
    <w:rsid w:val="00987E96"/>
    <w:rsid w:val="00990595"/>
    <w:rsid w:val="00990815"/>
    <w:rsid w:val="0099105B"/>
    <w:rsid w:val="0099208A"/>
    <w:rsid w:val="009923E7"/>
    <w:rsid w:val="00993BC3"/>
    <w:rsid w:val="00994186"/>
    <w:rsid w:val="00994C84"/>
    <w:rsid w:val="00994C9C"/>
    <w:rsid w:val="00995AB0"/>
    <w:rsid w:val="00995CF0"/>
    <w:rsid w:val="0099604A"/>
    <w:rsid w:val="0099728D"/>
    <w:rsid w:val="009973A6"/>
    <w:rsid w:val="00997746"/>
    <w:rsid w:val="00997E5F"/>
    <w:rsid w:val="009A05CF"/>
    <w:rsid w:val="009A10E3"/>
    <w:rsid w:val="009A12E7"/>
    <w:rsid w:val="009A2699"/>
    <w:rsid w:val="009A26A5"/>
    <w:rsid w:val="009A31D9"/>
    <w:rsid w:val="009A3464"/>
    <w:rsid w:val="009A35F3"/>
    <w:rsid w:val="009A3B52"/>
    <w:rsid w:val="009A469B"/>
    <w:rsid w:val="009A4B3B"/>
    <w:rsid w:val="009A6221"/>
    <w:rsid w:val="009A6D44"/>
    <w:rsid w:val="009B02B4"/>
    <w:rsid w:val="009B0989"/>
    <w:rsid w:val="009B0BE5"/>
    <w:rsid w:val="009B1A0B"/>
    <w:rsid w:val="009B2A78"/>
    <w:rsid w:val="009B370F"/>
    <w:rsid w:val="009B388C"/>
    <w:rsid w:val="009B4D13"/>
    <w:rsid w:val="009B568C"/>
    <w:rsid w:val="009B5C0E"/>
    <w:rsid w:val="009B5F3B"/>
    <w:rsid w:val="009B622B"/>
    <w:rsid w:val="009B7548"/>
    <w:rsid w:val="009B7945"/>
    <w:rsid w:val="009B79A0"/>
    <w:rsid w:val="009C0A17"/>
    <w:rsid w:val="009C0D6B"/>
    <w:rsid w:val="009C1841"/>
    <w:rsid w:val="009C1EAB"/>
    <w:rsid w:val="009C2AC3"/>
    <w:rsid w:val="009C2FCA"/>
    <w:rsid w:val="009C3B7C"/>
    <w:rsid w:val="009C3BA8"/>
    <w:rsid w:val="009C4113"/>
    <w:rsid w:val="009C43AD"/>
    <w:rsid w:val="009C482E"/>
    <w:rsid w:val="009C5F43"/>
    <w:rsid w:val="009C6B63"/>
    <w:rsid w:val="009C6FCD"/>
    <w:rsid w:val="009C7561"/>
    <w:rsid w:val="009D0B4D"/>
    <w:rsid w:val="009D16D5"/>
    <w:rsid w:val="009D17B9"/>
    <w:rsid w:val="009D18F1"/>
    <w:rsid w:val="009D1C4D"/>
    <w:rsid w:val="009D3DA5"/>
    <w:rsid w:val="009D5747"/>
    <w:rsid w:val="009D5B8E"/>
    <w:rsid w:val="009E14E5"/>
    <w:rsid w:val="009E1E18"/>
    <w:rsid w:val="009E2B9F"/>
    <w:rsid w:val="009E3062"/>
    <w:rsid w:val="009E316A"/>
    <w:rsid w:val="009E3201"/>
    <w:rsid w:val="009E35ED"/>
    <w:rsid w:val="009E39A2"/>
    <w:rsid w:val="009E4A36"/>
    <w:rsid w:val="009E5142"/>
    <w:rsid w:val="009E51E4"/>
    <w:rsid w:val="009E78DF"/>
    <w:rsid w:val="009E7937"/>
    <w:rsid w:val="009F07CA"/>
    <w:rsid w:val="009F0A2A"/>
    <w:rsid w:val="009F1928"/>
    <w:rsid w:val="009F1F21"/>
    <w:rsid w:val="009F2A02"/>
    <w:rsid w:val="009F2DC9"/>
    <w:rsid w:val="009F2EF4"/>
    <w:rsid w:val="009F2F7C"/>
    <w:rsid w:val="009F3072"/>
    <w:rsid w:val="009F383F"/>
    <w:rsid w:val="009F4128"/>
    <w:rsid w:val="009F433B"/>
    <w:rsid w:val="009F460A"/>
    <w:rsid w:val="009F4679"/>
    <w:rsid w:val="009F4894"/>
    <w:rsid w:val="009F5500"/>
    <w:rsid w:val="009F75CA"/>
    <w:rsid w:val="009F76F5"/>
    <w:rsid w:val="009F7778"/>
    <w:rsid w:val="009F7C22"/>
    <w:rsid w:val="009F7CFC"/>
    <w:rsid w:val="009F7F6E"/>
    <w:rsid w:val="00A00161"/>
    <w:rsid w:val="00A0177A"/>
    <w:rsid w:val="00A01E98"/>
    <w:rsid w:val="00A0231A"/>
    <w:rsid w:val="00A024D1"/>
    <w:rsid w:val="00A0269B"/>
    <w:rsid w:val="00A02CAB"/>
    <w:rsid w:val="00A04073"/>
    <w:rsid w:val="00A064B0"/>
    <w:rsid w:val="00A06854"/>
    <w:rsid w:val="00A069EB"/>
    <w:rsid w:val="00A06A60"/>
    <w:rsid w:val="00A07738"/>
    <w:rsid w:val="00A07E53"/>
    <w:rsid w:val="00A0E705"/>
    <w:rsid w:val="00A1053B"/>
    <w:rsid w:val="00A1059C"/>
    <w:rsid w:val="00A109F9"/>
    <w:rsid w:val="00A12546"/>
    <w:rsid w:val="00A13015"/>
    <w:rsid w:val="00A130D1"/>
    <w:rsid w:val="00A147A6"/>
    <w:rsid w:val="00A148C2"/>
    <w:rsid w:val="00A149BD"/>
    <w:rsid w:val="00A14F1F"/>
    <w:rsid w:val="00A15B6A"/>
    <w:rsid w:val="00A15EF3"/>
    <w:rsid w:val="00A16AEE"/>
    <w:rsid w:val="00A1749E"/>
    <w:rsid w:val="00A17D67"/>
    <w:rsid w:val="00A205E8"/>
    <w:rsid w:val="00A21322"/>
    <w:rsid w:val="00A21395"/>
    <w:rsid w:val="00A22300"/>
    <w:rsid w:val="00A22681"/>
    <w:rsid w:val="00A233A1"/>
    <w:rsid w:val="00A2448B"/>
    <w:rsid w:val="00A2577B"/>
    <w:rsid w:val="00A25999"/>
    <w:rsid w:val="00A26341"/>
    <w:rsid w:val="00A2731A"/>
    <w:rsid w:val="00A27D8E"/>
    <w:rsid w:val="00A2F0F6"/>
    <w:rsid w:val="00A32EB3"/>
    <w:rsid w:val="00A33B06"/>
    <w:rsid w:val="00A33E40"/>
    <w:rsid w:val="00A34A24"/>
    <w:rsid w:val="00A35FA9"/>
    <w:rsid w:val="00A362DD"/>
    <w:rsid w:val="00A37A5D"/>
    <w:rsid w:val="00A40925"/>
    <w:rsid w:val="00A40942"/>
    <w:rsid w:val="00A40A83"/>
    <w:rsid w:val="00A41D6C"/>
    <w:rsid w:val="00A42271"/>
    <w:rsid w:val="00A435F9"/>
    <w:rsid w:val="00A440B4"/>
    <w:rsid w:val="00A447F2"/>
    <w:rsid w:val="00A44BB0"/>
    <w:rsid w:val="00A477BF"/>
    <w:rsid w:val="00A47CCA"/>
    <w:rsid w:val="00A47D9D"/>
    <w:rsid w:val="00A47DC3"/>
    <w:rsid w:val="00A52196"/>
    <w:rsid w:val="00A537F0"/>
    <w:rsid w:val="00A5380F"/>
    <w:rsid w:val="00A5381C"/>
    <w:rsid w:val="00A54AA5"/>
    <w:rsid w:val="00A551E6"/>
    <w:rsid w:val="00A55CF2"/>
    <w:rsid w:val="00A568A8"/>
    <w:rsid w:val="00A568FD"/>
    <w:rsid w:val="00A56913"/>
    <w:rsid w:val="00A5743E"/>
    <w:rsid w:val="00A57A83"/>
    <w:rsid w:val="00A57EB8"/>
    <w:rsid w:val="00A605CA"/>
    <w:rsid w:val="00A60EDA"/>
    <w:rsid w:val="00A619F7"/>
    <w:rsid w:val="00A620ED"/>
    <w:rsid w:val="00A62F0E"/>
    <w:rsid w:val="00A6316C"/>
    <w:rsid w:val="00A63780"/>
    <w:rsid w:val="00A63BA7"/>
    <w:rsid w:val="00A63D10"/>
    <w:rsid w:val="00A64490"/>
    <w:rsid w:val="00A645FD"/>
    <w:rsid w:val="00A64986"/>
    <w:rsid w:val="00A65446"/>
    <w:rsid w:val="00A654B6"/>
    <w:rsid w:val="00A6660E"/>
    <w:rsid w:val="00A66936"/>
    <w:rsid w:val="00A673A3"/>
    <w:rsid w:val="00A67E13"/>
    <w:rsid w:val="00A7112D"/>
    <w:rsid w:val="00A711AE"/>
    <w:rsid w:val="00A75BD4"/>
    <w:rsid w:val="00A765AB"/>
    <w:rsid w:val="00A77214"/>
    <w:rsid w:val="00A772A7"/>
    <w:rsid w:val="00A801D2"/>
    <w:rsid w:val="00A8058F"/>
    <w:rsid w:val="00A80836"/>
    <w:rsid w:val="00A84DCA"/>
    <w:rsid w:val="00A854DE"/>
    <w:rsid w:val="00A85661"/>
    <w:rsid w:val="00A86A64"/>
    <w:rsid w:val="00A872EB"/>
    <w:rsid w:val="00A87C0B"/>
    <w:rsid w:val="00A87DFC"/>
    <w:rsid w:val="00A87FA2"/>
    <w:rsid w:val="00A91892"/>
    <w:rsid w:val="00A91DF8"/>
    <w:rsid w:val="00A93435"/>
    <w:rsid w:val="00A93934"/>
    <w:rsid w:val="00A93B15"/>
    <w:rsid w:val="00A93D65"/>
    <w:rsid w:val="00A94018"/>
    <w:rsid w:val="00A94AB8"/>
    <w:rsid w:val="00A95C44"/>
    <w:rsid w:val="00A9652A"/>
    <w:rsid w:val="00AA0D0B"/>
    <w:rsid w:val="00AA1006"/>
    <w:rsid w:val="00AA181C"/>
    <w:rsid w:val="00AA2257"/>
    <w:rsid w:val="00AA2274"/>
    <w:rsid w:val="00AA2BE1"/>
    <w:rsid w:val="00AA3715"/>
    <w:rsid w:val="00AA3D71"/>
    <w:rsid w:val="00AA4078"/>
    <w:rsid w:val="00AA48BC"/>
    <w:rsid w:val="00AA5103"/>
    <w:rsid w:val="00AA6650"/>
    <w:rsid w:val="00AA6F47"/>
    <w:rsid w:val="00AA7A9E"/>
    <w:rsid w:val="00AA7BCC"/>
    <w:rsid w:val="00AB1A58"/>
    <w:rsid w:val="00AB28BC"/>
    <w:rsid w:val="00AB2B1D"/>
    <w:rsid w:val="00AB2B90"/>
    <w:rsid w:val="00AB3204"/>
    <w:rsid w:val="00AB3927"/>
    <w:rsid w:val="00AB3BC6"/>
    <w:rsid w:val="00AB401F"/>
    <w:rsid w:val="00AB4B72"/>
    <w:rsid w:val="00AB5BB0"/>
    <w:rsid w:val="00AB662B"/>
    <w:rsid w:val="00AB78D4"/>
    <w:rsid w:val="00AC0714"/>
    <w:rsid w:val="00AC14A3"/>
    <w:rsid w:val="00AC1837"/>
    <w:rsid w:val="00AC2D62"/>
    <w:rsid w:val="00AC3968"/>
    <w:rsid w:val="00AC3C8C"/>
    <w:rsid w:val="00AC5A73"/>
    <w:rsid w:val="00AC619A"/>
    <w:rsid w:val="00AC652E"/>
    <w:rsid w:val="00AC67B7"/>
    <w:rsid w:val="00AC73E3"/>
    <w:rsid w:val="00AC7A88"/>
    <w:rsid w:val="00AD0385"/>
    <w:rsid w:val="00AD0616"/>
    <w:rsid w:val="00AD1124"/>
    <w:rsid w:val="00AD1C22"/>
    <w:rsid w:val="00AD2281"/>
    <w:rsid w:val="00AD267E"/>
    <w:rsid w:val="00AD2720"/>
    <w:rsid w:val="00AD39B2"/>
    <w:rsid w:val="00AD470C"/>
    <w:rsid w:val="00AD4F6D"/>
    <w:rsid w:val="00AD75CE"/>
    <w:rsid w:val="00AD7D14"/>
    <w:rsid w:val="00AE006E"/>
    <w:rsid w:val="00AE0C0A"/>
    <w:rsid w:val="00AE0DBA"/>
    <w:rsid w:val="00AE1529"/>
    <w:rsid w:val="00AE1B28"/>
    <w:rsid w:val="00AE1CE3"/>
    <w:rsid w:val="00AE1D4C"/>
    <w:rsid w:val="00AE29FE"/>
    <w:rsid w:val="00AE3359"/>
    <w:rsid w:val="00AE42E4"/>
    <w:rsid w:val="00AE4401"/>
    <w:rsid w:val="00AE55B6"/>
    <w:rsid w:val="00AE57B7"/>
    <w:rsid w:val="00AE6631"/>
    <w:rsid w:val="00AE6903"/>
    <w:rsid w:val="00AE6CA0"/>
    <w:rsid w:val="00AE709E"/>
    <w:rsid w:val="00AF04EE"/>
    <w:rsid w:val="00AF05F4"/>
    <w:rsid w:val="00AF0663"/>
    <w:rsid w:val="00AF20A6"/>
    <w:rsid w:val="00AF2E0B"/>
    <w:rsid w:val="00AF4017"/>
    <w:rsid w:val="00AF543D"/>
    <w:rsid w:val="00AF5550"/>
    <w:rsid w:val="00AF5B79"/>
    <w:rsid w:val="00AF6591"/>
    <w:rsid w:val="00AF6C3F"/>
    <w:rsid w:val="00AF71F5"/>
    <w:rsid w:val="00AF775E"/>
    <w:rsid w:val="00AF7DC9"/>
    <w:rsid w:val="00AF7FA7"/>
    <w:rsid w:val="00AFE9D4"/>
    <w:rsid w:val="00B00620"/>
    <w:rsid w:val="00B00D9D"/>
    <w:rsid w:val="00B0153B"/>
    <w:rsid w:val="00B015AA"/>
    <w:rsid w:val="00B01781"/>
    <w:rsid w:val="00B01DB6"/>
    <w:rsid w:val="00B01FF8"/>
    <w:rsid w:val="00B020E9"/>
    <w:rsid w:val="00B0217A"/>
    <w:rsid w:val="00B03C9C"/>
    <w:rsid w:val="00B064ED"/>
    <w:rsid w:val="00B067FF"/>
    <w:rsid w:val="00B06AE4"/>
    <w:rsid w:val="00B06C9D"/>
    <w:rsid w:val="00B10984"/>
    <w:rsid w:val="00B1186E"/>
    <w:rsid w:val="00B12147"/>
    <w:rsid w:val="00B1285C"/>
    <w:rsid w:val="00B14330"/>
    <w:rsid w:val="00B1452C"/>
    <w:rsid w:val="00B14553"/>
    <w:rsid w:val="00B148C4"/>
    <w:rsid w:val="00B16490"/>
    <w:rsid w:val="00B16CC1"/>
    <w:rsid w:val="00B20BF9"/>
    <w:rsid w:val="00B20ED9"/>
    <w:rsid w:val="00B21D10"/>
    <w:rsid w:val="00B2239A"/>
    <w:rsid w:val="00B23516"/>
    <w:rsid w:val="00B23D19"/>
    <w:rsid w:val="00B25043"/>
    <w:rsid w:val="00B2570A"/>
    <w:rsid w:val="00B26DB4"/>
    <w:rsid w:val="00B27B9C"/>
    <w:rsid w:val="00B30462"/>
    <w:rsid w:val="00B305CE"/>
    <w:rsid w:val="00B33324"/>
    <w:rsid w:val="00B339A4"/>
    <w:rsid w:val="00B33DF0"/>
    <w:rsid w:val="00B348F1"/>
    <w:rsid w:val="00B34A4E"/>
    <w:rsid w:val="00B36405"/>
    <w:rsid w:val="00B40699"/>
    <w:rsid w:val="00B40F3B"/>
    <w:rsid w:val="00B42004"/>
    <w:rsid w:val="00B42C93"/>
    <w:rsid w:val="00B43D0C"/>
    <w:rsid w:val="00B44225"/>
    <w:rsid w:val="00B446A4"/>
    <w:rsid w:val="00B44873"/>
    <w:rsid w:val="00B44A0D"/>
    <w:rsid w:val="00B44E7F"/>
    <w:rsid w:val="00B450FE"/>
    <w:rsid w:val="00B45463"/>
    <w:rsid w:val="00B467F6"/>
    <w:rsid w:val="00B475E5"/>
    <w:rsid w:val="00B508FE"/>
    <w:rsid w:val="00B52079"/>
    <w:rsid w:val="00B5357D"/>
    <w:rsid w:val="00B53E71"/>
    <w:rsid w:val="00B54442"/>
    <w:rsid w:val="00B546D3"/>
    <w:rsid w:val="00B55385"/>
    <w:rsid w:val="00B558C3"/>
    <w:rsid w:val="00B57253"/>
    <w:rsid w:val="00B57CC4"/>
    <w:rsid w:val="00B57EE7"/>
    <w:rsid w:val="00B60948"/>
    <w:rsid w:val="00B6097A"/>
    <w:rsid w:val="00B60CA9"/>
    <w:rsid w:val="00B60F3B"/>
    <w:rsid w:val="00B6283F"/>
    <w:rsid w:val="00B659AC"/>
    <w:rsid w:val="00B65CBE"/>
    <w:rsid w:val="00B67405"/>
    <w:rsid w:val="00B674FB"/>
    <w:rsid w:val="00B6758C"/>
    <w:rsid w:val="00B701BA"/>
    <w:rsid w:val="00B711C3"/>
    <w:rsid w:val="00B71E3B"/>
    <w:rsid w:val="00B72CBF"/>
    <w:rsid w:val="00B756C0"/>
    <w:rsid w:val="00B76651"/>
    <w:rsid w:val="00B767BB"/>
    <w:rsid w:val="00B771DE"/>
    <w:rsid w:val="00B775A7"/>
    <w:rsid w:val="00B80E23"/>
    <w:rsid w:val="00B80FFF"/>
    <w:rsid w:val="00B81334"/>
    <w:rsid w:val="00B81B7D"/>
    <w:rsid w:val="00B830AC"/>
    <w:rsid w:val="00B837E5"/>
    <w:rsid w:val="00B8393C"/>
    <w:rsid w:val="00B83A66"/>
    <w:rsid w:val="00B83AC5"/>
    <w:rsid w:val="00B843FB"/>
    <w:rsid w:val="00B844D2"/>
    <w:rsid w:val="00B8645E"/>
    <w:rsid w:val="00B86558"/>
    <w:rsid w:val="00B871A4"/>
    <w:rsid w:val="00B877FF"/>
    <w:rsid w:val="00B87DBF"/>
    <w:rsid w:val="00B90797"/>
    <w:rsid w:val="00B90BC2"/>
    <w:rsid w:val="00B90D4F"/>
    <w:rsid w:val="00B93476"/>
    <w:rsid w:val="00B93647"/>
    <w:rsid w:val="00B9398C"/>
    <w:rsid w:val="00B944B7"/>
    <w:rsid w:val="00B949E6"/>
    <w:rsid w:val="00B94BFB"/>
    <w:rsid w:val="00B94D65"/>
    <w:rsid w:val="00B94E3B"/>
    <w:rsid w:val="00B9529D"/>
    <w:rsid w:val="00B95B48"/>
    <w:rsid w:val="00B95F0B"/>
    <w:rsid w:val="00B962ED"/>
    <w:rsid w:val="00B96516"/>
    <w:rsid w:val="00B97343"/>
    <w:rsid w:val="00BA0363"/>
    <w:rsid w:val="00BA1E9A"/>
    <w:rsid w:val="00BA1EA8"/>
    <w:rsid w:val="00BA35BB"/>
    <w:rsid w:val="00BA481C"/>
    <w:rsid w:val="00BA5214"/>
    <w:rsid w:val="00BA553F"/>
    <w:rsid w:val="00BA69C8"/>
    <w:rsid w:val="00BA6A3C"/>
    <w:rsid w:val="00BA7E4B"/>
    <w:rsid w:val="00BA7EA6"/>
    <w:rsid w:val="00BB0095"/>
    <w:rsid w:val="00BB0386"/>
    <w:rsid w:val="00BB0475"/>
    <w:rsid w:val="00BB154B"/>
    <w:rsid w:val="00BB236F"/>
    <w:rsid w:val="00BB3243"/>
    <w:rsid w:val="00BB3CB7"/>
    <w:rsid w:val="00BB4FCD"/>
    <w:rsid w:val="00BB74A1"/>
    <w:rsid w:val="00BC1088"/>
    <w:rsid w:val="00BC1AC5"/>
    <w:rsid w:val="00BC2282"/>
    <w:rsid w:val="00BC28E8"/>
    <w:rsid w:val="00BC2BDB"/>
    <w:rsid w:val="00BC2CA2"/>
    <w:rsid w:val="00BC4A8B"/>
    <w:rsid w:val="00BC6E22"/>
    <w:rsid w:val="00BC78B9"/>
    <w:rsid w:val="00BD0EF2"/>
    <w:rsid w:val="00BD0F38"/>
    <w:rsid w:val="00BD1366"/>
    <w:rsid w:val="00BD1537"/>
    <w:rsid w:val="00BD16B2"/>
    <w:rsid w:val="00BD1DF6"/>
    <w:rsid w:val="00BD2218"/>
    <w:rsid w:val="00BD2478"/>
    <w:rsid w:val="00BD2887"/>
    <w:rsid w:val="00BD43A2"/>
    <w:rsid w:val="00BD4AB6"/>
    <w:rsid w:val="00BD5175"/>
    <w:rsid w:val="00BD5285"/>
    <w:rsid w:val="00BD5307"/>
    <w:rsid w:val="00BD55CF"/>
    <w:rsid w:val="00BD6079"/>
    <w:rsid w:val="00BD612B"/>
    <w:rsid w:val="00BD6F71"/>
    <w:rsid w:val="00BD6F96"/>
    <w:rsid w:val="00BE0305"/>
    <w:rsid w:val="00BE07E5"/>
    <w:rsid w:val="00BE0805"/>
    <w:rsid w:val="00BE17B8"/>
    <w:rsid w:val="00BE24AB"/>
    <w:rsid w:val="00BE31B2"/>
    <w:rsid w:val="00BE44DD"/>
    <w:rsid w:val="00BE4B60"/>
    <w:rsid w:val="00BE5C54"/>
    <w:rsid w:val="00BE5DFD"/>
    <w:rsid w:val="00BE6594"/>
    <w:rsid w:val="00BE7398"/>
    <w:rsid w:val="00BE7517"/>
    <w:rsid w:val="00BE7969"/>
    <w:rsid w:val="00BE7E5A"/>
    <w:rsid w:val="00BF059A"/>
    <w:rsid w:val="00BF09CD"/>
    <w:rsid w:val="00BF2613"/>
    <w:rsid w:val="00BF28B4"/>
    <w:rsid w:val="00BF296D"/>
    <w:rsid w:val="00BF6BC0"/>
    <w:rsid w:val="00BF767E"/>
    <w:rsid w:val="00C00F6C"/>
    <w:rsid w:val="00C02BCC"/>
    <w:rsid w:val="00C0361C"/>
    <w:rsid w:val="00C03B7E"/>
    <w:rsid w:val="00C046EC"/>
    <w:rsid w:val="00C06FC3"/>
    <w:rsid w:val="00C075AE"/>
    <w:rsid w:val="00C07686"/>
    <w:rsid w:val="00C1035D"/>
    <w:rsid w:val="00C10398"/>
    <w:rsid w:val="00C11170"/>
    <w:rsid w:val="00C121D3"/>
    <w:rsid w:val="00C124B8"/>
    <w:rsid w:val="00C13760"/>
    <w:rsid w:val="00C13EBB"/>
    <w:rsid w:val="00C156A8"/>
    <w:rsid w:val="00C1619E"/>
    <w:rsid w:val="00C16A4D"/>
    <w:rsid w:val="00C17067"/>
    <w:rsid w:val="00C172B0"/>
    <w:rsid w:val="00C17941"/>
    <w:rsid w:val="00C20271"/>
    <w:rsid w:val="00C216AD"/>
    <w:rsid w:val="00C219F6"/>
    <w:rsid w:val="00C21E30"/>
    <w:rsid w:val="00C223C2"/>
    <w:rsid w:val="00C23002"/>
    <w:rsid w:val="00C2391F"/>
    <w:rsid w:val="00C24070"/>
    <w:rsid w:val="00C245E6"/>
    <w:rsid w:val="00C24921"/>
    <w:rsid w:val="00C24C0B"/>
    <w:rsid w:val="00C24DBE"/>
    <w:rsid w:val="00C25037"/>
    <w:rsid w:val="00C25E60"/>
    <w:rsid w:val="00C25EF5"/>
    <w:rsid w:val="00C26CA5"/>
    <w:rsid w:val="00C30ED9"/>
    <w:rsid w:val="00C312CD"/>
    <w:rsid w:val="00C317EA"/>
    <w:rsid w:val="00C318D2"/>
    <w:rsid w:val="00C31A0A"/>
    <w:rsid w:val="00C32A6B"/>
    <w:rsid w:val="00C330D6"/>
    <w:rsid w:val="00C33576"/>
    <w:rsid w:val="00C33699"/>
    <w:rsid w:val="00C340EC"/>
    <w:rsid w:val="00C342BC"/>
    <w:rsid w:val="00C355D1"/>
    <w:rsid w:val="00C35738"/>
    <w:rsid w:val="00C3583B"/>
    <w:rsid w:val="00C35C92"/>
    <w:rsid w:val="00C35DD9"/>
    <w:rsid w:val="00C35EFB"/>
    <w:rsid w:val="00C36B07"/>
    <w:rsid w:val="00C36E09"/>
    <w:rsid w:val="00C37C7D"/>
    <w:rsid w:val="00C403EF"/>
    <w:rsid w:val="00C407CB"/>
    <w:rsid w:val="00C41746"/>
    <w:rsid w:val="00C41E38"/>
    <w:rsid w:val="00C435F5"/>
    <w:rsid w:val="00C44501"/>
    <w:rsid w:val="00C458A4"/>
    <w:rsid w:val="00C45EF3"/>
    <w:rsid w:val="00C465FB"/>
    <w:rsid w:val="00C50F0D"/>
    <w:rsid w:val="00C514AD"/>
    <w:rsid w:val="00C5208D"/>
    <w:rsid w:val="00C52EF0"/>
    <w:rsid w:val="00C539A0"/>
    <w:rsid w:val="00C53A43"/>
    <w:rsid w:val="00C53C82"/>
    <w:rsid w:val="00C54B11"/>
    <w:rsid w:val="00C55436"/>
    <w:rsid w:val="00C554C4"/>
    <w:rsid w:val="00C55948"/>
    <w:rsid w:val="00C55BB4"/>
    <w:rsid w:val="00C55BB5"/>
    <w:rsid w:val="00C55D54"/>
    <w:rsid w:val="00C561F1"/>
    <w:rsid w:val="00C56251"/>
    <w:rsid w:val="00C5687B"/>
    <w:rsid w:val="00C5731D"/>
    <w:rsid w:val="00C57C7B"/>
    <w:rsid w:val="00C57DD6"/>
    <w:rsid w:val="00C60010"/>
    <w:rsid w:val="00C6010A"/>
    <w:rsid w:val="00C60D29"/>
    <w:rsid w:val="00C60FDC"/>
    <w:rsid w:val="00C6104C"/>
    <w:rsid w:val="00C615A2"/>
    <w:rsid w:val="00C6357D"/>
    <w:rsid w:val="00C6361C"/>
    <w:rsid w:val="00C63CA6"/>
    <w:rsid w:val="00C6478F"/>
    <w:rsid w:val="00C64BA4"/>
    <w:rsid w:val="00C64D00"/>
    <w:rsid w:val="00C657B0"/>
    <w:rsid w:val="00C66856"/>
    <w:rsid w:val="00C66AE8"/>
    <w:rsid w:val="00C66F99"/>
    <w:rsid w:val="00C67535"/>
    <w:rsid w:val="00C67D07"/>
    <w:rsid w:val="00C6EA68"/>
    <w:rsid w:val="00C70FD8"/>
    <w:rsid w:val="00C7134D"/>
    <w:rsid w:val="00C71BF2"/>
    <w:rsid w:val="00C7210B"/>
    <w:rsid w:val="00C736AD"/>
    <w:rsid w:val="00C7427D"/>
    <w:rsid w:val="00C75096"/>
    <w:rsid w:val="00C75C9B"/>
    <w:rsid w:val="00C75EEE"/>
    <w:rsid w:val="00C76595"/>
    <w:rsid w:val="00C7690E"/>
    <w:rsid w:val="00C76BAB"/>
    <w:rsid w:val="00C8049F"/>
    <w:rsid w:val="00C80AB7"/>
    <w:rsid w:val="00C8139B"/>
    <w:rsid w:val="00C81934"/>
    <w:rsid w:val="00C81B8C"/>
    <w:rsid w:val="00C81DC7"/>
    <w:rsid w:val="00C82078"/>
    <w:rsid w:val="00C82F5D"/>
    <w:rsid w:val="00C8422C"/>
    <w:rsid w:val="00C84D7D"/>
    <w:rsid w:val="00C870B1"/>
    <w:rsid w:val="00C90491"/>
    <w:rsid w:val="00C905D8"/>
    <w:rsid w:val="00C90F3D"/>
    <w:rsid w:val="00C91133"/>
    <w:rsid w:val="00C9228D"/>
    <w:rsid w:val="00C92B25"/>
    <w:rsid w:val="00C92F7B"/>
    <w:rsid w:val="00C93242"/>
    <w:rsid w:val="00C9358E"/>
    <w:rsid w:val="00C94B46"/>
    <w:rsid w:val="00C94F5F"/>
    <w:rsid w:val="00C950D6"/>
    <w:rsid w:val="00C963B8"/>
    <w:rsid w:val="00C96A5A"/>
    <w:rsid w:val="00C96C23"/>
    <w:rsid w:val="00C97563"/>
    <w:rsid w:val="00CA0468"/>
    <w:rsid w:val="00CA11B0"/>
    <w:rsid w:val="00CA1E32"/>
    <w:rsid w:val="00CA2427"/>
    <w:rsid w:val="00CA2891"/>
    <w:rsid w:val="00CA2926"/>
    <w:rsid w:val="00CA4EF6"/>
    <w:rsid w:val="00CA5118"/>
    <w:rsid w:val="00CA61CB"/>
    <w:rsid w:val="00CA6863"/>
    <w:rsid w:val="00CA68F1"/>
    <w:rsid w:val="00CA6AA4"/>
    <w:rsid w:val="00CA7320"/>
    <w:rsid w:val="00CB0185"/>
    <w:rsid w:val="00CB0299"/>
    <w:rsid w:val="00CB09E2"/>
    <w:rsid w:val="00CB1496"/>
    <w:rsid w:val="00CB279D"/>
    <w:rsid w:val="00CB2BF3"/>
    <w:rsid w:val="00CB374F"/>
    <w:rsid w:val="00CB3E1E"/>
    <w:rsid w:val="00CB401C"/>
    <w:rsid w:val="00CB50D8"/>
    <w:rsid w:val="00CB5B8D"/>
    <w:rsid w:val="00CB5FF1"/>
    <w:rsid w:val="00CB6176"/>
    <w:rsid w:val="00CB6398"/>
    <w:rsid w:val="00CB7962"/>
    <w:rsid w:val="00CB7A30"/>
    <w:rsid w:val="00CB7F91"/>
    <w:rsid w:val="00CC165D"/>
    <w:rsid w:val="00CC165E"/>
    <w:rsid w:val="00CC16CA"/>
    <w:rsid w:val="00CC245A"/>
    <w:rsid w:val="00CC29B6"/>
    <w:rsid w:val="00CC2F0F"/>
    <w:rsid w:val="00CC3B6B"/>
    <w:rsid w:val="00CC3C21"/>
    <w:rsid w:val="00CC45E4"/>
    <w:rsid w:val="00CC4879"/>
    <w:rsid w:val="00CC4A50"/>
    <w:rsid w:val="00CC4DE2"/>
    <w:rsid w:val="00CC5353"/>
    <w:rsid w:val="00CC5585"/>
    <w:rsid w:val="00CC56CB"/>
    <w:rsid w:val="00CC5A7B"/>
    <w:rsid w:val="00CC7165"/>
    <w:rsid w:val="00CC782B"/>
    <w:rsid w:val="00CD0162"/>
    <w:rsid w:val="00CD022E"/>
    <w:rsid w:val="00CD0FBF"/>
    <w:rsid w:val="00CD2F71"/>
    <w:rsid w:val="00CD33D7"/>
    <w:rsid w:val="00CD368A"/>
    <w:rsid w:val="00CD4665"/>
    <w:rsid w:val="00CD53AF"/>
    <w:rsid w:val="00CD5522"/>
    <w:rsid w:val="00CD5B36"/>
    <w:rsid w:val="00CD67A0"/>
    <w:rsid w:val="00CD6AE1"/>
    <w:rsid w:val="00CD7AE2"/>
    <w:rsid w:val="00CD7EB3"/>
    <w:rsid w:val="00CE0C35"/>
    <w:rsid w:val="00CE0EF8"/>
    <w:rsid w:val="00CE1CB1"/>
    <w:rsid w:val="00CE6129"/>
    <w:rsid w:val="00CE6D63"/>
    <w:rsid w:val="00CE7397"/>
    <w:rsid w:val="00CE7EEA"/>
    <w:rsid w:val="00CE7EF2"/>
    <w:rsid w:val="00CF1D09"/>
    <w:rsid w:val="00CF2E81"/>
    <w:rsid w:val="00CF327F"/>
    <w:rsid w:val="00CF52AB"/>
    <w:rsid w:val="00CF68D1"/>
    <w:rsid w:val="00CF6A98"/>
    <w:rsid w:val="00CF7BFB"/>
    <w:rsid w:val="00D04B60"/>
    <w:rsid w:val="00D05058"/>
    <w:rsid w:val="00D0596C"/>
    <w:rsid w:val="00D103DE"/>
    <w:rsid w:val="00D106AE"/>
    <w:rsid w:val="00D109D7"/>
    <w:rsid w:val="00D11276"/>
    <w:rsid w:val="00D116B7"/>
    <w:rsid w:val="00D11BE2"/>
    <w:rsid w:val="00D120F9"/>
    <w:rsid w:val="00D13116"/>
    <w:rsid w:val="00D13A1D"/>
    <w:rsid w:val="00D141D9"/>
    <w:rsid w:val="00D147EC"/>
    <w:rsid w:val="00D14838"/>
    <w:rsid w:val="00D1502F"/>
    <w:rsid w:val="00D1526E"/>
    <w:rsid w:val="00D17B07"/>
    <w:rsid w:val="00D17C7E"/>
    <w:rsid w:val="00D1B7F0"/>
    <w:rsid w:val="00D20799"/>
    <w:rsid w:val="00D25274"/>
    <w:rsid w:val="00D26307"/>
    <w:rsid w:val="00D26933"/>
    <w:rsid w:val="00D27FA4"/>
    <w:rsid w:val="00D3003F"/>
    <w:rsid w:val="00D30B39"/>
    <w:rsid w:val="00D330F8"/>
    <w:rsid w:val="00D364BB"/>
    <w:rsid w:val="00D36D5A"/>
    <w:rsid w:val="00D37D2A"/>
    <w:rsid w:val="00D4113D"/>
    <w:rsid w:val="00D41BC8"/>
    <w:rsid w:val="00D42D00"/>
    <w:rsid w:val="00D4321F"/>
    <w:rsid w:val="00D437E4"/>
    <w:rsid w:val="00D45ECE"/>
    <w:rsid w:val="00D473A8"/>
    <w:rsid w:val="00D473F7"/>
    <w:rsid w:val="00D47FD9"/>
    <w:rsid w:val="00D505B5"/>
    <w:rsid w:val="00D50F11"/>
    <w:rsid w:val="00D50F1C"/>
    <w:rsid w:val="00D51C89"/>
    <w:rsid w:val="00D5327D"/>
    <w:rsid w:val="00D53CAF"/>
    <w:rsid w:val="00D53E21"/>
    <w:rsid w:val="00D54C42"/>
    <w:rsid w:val="00D551EF"/>
    <w:rsid w:val="00D554B7"/>
    <w:rsid w:val="00D559C4"/>
    <w:rsid w:val="00D56B47"/>
    <w:rsid w:val="00D56E9D"/>
    <w:rsid w:val="00D5700B"/>
    <w:rsid w:val="00D57253"/>
    <w:rsid w:val="00D572F0"/>
    <w:rsid w:val="00D573B2"/>
    <w:rsid w:val="00D620F1"/>
    <w:rsid w:val="00D6397B"/>
    <w:rsid w:val="00D63C99"/>
    <w:rsid w:val="00D6483E"/>
    <w:rsid w:val="00D6524D"/>
    <w:rsid w:val="00D70663"/>
    <w:rsid w:val="00D72575"/>
    <w:rsid w:val="00D7355E"/>
    <w:rsid w:val="00D74C7A"/>
    <w:rsid w:val="00D74C86"/>
    <w:rsid w:val="00D74D83"/>
    <w:rsid w:val="00D76EA4"/>
    <w:rsid w:val="00D80118"/>
    <w:rsid w:val="00D809B7"/>
    <w:rsid w:val="00D80ADE"/>
    <w:rsid w:val="00D81975"/>
    <w:rsid w:val="00D81C35"/>
    <w:rsid w:val="00D81CFA"/>
    <w:rsid w:val="00D8218E"/>
    <w:rsid w:val="00D82634"/>
    <w:rsid w:val="00D82A33"/>
    <w:rsid w:val="00D82B99"/>
    <w:rsid w:val="00D831DA"/>
    <w:rsid w:val="00D8485D"/>
    <w:rsid w:val="00D8569F"/>
    <w:rsid w:val="00D857BF"/>
    <w:rsid w:val="00D85ED7"/>
    <w:rsid w:val="00D86397"/>
    <w:rsid w:val="00D86E81"/>
    <w:rsid w:val="00D8727A"/>
    <w:rsid w:val="00D874FE"/>
    <w:rsid w:val="00D87575"/>
    <w:rsid w:val="00D87AD8"/>
    <w:rsid w:val="00D8A110"/>
    <w:rsid w:val="00D9086E"/>
    <w:rsid w:val="00D90F74"/>
    <w:rsid w:val="00D91266"/>
    <w:rsid w:val="00D925D5"/>
    <w:rsid w:val="00D93225"/>
    <w:rsid w:val="00D934C3"/>
    <w:rsid w:val="00D9442E"/>
    <w:rsid w:val="00D94FD4"/>
    <w:rsid w:val="00D9582E"/>
    <w:rsid w:val="00D95A43"/>
    <w:rsid w:val="00D96973"/>
    <w:rsid w:val="00D969C7"/>
    <w:rsid w:val="00D96BF8"/>
    <w:rsid w:val="00DA08FE"/>
    <w:rsid w:val="00DA127C"/>
    <w:rsid w:val="00DA1424"/>
    <w:rsid w:val="00DA1848"/>
    <w:rsid w:val="00DA1BBE"/>
    <w:rsid w:val="00DA4A80"/>
    <w:rsid w:val="00DA5235"/>
    <w:rsid w:val="00DA57CD"/>
    <w:rsid w:val="00DA6559"/>
    <w:rsid w:val="00DA6A98"/>
    <w:rsid w:val="00DA6F9E"/>
    <w:rsid w:val="00DA7FFE"/>
    <w:rsid w:val="00DB01D1"/>
    <w:rsid w:val="00DB04E8"/>
    <w:rsid w:val="00DB2C6B"/>
    <w:rsid w:val="00DB2F6D"/>
    <w:rsid w:val="00DB3F07"/>
    <w:rsid w:val="00DB3FDC"/>
    <w:rsid w:val="00DB412B"/>
    <w:rsid w:val="00DB5555"/>
    <w:rsid w:val="00DB675F"/>
    <w:rsid w:val="00DB6B2B"/>
    <w:rsid w:val="00DB7C02"/>
    <w:rsid w:val="00DC1DA9"/>
    <w:rsid w:val="00DC3295"/>
    <w:rsid w:val="00DC3369"/>
    <w:rsid w:val="00DC3A64"/>
    <w:rsid w:val="00DC459B"/>
    <w:rsid w:val="00DC4E54"/>
    <w:rsid w:val="00DC5EA8"/>
    <w:rsid w:val="00DC7226"/>
    <w:rsid w:val="00DC7639"/>
    <w:rsid w:val="00DD0412"/>
    <w:rsid w:val="00DD086E"/>
    <w:rsid w:val="00DD0F7D"/>
    <w:rsid w:val="00DD1423"/>
    <w:rsid w:val="00DD17B7"/>
    <w:rsid w:val="00DD2310"/>
    <w:rsid w:val="00DD3572"/>
    <w:rsid w:val="00DD40B1"/>
    <w:rsid w:val="00DD4285"/>
    <w:rsid w:val="00DD4396"/>
    <w:rsid w:val="00DD5836"/>
    <w:rsid w:val="00DD5ADB"/>
    <w:rsid w:val="00DD6974"/>
    <w:rsid w:val="00DD6A4A"/>
    <w:rsid w:val="00DD6FAD"/>
    <w:rsid w:val="00DD73CF"/>
    <w:rsid w:val="00DD782F"/>
    <w:rsid w:val="00DE0647"/>
    <w:rsid w:val="00DE1172"/>
    <w:rsid w:val="00DE27A7"/>
    <w:rsid w:val="00DE378C"/>
    <w:rsid w:val="00DE3D74"/>
    <w:rsid w:val="00DE4989"/>
    <w:rsid w:val="00DE49AE"/>
    <w:rsid w:val="00DE4B7A"/>
    <w:rsid w:val="00DE55DB"/>
    <w:rsid w:val="00DE562E"/>
    <w:rsid w:val="00DE58F6"/>
    <w:rsid w:val="00DE637C"/>
    <w:rsid w:val="00DE7538"/>
    <w:rsid w:val="00DF00EA"/>
    <w:rsid w:val="00DF0BF6"/>
    <w:rsid w:val="00DF0F07"/>
    <w:rsid w:val="00DF49F3"/>
    <w:rsid w:val="00DF4D3B"/>
    <w:rsid w:val="00DF541C"/>
    <w:rsid w:val="00DF589F"/>
    <w:rsid w:val="00DF6748"/>
    <w:rsid w:val="00DF7542"/>
    <w:rsid w:val="00E00A7D"/>
    <w:rsid w:val="00E0305D"/>
    <w:rsid w:val="00E031CA"/>
    <w:rsid w:val="00E049C5"/>
    <w:rsid w:val="00E069C9"/>
    <w:rsid w:val="00E06ED0"/>
    <w:rsid w:val="00E07D5E"/>
    <w:rsid w:val="00E07EFB"/>
    <w:rsid w:val="00E10424"/>
    <w:rsid w:val="00E116D4"/>
    <w:rsid w:val="00E116FA"/>
    <w:rsid w:val="00E13486"/>
    <w:rsid w:val="00E1357E"/>
    <w:rsid w:val="00E1442D"/>
    <w:rsid w:val="00E1511C"/>
    <w:rsid w:val="00E151AA"/>
    <w:rsid w:val="00E1522D"/>
    <w:rsid w:val="00E15F1F"/>
    <w:rsid w:val="00E16607"/>
    <w:rsid w:val="00E17E4B"/>
    <w:rsid w:val="00E20E5F"/>
    <w:rsid w:val="00E210FF"/>
    <w:rsid w:val="00E21437"/>
    <w:rsid w:val="00E217C8"/>
    <w:rsid w:val="00E21ABD"/>
    <w:rsid w:val="00E21C37"/>
    <w:rsid w:val="00E21E39"/>
    <w:rsid w:val="00E224CC"/>
    <w:rsid w:val="00E2279D"/>
    <w:rsid w:val="00E233FF"/>
    <w:rsid w:val="00E24F7C"/>
    <w:rsid w:val="00E25F82"/>
    <w:rsid w:val="00E2686B"/>
    <w:rsid w:val="00E26901"/>
    <w:rsid w:val="00E271FA"/>
    <w:rsid w:val="00E27BCF"/>
    <w:rsid w:val="00E27C3D"/>
    <w:rsid w:val="00E311CC"/>
    <w:rsid w:val="00E31952"/>
    <w:rsid w:val="00E32020"/>
    <w:rsid w:val="00E3230C"/>
    <w:rsid w:val="00E32397"/>
    <w:rsid w:val="00E32CCB"/>
    <w:rsid w:val="00E32EFD"/>
    <w:rsid w:val="00E3366E"/>
    <w:rsid w:val="00E338B3"/>
    <w:rsid w:val="00E33DE1"/>
    <w:rsid w:val="00E33E3F"/>
    <w:rsid w:val="00E33F99"/>
    <w:rsid w:val="00E343BA"/>
    <w:rsid w:val="00E3454B"/>
    <w:rsid w:val="00E3663C"/>
    <w:rsid w:val="00E37391"/>
    <w:rsid w:val="00E4035B"/>
    <w:rsid w:val="00E40D3A"/>
    <w:rsid w:val="00E419E2"/>
    <w:rsid w:val="00E424E5"/>
    <w:rsid w:val="00E427D9"/>
    <w:rsid w:val="00E4559F"/>
    <w:rsid w:val="00E45878"/>
    <w:rsid w:val="00E46175"/>
    <w:rsid w:val="00E46AB9"/>
    <w:rsid w:val="00E4723B"/>
    <w:rsid w:val="00E473B7"/>
    <w:rsid w:val="00E4749A"/>
    <w:rsid w:val="00E476EF"/>
    <w:rsid w:val="00E50144"/>
    <w:rsid w:val="00E51902"/>
    <w:rsid w:val="00E51BAF"/>
    <w:rsid w:val="00E51D03"/>
    <w:rsid w:val="00E53C97"/>
    <w:rsid w:val="00E54594"/>
    <w:rsid w:val="00E5561A"/>
    <w:rsid w:val="00E55692"/>
    <w:rsid w:val="00E5577A"/>
    <w:rsid w:val="00E558DA"/>
    <w:rsid w:val="00E56745"/>
    <w:rsid w:val="00E575E0"/>
    <w:rsid w:val="00E575FB"/>
    <w:rsid w:val="00E57749"/>
    <w:rsid w:val="00E57A8A"/>
    <w:rsid w:val="00E57F1D"/>
    <w:rsid w:val="00E60BC0"/>
    <w:rsid w:val="00E60F9A"/>
    <w:rsid w:val="00E61411"/>
    <w:rsid w:val="00E61582"/>
    <w:rsid w:val="00E6214D"/>
    <w:rsid w:val="00E629DD"/>
    <w:rsid w:val="00E62AD1"/>
    <w:rsid w:val="00E62E16"/>
    <w:rsid w:val="00E63B8E"/>
    <w:rsid w:val="00E6444F"/>
    <w:rsid w:val="00E653DA"/>
    <w:rsid w:val="00E65725"/>
    <w:rsid w:val="00E65F9D"/>
    <w:rsid w:val="00E66180"/>
    <w:rsid w:val="00E67202"/>
    <w:rsid w:val="00E67478"/>
    <w:rsid w:val="00E72199"/>
    <w:rsid w:val="00E7244C"/>
    <w:rsid w:val="00E72482"/>
    <w:rsid w:val="00E74027"/>
    <w:rsid w:val="00E7405B"/>
    <w:rsid w:val="00E7437F"/>
    <w:rsid w:val="00E74409"/>
    <w:rsid w:val="00E74CB2"/>
    <w:rsid w:val="00E74E7E"/>
    <w:rsid w:val="00E75682"/>
    <w:rsid w:val="00E76053"/>
    <w:rsid w:val="00E7606B"/>
    <w:rsid w:val="00E76D1E"/>
    <w:rsid w:val="00E8020E"/>
    <w:rsid w:val="00E80D92"/>
    <w:rsid w:val="00E81140"/>
    <w:rsid w:val="00E821AF"/>
    <w:rsid w:val="00E82B08"/>
    <w:rsid w:val="00E83A64"/>
    <w:rsid w:val="00E85956"/>
    <w:rsid w:val="00E85DB7"/>
    <w:rsid w:val="00E8631B"/>
    <w:rsid w:val="00E8668D"/>
    <w:rsid w:val="00E86C2A"/>
    <w:rsid w:val="00E86DED"/>
    <w:rsid w:val="00E87463"/>
    <w:rsid w:val="00E87A17"/>
    <w:rsid w:val="00E8D2A0"/>
    <w:rsid w:val="00E900D0"/>
    <w:rsid w:val="00E90272"/>
    <w:rsid w:val="00E906AB"/>
    <w:rsid w:val="00E90C40"/>
    <w:rsid w:val="00E91543"/>
    <w:rsid w:val="00E91C32"/>
    <w:rsid w:val="00E91D49"/>
    <w:rsid w:val="00E9223A"/>
    <w:rsid w:val="00E92AFD"/>
    <w:rsid w:val="00E92B9D"/>
    <w:rsid w:val="00E92F8C"/>
    <w:rsid w:val="00E93035"/>
    <w:rsid w:val="00E944AC"/>
    <w:rsid w:val="00E97743"/>
    <w:rsid w:val="00EA0156"/>
    <w:rsid w:val="00EA0452"/>
    <w:rsid w:val="00EA247B"/>
    <w:rsid w:val="00EA30E5"/>
    <w:rsid w:val="00EA42BF"/>
    <w:rsid w:val="00EA4B73"/>
    <w:rsid w:val="00EA551C"/>
    <w:rsid w:val="00EA6025"/>
    <w:rsid w:val="00EA6759"/>
    <w:rsid w:val="00EA6CAD"/>
    <w:rsid w:val="00EA7747"/>
    <w:rsid w:val="00EA7B39"/>
    <w:rsid w:val="00EA7F27"/>
    <w:rsid w:val="00EB0054"/>
    <w:rsid w:val="00EB1DAF"/>
    <w:rsid w:val="00EB549E"/>
    <w:rsid w:val="00EB564F"/>
    <w:rsid w:val="00EB6329"/>
    <w:rsid w:val="00EB69D3"/>
    <w:rsid w:val="00EB758A"/>
    <w:rsid w:val="00EB7F8E"/>
    <w:rsid w:val="00EC022E"/>
    <w:rsid w:val="00EC0F35"/>
    <w:rsid w:val="00EC181C"/>
    <w:rsid w:val="00EC1E0A"/>
    <w:rsid w:val="00EC1E88"/>
    <w:rsid w:val="00EC3375"/>
    <w:rsid w:val="00EC35F6"/>
    <w:rsid w:val="00EC407B"/>
    <w:rsid w:val="00EC41E2"/>
    <w:rsid w:val="00EC4C43"/>
    <w:rsid w:val="00EC4DB8"/>
    <w:rsid w:val="00EC54F9"/>
    <w:rsid w:val="00EC58FF"/>
    <w:rsid w:val="00EC73B8"/>
    <w:rsid w:val="00EC7A9E"/>
    <w:rsid w:val="00EC7DA1"/>
    <w:rsid w:val="00ED0067"/>
    <w:rsid w:val="00ED0514"/>
    <w:rsid w:val="00ED1C30"/>
    <w:rsid w:val="00ED32C9"/>
    <w:rsid w:val="00ED47C0"/>
    <w:rsid w:val="00ED4A9C"/>
    <w:rsid w:val="00ED4B16"/>
    <w:rsid w:val="00ED5A16"/>
    <w:rsid w:val="00ED5AF2"/>
    <w:rsid w:val="00EE0D48"/>
    <w:rsid w:val="00EE0E07"/>
    <w:rsid w:val="00EE15FA"/>
    <w:rsid w:val="00EE1A5D"/>
    <w:rsid w:val="00EE1B80"/>
    <w:rsid w:val="00EE2199"/>
    <w:rsid w:val="00EE2750"/>
    <w:rsid w:val="00EE2E11"/>
    <w:rsid w:val="00EE3212"/>
    <w:rsid w:val="00EE3397"/>
    <w:rsid w:val="00EE497A"/>
    <w:rsid w:val="00EE4EB0"/>
    <w:rsid w:val="00EE5247"/>
    <w:rsid w:val="00EE5276"/>
    <w:rsid w:val="00EE56E6"/>
    <w:rsid w:val="00EE5DD3"/>
    <w:rsid w:val="00EE636B"/>
    <w:rsid w:val="00EE764C"/>
    <w:rsid w:val="00EF06FB"/>
    <w:rsid w:val="00EF25B6"/>
    <w:rsid w:val="00EF2886"/>
    <w:rsid w:val="00EF37D7"/>
    <w:rsid w:val="00EF39E8"/>
    <w:rsid w:val="00EF4D7F"/>
    <w:rsid w:val="00EF53B8"/>
    <w:rsid w:val="00EF634E"/>
    <w:rsid w:val="00EF64A3"/>
    <w:rsid w:val="00EF66D3"/>
    <w:rsid w:val="00EF6AA4"/>
    <w:rsid w:val="00EF74E7"/>
    <w:rsid w:val="00EFFFFC"/>
    <w:rsid w:val="00F00896"/>
    <w:rsid w:val="00F010E2"/>
    <w:rsid w:val="00F01204"/>
    <w:rsid w:val="00F01AD9"/>
    <w:rsid w:val="00F01FE9"/>
    <w:rsid w:val="00F0341E"/>
    <w:rsid w:val="00F04EEB"/>
    <w:rsid w:val="00F05ADA"/>
    <w:rsid w:val="00F068AA"/>
    <w:rsid w:val="00F10430"/>
    <w:rsid w:val="00F10B26"/>
    <w:rsid w:val="00F1108F"/>
    <w:rsid w:val="00F11254"/>
    <w:rsid w:val="00F11921"/>
    <w:rsid w:val="00F11F68"/>
    <w:rsid w:val="00F1254C"/>
    <w:rsid w:val="00F17F97"/>
    <w:rsid w:val="00F209FF"/>
    <w:rsid w:val="00F20EE7"/>
    <w:rsid w:val="00F218CA"/>
    <w:rsid w:val="00F23B52"/>
    <w:rsid w:val="00F243DB"/>
    <w:rsid w:val="00F24BE4"/>
    <w:rsid w:val="00F25AF6"/>
    <w:rsid w:val="00F27062"/>
    <w:rsid w:val="00F271D3"/>
    <w:rsid w:val="00F3074F"/>
    <w:rsid w:val="00F31BB6"/>
    <w:rsid w:val="00F322E1"/>
    <w:rsid w:val="00F3233C"/>
    <w:rsid w:val="00F33DF1"/>
    <w:rsid w:val="00F342C4"/>
    <w:rsid w:val="00F34760"/>
    <w:rsid w:val="00F36D53"/>
    <w:rsid w:val="00F403AD"/>
    <w:rsid w:val="00F4302F"/>
    <w:rsid w:val="00F431EF"/>
    <w:rsid w:val="00F43A5A"/>
    <w:rsid w:val="00F43D8A"/>
    <w:rsid w:val="00F4442C"/>
    <w:rsid w:val="00F4536E"/>
    <w:rsid w:val="00F45B6A"/>
    <w:rsid w:val="00F45F37"/>
    <w:rsid w:val="00F460BA"/>
    <w:rsid w:val="00F46570"/>
    <w:rsid w:val="00F465F7"/>
    <w:rsid w:val="00F46B3B"/>
    <w:rsid w:val="00F46C8D"/>
    <w:rsid w:val="00F47168"/>
    <w:rsid w:val="00F47781"/>
    <w:rsid w:val="00F4792D"/>
    <w:rsid w:val="00F4794B"/>
    <w:rsid w:val="00F504D3"/>
    <w:rsid w:val="00F50836"/>
    <w:rsid w:val="00F5205A"/>
    <w:rsid w:val="00F52ECF"/>
    <w:rsid w:val="00F53EDD"/>
    <w:rsid w:val="00F555CA"/>
    <w:rsid w:val="00F556DA"/>
    <w:rsid w:val="00F55B7E"/>
    <w:rsid w:val="00F55C18"/>
    <w:rsid w:val="00F566E9"/>
    <w:rsid w:val="00F568D9"/>
    <w:rsid w:val="00F56D12"/>
    <w:rsid w:val="00F577F0"/>
    <w:rsid w:val="00F57C24"/>
    <w:rsid w:val="00F609B4"/>
    <w:rsid w:val="00F60B37"/>
    <w:rsid w:val="00F61AAE"/>
    <w:rsid w:val="00F61D72"/>
    <w:rsid w:val="00F62018"/>
    <w:rsid w:val="00F62137"/>
    <w:rsid w:val="00F63764"/>
    <w:rsid w:val="00F6436C"/>
    <w:rsid w:val="00F64C07"/>
    <w:rsid w:val="00F654BE"/>
    <w:rsid w:val="00F65F87"/>
    <w:rsid w:val="00F70B46"/>
    <w:rsid w:val="00F71242"/>
    <w:rsid w:val="00F714A4"/>
    <w:rsid w:val="00F7203D"/>
    <w:rsid w:val="00F738E6"/>
    <w:rsid w:val="00F74029"/>
    <w:rsid w:val="00F745BD"/>
    <w:rsid w:val="00F74695"/>
    <w:rsid w:val="00F755ED"/>
    <w:rsid w:val="00F76A5A"/>
    <w:rsid w:val="00F77347"/>
    <w:rsid w:val="00F77892"/>
    <w:rsid w:val="00F813BF"/>
    <w:rsid w:val="00F81432"/>
    <w:rsid w:val="00F8249C"/>
    <w:rsid w:val="00F86C6A"/>
    <w:rsid w:val="00F872D0"/>
    <w:rsid w:val="00F87642"/>
    <w:rsid w:val="00F92763"/>
    <w:rsid w:val="00F92A0A"/>
    <w:rsid w:val="00F934C1"/>
    <w:rsid w:val="00F93959"/>
    <w:rsid w:val="00F93DD5"/>
    <w:rsid w:val="00F93FB4"/>
    <w:rsid w:val="00F9446D"/>
    <w:rsid w:val="00F94536"/>
    <w:rsid w:val="00F94E7A"/>
    <w:rsid w:val="00FA0617"/>
    <w:rsid w:val="00FA13E6"/>
    <w:rsid w:val="00FA18E4"/>
    <w:rsid w:val="00FA1FE1"/>
    <w:rsid w:val="00FA24E7"/>
    <w:rsid w:val="00FA36A9"/>
    <w:rsid w:val="00FA3B97"/>
    <w:rsid w:val="00FA48AD"/>
    <w:rsid w:val="00FA48F5"/>
    <w:rsid w:val="00FA5527"/>
    <w:rsid w:val="00FA5607"/>
    <w:rsid w:val="00FA64B8"/>
    <w:rsid w:val="00FB242A"/>
    <w:rsid w:val="00FB2945"/>
    <w:rsid w:val="00FB3623"/>
    <w:rsid w:val="00FB37B9"/>
    <w:rsid w:val="00FB3AFE"/>
    <w:rsid w:val="00FB44C3"/>
    <w:rsid w:val="00FB50AC"/>
    <w:rsid w:val="00FB556E"/>
    <w:rsid w:val="00FB5B82"/>
    <w:rsid w:val="00FB5CF1"/>
    <w:rsid w:val="00FB6411"/>
    <w:rsid w:val="00FB6ACF"/>
    <w:rsid w:val="00FB6E0F"/>
    <w:rsid w:val="00FC0635"/>
    <w:rsid w:val="00FC1796"/>
    <w:rsid w:val="00FC2E88"/>
    <w:rsid w:val="00FC320D"/>
    <w:rsid w:val="00FC4C86"/>
    <w:rsid w:val="00FC5DFB"/>
    <w:rsid w:val="00FC6055"/>
    <w:rsid w:val="00FC6256"/>
    <w:rsid w:val="00FC6A2D"/>
    <w:rsid w:val="00FC73CB"/>
    <w:rsid w:val="00FC7B67"/>
    <w:rsid w:val="00FD0852"/>
    <w:rsid w:val="00FD1F9A"/>
    <w:rsid w:val="00FD1FF3"/>
    <w:rsid w:val="00FD2163"/>
    <w:rsid w:val="00FD2852"/>
    <w:rsid w:val="00FD3B93"/>
    <w:rsid w:val="00FD3DE0"/>
    <w:rsid w:val="00FD4167"/>
    <w:rsid w:val="00FD73E6"/>
    <w:rsid w:val="00FE04F2"/>
    <w:rsid w:val="00FE16E2"/>
    <w:rsid w:val="00FE2C91"/>
    <w:rsid w:val="00FE3178"/>
    <w:rsid w:val="00FE3637"/>
    <w:rsid w:val="00FE3B8D"/>
    <w:rsid w:val="00FE3DB9"/>
    <w:rsid w:val="00FE3EBB"/>
    <w:rsid w:val="00FE4DED"/>
    <w:rsid w:val="00FE6870"/>
    <w:rsid w:val="00FE7482"/>
    <w:rsid w:val="00FE7D0A"/>
    <w:rsid w:val="00FE7F0C"/>
    <w:rsid w:val="00FF147D"/>
    <w:rsid w:val="00FF1AB7"/>
    <w:rsid w:val="00FF2374"/>
    <w:rsid w:val="00FF422E"/>
    <w:rsid w:val="00FF448A"/>
    <w:rsid w:val="00FF461F"/>
    <w:rsid w:val="00FF470A"/>
    <w:rsid w:val="00FF498C"/>
    <w:rsid w:val="00FF4CEB"/>
    <w:rsid w:val="00FF5652"/>
    <w:rsid w:val="00FF5A0C"/>
    <w:rsid w:val="00FF65E5"/>
    <w:rsid w:val="00FF70FE"/>
    <w:rsid w:val="00FF7CD9"/>
    <w:rsid w:val="00FF7D7E"/>
    <w:rsid w:val="0100FE01"/>
    <w:rsid w:val="0128E171"/>
    <w:rsid w:val="0137E0B0"/>
    <w:rsid w:val="0138DA81"/>
    <w:rsid w:val="01390F88"/>
    <w:rsid w:val="013F040A"/>
    <w:rsid w:val="013F8FA6"/>
    <w:rsid w:val="01436BA1"/>
    <w:rsid w:val="0145EDB1"/>
    <w:rsid w:val="01581C97"/>
    <w:rsid w:val="015A5108"/>
    <w:rsid w:val="01649B07"/>
    <w:rsid w:val="0173A854"/>
    <w:rsid w:val="0174ADDE"/>
    <w:rsid w:val="017B9206"/>
    <w:rsid w:val="0183CF99"/>
    <w:rsid w:val="018712F6"/>
    <w:rsid w:val="018CCA90"/>
    <w:rsid w:val="019AD71D"/>
    <w:rsid w:val="01A1CF84"/>
    <w:rsid w:val="01A2DBC4"/>
    <w:rsid w:val="01B52F8E"/>
    <w:rsid w:val="01B9AAB9"/>
    <w:rsid w:val="01C9AA30"/>
    <w:rsid w:val="01CB90FF"/>
    <w:rsid w:val="01D6FEDD"/>
    <w:rsid w:val="01D8CD1B"/>
    <w:rsid w:val="01DD647F"/>
    <w:rsid w:val="01E18537"/>
    <w:rsid w:val="01E8FA5E"/>
    <w:rsid w:val="01F54F4D"/>
    <w:rsid w:val="01FECB8B"/>
    <w:rsid w:val="01FF06D2"/>
    <w:rsid w:val="02019EF4"/>
    <w:rsid w:val="0201E037"/>
    <w:rsid w:val="02088F1D"/>
    <w:rsid w:val="020C51DC"/>
    <w:rsid w:val="0215D924"/>
    <w:rsid w:val="0216B990"/>
    <w:rsid w:val="021FE1A5"/>
    <w:rsid w:val="0225E0A3"/>
    <w:rsid w:val="022726C6"/>
    <w:rsid w:val="02340485"/>
    <w:rsid w:val="023FE7B0"/>
    <w:rsid w:val="02664031"/>
    <w:rsid w:val="026C7B49"/>
    <w:rsid w:val="026EA5A5"/>
    <w:rsid w:val="02746EC4"/>
    <w:rsid w:val="02755161"/>
    <w:rsid w:val="027B8BF3"/>
    <w:rsid w:val="027FE07C"/>
    <w:rsid w:val="028B4B76"/>
    <w:rsid w:val="028F0E75"/>
    <w:rsid w:val="029F402F"/>
    <w:rsid w:val="02A253CF"/>
    <w:rsid w:val="02BA5F31"/>
    <w:rsid w:val="02BC8634"/>
    <w:rsid w:val="02C301CC"/>
    <w:rsid w:val="02D53A96"/>
    <w:rsid w:val="02DDB6AC"/>
    <w:rsid w:val="02E94CFA"/>
    <w:rsid w:val="02F04997"/>
    <w:rsid w:val="02F710C7"/>
    <w:rsid w:val="03016A0E"/>
    <w:rsid w:val="03048C64"/>
    <w:rsid w:val="0305AA41"/>
    <w:rsid w:val="030B82F7"/>
    <w:rsid w:val="030D40B3"/>
    <w:rsid w:val="030D70C7"/>
    <w:rsid w:val="03129621"/>
    <w:rsid w:val="031FE744"/>
    <w:rsid w:val="0323DE54"/>
    <w:rsid w:val="03250E66"/>
    <w:rsid w:val="033DF9B1"/>
    <w:rsid w:val="03411C7D"/>
    <w:rsid w:val="0344E4B6"/>
    <w:rsid w:val="034FC5BC"/>
    <w:rsid w:val="0359A756"/>
    <w:rsid w:val="0364C6E5"/>
    <w:rsid w:val="0369A6B4"/>
    <w:rsid w:val="0374E7EB"/>
    <w:rsid w:val="038039FF"/>
    <w:rsid w:val="0386D3A9"/>
    <w:rsid w:val="0387E911"/>
    <w:rsid w:val="038B68AA"/>
    <w:rsid w:val="03995F95"/>
    <w:rsid w:val="03AF5624"/>
    <w:rsid w:val="03B14122"/>
    <w:rsid w:val="03B1526B"/>
    <w:rsid w:val="03B1C990"/>
    <w:rsid w:val="03B1D96A"/>
    <w:rsid w:val="03B376A6"/>
    <w:rsid w:val="03B5AEED"/>
    <w:rsid w:val="03B69CD1"/>
    <w:rsid w:val="03BE2763"/>
    <w:rsid w:val="03C00275"/>
    <w:rsid w:val="03DF77C5"/>
    <w:rsid w:val="03F26E0D"/>
    <w:rsid w:val="04084BAA"/>
    <w:rsid w:val="0409FECE"/>
    <w:rsid w:val="040BF454"/>
    <w:rsid w:val="040F790F"/>
    <w:rsid w:val="04163574"/>
    <w:rsid w:val="0418AD45"/>
    <w:rsid w:val="042C9A5F"/>
    <w:rsid w:val="04306D5E"/>
    <w:rsid w:val="04372440"/>
    <w:rsid w:val="043AB565"/>
    <w:rsid w:val="0440286B"/>
    <w:rsid w:val="04412D0F"/>
    <w:rsid w:val="04471734"/>
    <w:rsid w:val="04477B7F"/>
    <w:rsid w:val="044DDFB8"/>
    <w:rsid w:val="045A0E0E"/>
    <w:rsid w:val="046E6ED9"/>
    <w:rsid w:val="0479F950"/>
    <w:rsid w:val="0483D3D2"/>
    <w:rsid w:val="048B59BF"/>
    <w:rsid w:val="048DE25B"/>
    <w:rsid w:val="04A0CE70"/>
    <w:rsid w:val="04A5C1BE"/>
    <w:rsid w:val="04B79F44"/>
    <w:rsid w:val="04B969B5"/>
    <w:rsid w:val="04C4CCD7"/>
    <w:rsid w:val="04CF1B00"/>
    <w:rsid w:val="04D00219"/>
    <w:rsid w:val="04DEB4C0"/>
    <w:rsid w:val="04E4C2A6"/>
    <w:rsid w:val="04E7DBE3"/>
    <w:rsid w:val="04ED86F6"/>
    <w:rsid w:val="04F40CC2"/>
    <w:rsid w:val="04F65231"/>
    <w:rsid w:val="0504DB5C"/>
    <w:rsid w:val="050C2C1E"/>
    <w:rsid w:val="050C6FDC"/>
    <w:rsid w:val="05104B58"/>
    <w:rsid w:val="0512ABA1"/>
    <w:rsid w:val="05193429"/>
    <w:rsid w:val="052A9AE6"/>
    <w:rsid w:val="0536731D"/>
    <w:rsid w:val="05369F5A"/>
    <w:rsid w:val="053E09E8"/>
    <w:rsid w:val="053F45CE"/>
    <w:rsid w:val="05429F18"/>
    <w:rsid w:val="05454412"/>
    <w:rsid w:val="0556DC32"/>
    <w:rsid w:val="0568E184"/>
    <w:rsid w:val="05700950"/>
    <w:rsid w:val="0572A7EB"/>
    <w:rsid w:val="05778752"/>
    <w:rsid w:val="057CC94E"/>
    <w:rsid w:val="0583E010"/>
    <w:rsid w:val="058D511E"/>
    <w:rsid w:val="05A1473B"/>
    <w:rsid w:val="05AD4664"/>
    <w:rsid w:val="05B11CB7"/>
    <w:rsid w:val="05B27B4E"/>
    <w:rsid w:val="05B2BD7D"/>
    <w:rsid w:val="05BFD840"/>
    <w:rsid w:val="05C00517"/>
    <w:rsid w:val="05CE906B"/>
    <w:rsid w:val="05D724E4"/>
    <w:rsid w:val="05E5984E"/>
    <w:rsid w:val="05EBDB38"/>
    <w:rsid w:val="05EEF524"/>
    <w:rsid w:val="05F31A4A"/>
    <w:rsid w:val="05FB53AC"/>
    <w:rsid w:val="05FF0686"/>
    <w:rsid w:val="0615C9B1"/>
    <w:rsid w:val="061C4CCC"/>
    <w:rsid w:val="061EF647"/>
    <w:rsid w:val="0620C8ED"/>
    <w:rsid w:val="062BB574"/>
    <w:rsid w:val="062BF680"/>
    <w:rsid w:val="062FC3AF"/>
    <w:rsid w:val="0634CC99"/>
    <w:rsid w:val="06370990"/>
    <w:rsid w:val="063C97AE"/>
    <w:rsid w:val="063FF5E6"/>
    <w:rsid w:val="0640092C"/>
    <w:rsid w:val="06528917"/>
    <w:rsid w:val="0668C9F4"/>
    <w:rsid w:val="0675B1AE"/>
    <w:rsid w:val="0676C17D"/>
    <w:rsid w:val="067D7310"/>
    <w:rsid w:val="06810663"/>
    <w:rsid w:val="069DF05B"/>
    <w:rsid w:val="069F7842"/>
    <w:rsid w:val="06A11B7C"/>
    <w:rsid w:val="06A466D2"/>
    <w:rsid w:val="06AC45FF"/>
    <w:rsid w:val="06B5F4C6"/>
    <w:rsid w:val="06CAE18C"/>
    <w:rsid w:val="06DEED02"/>
    <w:rsid w:val="06E82F38"/>
    <w:rsid w:val="06E8F32D"/>
    <w:rsid w:val="06E94867"/>
    <w:rsid w:val="06EAD407"/>
    <w:rsid w:val="06F06457"/>
    <w:rsid w:val="06F0F302"/>
    <w:rsid w:val="07020199"/>
    <w:rsid w:val="0703D0B5"/>
    <w:rsid w:val="0705386C"/>
    <w:rsid w:val="070782FA"/>
    <w:rsid w:val="0717FA1C"/>
    <w:rsid w:val="0719B27C"/>
    <w:rsid w:val="071C11D8"/>
    <w:rsid w:val="072C86FC"/>
    <w:rsid w:val="07310157"/>
    <w:rsid w:val="073FEC6C"/>
    <w:rsid w:val="07411FB9"/>
    <w:rsid w:val="0741801C"/>
    <w:rsid w:val="07436701"/>
    <w:rsid w:val="07584128"/>
    <w:rsid w:val="075BA8A1"/>
    <w:rsid w:val="076F50ED"/>
    <w:rsid w:val="0776C977"/>
    <w:rsid w:val="0783E77C"/>
    <w:rsid w:val="078B1D00"/>
    <w:rsid w:val="078C8FF2"/>
    <w:rsid w:val="078F91BA"/>
    <w:rsid w:val="079808C7"/>
    <w:rsid w:val="079C9D5A"/>
    <w:rsid w:val="07AC8AD6"/>
    <w:rsid w:val="07B2E982"/>
    <w:rsid w:val="07BE8B27"/>
    <w:rsid w:val="07C261BB"/>
    <w:rsid w:val="07CF6DC7"/>
    <w:rsid w:val="07D852C3"/>
    <w:rsid w:val="07DCBC3F"/>
    <w:rsid w:val="07DFB359"/>
    <w:rsid w:val="07E58F5D"/>
    <w:rsid w:val="07F1BEB1"/>
    <w:rsid w:val="07F3E8AE"/>
    <w:rsid w:val="0801F4FB"/>
    <w:rsid w:val="08032080"/>
    <w:rsid w:val="08034C93"/>
    <w:rsid w:val="0810A895"/>
    <w:rsid w:val="0818EF08"/>
    <w:rsid w:val="08230E7B"/>
    <w:rsid w:val="08385AC3"/>
    <w:rsid w:val="083F6231"/>
    <w:rsid w:val="0858DFEC"/>
    <w:rsid w:val="086AD6CC"/>
    <w:rsid w:val="087A7FD8"/>
    <w:rsid w:val="089435B8"/>
    <w:rsid w:val="08B44AE0"/>
    <w:rsid w:val="08C8DF63"/>
    <w:rsid w:val="08D232E2"/>
    <w:rsid w:val="08D23412"/>
    <w:rsid w:val="08D32192"/>
    <w:rsid w:val="08D749DC"/>
    <w:rsid w:val="08E3394D"/>
    <w:rsid w:val="08E86717"/>
    <w:rsid w:val="08EBB797"/>
    <w:rsid w:val="08F14BBD"/>
    <w:rsid w:val="08F17182"/>
    <w:rsid w:val="08FE6AA4"/>
    <w:rsid w:val="090069DE"/>
    <w:rsid w:val="09043083"/>
    <w:rsid w:val="0907583A"/>
    <w:rsid w:val="0916D48C"/>
    <w:rsid w:val="091A8593"/>
    <w:rsid w:val="0929BB9A"/>
    <w:rsid w:val="0950315D"/>
    <w:rsid w:val="0957394A"/>
    <w:rsid w:val="096BD38A"/>
    <w:rsid w:val="09729547"/>
    <w:rsid w:val="097721B2"/>
    <w:rsid w:val="097EA037"/>
    <w:rsid w:val="09820A10"/>
    <w:rsid w:val="0999C5E2"/>
    <w:rsid w:val="099ED24A"/>
    <w:rsid w:val="09A2E554"/>
    <w:rsid w:val="09A70516"/>
    <w:rsid w:val="09AE0F77"/>
    <w:rsid w:val="09BFA95F"/>
    <w:rsid w:val="09DDA89E"/>
    <w:rsid w:val="09FC40BA"/>
    <w:rsid w:val="0A0EEA34"/>
    <w:rsid w:val="0A134CA5"/>
    <w:rsid w:val="0A15C1D5"/>
    <w:rsid w:val="0A1B3B3A"/>
    <w:rsid w:val="0A24DA1A"/>
    <w:rsid w:val="0A255C49"/>
    <w:rsid w:val="0A2B4717"/>
    <w:rsid w:val="0A2DB2D3"/>
    <w:rsid w:val="0A35C378"/>
    <w:rsid w:val="0A3A8907"/>
    <w:rsid w:val="0A4755BD"/>
    <w:rsid w:val="0A47E73D"/>
    <w:rsid w:val="0A4B99A4"/>
    <w:rsid w:val="0A75CCD1"/>
    <w:rsid w:val="0A816679"/>
    <w:rsid w:val="0A8E6B65"/>
    <w:rsid w:val="0A8ED20D"/>
    <w:rsid w:val="0AA3130C"/>
    <w:rsid w:val="0AB355D2"/>
    <w:rsid w:val="0AD41C0A"/>
    <w:rsid w:val="0AD54FAB"/>
    <w:rsid w:val="0AE0C8C6"/>
    <w:rsid w:val="0AE29A4F"/>
    <w:rsid w:val="0AE99D4F"/>
    <w:rsid w:val="0AF1C029"/>
    <w:rsid w:val="0AF540F6"/>
    <w:rsid w:val="0AF66A7F"/>
    <w:rsid w:val="0B0334D2"/>
    <w:rsid w:val="0B2C6A68"/>
    <w:rsid w:val="0B3388E9"/>
    <w:rsid w:val="0B414CDD"/>
    <w:rsid w:val="0B4A4B29"/>
    <w:rsid w:val="0B4AAF59"/>
    <w:rsid w:val="0B4B1592"/>
    <w:rsid w:val="0B67DC79"/>
    <w:rsid w:val="0B705C11"/>
    <w:rsid w:val="0B73DD43"/>
    <w:rsid w:val="0B7F1772"/>
    <w:rsid w:val="0B7F6566"/>
    <w:rsid w:val="0B8C6A05"/>
    <w:rsid w:val="0B90E294"/>
    <w:rsid w:val="0B9BB187"/>
    <w:rsid w:val="0BA399B8"/>
    <w:rsid w:val="0BA4A0DB"/>
    <w:rsid w:val="0BAA299A"/>
    <w:rsid w:val="0BB5A9F0"/>
    <w:rsid w:val="0BC95BB2"/>
    <w:rsid w:val="0BCEFE61"/>
    <w:rsid w:val="0BCF94EF"/>
    <w:rsid w:val="0BD49C62"/>
    <w:rsid w:val="0BD7F2B1"/>
    <w:rsid w:val="0BD87B70"/>
    <w:rsid w:val="0BE52682"/>
    <w:rsid w:val="0BEEB4D8"/>
    <w:rsid w:val="0C00025A"/>
    <w:rsid w:val="0C015D41"/>
    <w:rsid w:val="0C01F4E3"/>
    <w:rsid w:val="0C05C0DE"/>
    <w:rsid w:val="0C11A9E1"/>
    <w:rsid w:val="0C11E2C1"/>
    <w:rsid w:val="0C153950"/>
    <w:rsid w:val="0C201DC1"/>
    <w:rsid w:val="0C2146D3"/>
    <w:rsid w:val="0C250EF1"/>
    <w:rsid w:val="0C2C326E"/>
    <w:rsid w:val="0C38874F"/>
    <w:rsid w:val="0C466668"/>
    <w:rsid w:val="0C4755D7"/>
    <w:rsid w:val="0C486450"/>
    <w:rsid w:val="0C49BCE4"/>
    <w:rsid w:val="0C4FE944"/>
    <w:rsid w:val="0C5154BB"/>
    <w:rsid w:val="0C525B32"/>
    <w:rsid w:val="0C52F2F2"/>
    <w:rsid w:val="0C64DEB8"/>
    <w:rsid w:val="0C6BDD2C"/>
    <w:rsid w:val="0C859E18"/>
    <w:rsid w:val="0C8E74AB"/>
    <w:rsid w:val="0C9382EB"/>
    <w:rsid w:val="0CA10EEF"/>
    <w:rsid w:val="0CAC93D7"/>
    <w:rsid w:val="0CAE8280"/>
    <w:rsid w:val="0CB8E4A6"/>
    <w:rsid w:val="0CBA42A1"/>
    <w:rsid w:val="0CBB7C15"/>
    <w:rsid w:val="0CC05895"/>
    <w:rsid w:val="0CC53E53"/>
    <w:rsid w:val="0CC87CC7"/>
    <w:rsid w:val="0CD70181"/>
    <w:rsid w:val="0CDAEBC8"/>
    <w:rsid w:val="0CE5475C"/>
    <w:rsid w:val="0D03FAC1"/>
    <w:rsid w:val="0D05B376"/>
    <w:rsid w:val="0D12B5B7"/>
    <w:rsid w:val="0D1EFB44"/>
    <w:rsid w:val="0D27197E"/>
    <w:rsid w:val="0D305B69"/>
    <w:rsid w:val="0D321457"/>
    <w:rsid w:val="0D33D0D5"/>
    <w:rsid w:val="0D38E9F5"/>
    <w:rsid w:val="0D3E26A3"/>
    <w:rsid w:val="0D3F0C54"/>
    <w:rsid w:val="0D424296"/>
    <w:rsid w:val="0D428FDE"/>
    <w:rsid w:val="0D4504D7"/>
    <w:rsid w:val="0D497A7F"/>
    <w:rsid w:val="0D55D53C"/>
    <w:rsid w:val="0D5690BF"/>
    <w:rsid w:val="0D66C24A"/>
    <w:rsid w:val="0D7D70AA"/>
    <w:rsid w:val="0D7F3AA6"/>
    <w:rsid w:val="0D966C7F"/>
    <w:rsid w:val="0D983815"/>
    <w:rsid w:val="0D9C1789"/>
    <w:rsid w:val="0DA6744B"/>
    <w:rsid w:val="0DA8517E"/>
    <w:rsid w:val="0DA8C5EB"/>
    <w:rsid w:val="0DA9F4EF"/>
    <w:rsid w:val="0DB0B496"/>
    <w:rsid w:val="0DB294FE"/>
    <w:rsid w:val="0DB32880"/>
    <w:rsid w:val="0DB3E170"/>
    <w:rsid w:val="0DB63080"/>
    <w:rsid w:val="0DB80408"/>
    <w:rsid w:val="0DC672CF"/>
    <w:rsid w:val="0DC97DCC"/>
    <w:rsid w:val="0DCBD20C"/>
    <w:rsid w:val="0DCCA917"/>
    <w:rsid w:val="0DD274A5"/>
    <w:rsid w:val="0DF44C8F"/>
    <w:rsid w:val="0DF77A1F"/>
    <w:rsid w:val="0E0513DA"/>
    <w:rsid w:val="0E151EF6"/>
    <w:rsid w:val="0E20DB96"/>
    <w:rsid w:val="0E2D0B14"/>
    <w:rsid w:val="0E34387C"/>
    <w:rsid w:val="0E42FFD6"/>
    <w:rsid w:val="0E63251F"/>
    <w:rsid w:val="0E665649"/>
    <w:rsid w:val="0E7894C9"/>
    <w:rsid w:val="0E79848E"/>
    <w:rsid w:val="0E843870"/>
    <w:rsid w:val="0E886224"/>
    <w:rsid w:val="0E958839"/>
    <w:rsid w:val="0E97A065"/>
    <w:rsid w:val="0E9C89D1"/>
    <w:rsid w:val="0EAB1AF0"/>
    <w:rsid w:val="0EBBAD28"/>
    <w:rsid w:val="0EC288CC"/>
    <w:rsid w:val="0ED7A055"/>
    <w:rsid w:val="0EE0636C"/>
    <w:rsid w:val="0EF052C1"/>
    <w:rsid w:val="0EF09E5B"/>
    <w:rsid w:val="0EF15710"/>
    <w:rsid w:val="0EF347FF"/>
    <w:rsid w:val="0EF61FA4"/>
    <w:rsid w:val="0F0847D2"/>
    <w:rsid w:val="0F108B32"/>
    <w:rsid w:val="0F17D200"/>
    <w:rsid w:val="0F32FB3E"/>
    <w:rsid w:val="0F3DC594"/>
    <w:rsid w:val="0F47877F"/>
    <w:rsid w:val="0F4E655F"/>
    <w:rsid w:val="0F53D469"/>
    <w:rsid w:val="0F58A86A"/>
    <w:rsid w:val="0F5C4A54"/>
    <w:rsid w:val="0F60B612"/>
    <w:rsid w:val="0F659225"/>
    <w:rsid w:val="0F6752D8"/>
    <w:rsid w:val="0F6FB9C8"/>
    <w:rsid w:val="0F7089ED"/>
    <w:rsid w:val="0F7FB26B"/>
    <w:rsid w:val="0F8A9B31"/>
    <w:rsid w:val="0F9CD0CC"/>
    <w:rsid w:val="0FADCB07"/>
    <w:rsid w:val="0FB05121"/>
    <w:rsid w:val="0FB089CE"/>
    <w:rsid w:val="0FB0EF57"/>
    <w:rsid w:val="0FB3D962"/>
    <w:rsid w:val="0FBADA4A"/>
    <w:rsid w:val="0FDD7AB6"/>
    <w:rsid w:val="0FE21A24"/>
    <w:rsid w:val="0FEB2AC1"/>
    <w:rsid w:val="0FEB2C43"/>
    <w:rsid w:val="0FEFB234"/>
    <w:rsid w:val="0FFC6A84"/>
    <w:rsid w:val="100718E7"/>
    <w:rsid w:val="10220EE7"/>
    <w:rsid w:val="1022931B"/>
    <w:rsid w:val="10307D81"/>
    <w:rsid w:val="10334D2E"/>
    <w:rsid w:val="10535F63"/>
    <w:rsid w:val="1054BD66"/>
    <w:rsid w:val="105ADB36"/>
    <w:rsid w:val="105D078E"/>
    <w:rsid w:val="105FF354"/>
    <w:rsid w:val="1065A867"/>
    <w:rsid w:val="1066E2F8"/>
    <w:rsid w:val="1073A575"/>
    <w:rsid w:val="10781DC6"/>
    <w:rsid w:val="107AF341"/>
    <w:rsid w:val="107D11EF"/>
    <w:rsid w:val="1080CD86"/>
    <w:rsid w:val="108D407B"/>
    <w:rsid w:val="109436F8"/>
    <w:rsid w:val="1095C5CD"/>
    <w:rsid w:val="1095F1C7"/>
    <w:rsid w:val="109B5E22"/>
    <w:rsid w:val="10A76C65"/>
    <w:rsid w:val="10AE996B"/>
    <w:rsid w:val="10B5EA13"/>
    <w:rsid w:val="10B9243A"/>
    <w:rsid w:val="10BD7EC0"/>
    <w:rsid w:val="10BE238B"/>
    <w:rsid w:val="10C9CBD7"/>
    <w:rsid w:val="10CED621"/>
    <w:rsid w:val="10D0586A"/>
    <w:rsid w:val="10D0A9B5"/>
    <w:rsid w:val="10D1A12B"/>
    <w:rsid w:val="10D54652"/>
    <w:rsid w:val="10D84E12"/>
    <w:rsid w:val="10E7477F"/>
    <w:rsid w:val="10EAC81D"/>
    <w:rsid w:val="10EBEDDE"/>
    <w:rsid w:val="10F50D24"/>
    <w:rsid w:val="10F563A8"/>
    <w:rsid w:val="10FFB827"/>
    <w:rsid w:val="110153CB"/>
    <w:rsid w:val="110A9211"/>
    <w:rsid w:val="111D2523"/>
    <w:rsid w:val="113E5664"/>
    <w:rsid w:val="11446137"/>
    <w:rsid w:val="114C273C"/>
    <w:rsid w:val="114D126A"/>
    <w:rsid w:val="114DF666"/>
    <w:rsid w:val="114E4308"/>
    <w:rsid w:val="11503442"/>
    <w:rsid w:val="115BF7A3"/>
    <w:rsid w:val="11689299"/>
    <w:rsid w:val="116DCC0A"/>
    <w:rsid w:val="11727656"/>
    <w:rsid w:val="117A6A81"/>
    <w:rsid w:val="117F3733"/>
    <w:rsid w:val="11808E08"/>
    <w:rsid w:val="11845762"/>
    <w:rsid w:val="1184FD49"/>
    <w:rsid w:val="11852E85"/>
    <w:rsid w:val="11854DAD"/>
    <w:rsid w:val="1185DEF2"/>
    <w:rsid w:val="1189A390"/>
    <w:rsid w:val="119355FE"/>
    <w:rsid w:val="11947525"/>
    <w:rsid w:val="119B8425"/>
    <w:rsid w:val="11A25BC5"/>
    <w:rsid w:val="11A7BFAA"/>
    <w:rsid w:val="11B6B3C0"/>
    <w:rsid w:val="11BAF206"/>
    <w:rsid w:val="11CBAC15"/>
    <w:rsid w:val="11D4F3B7"/>
    <w:rsid w:val="11EBE7A3"/>
    <w:rsid w:val="11F1CAAE"/>
    <w:rsid w:val="11F532C8"/>
    <w:rsid w:val="1201B0FB"/>
    <w:rsid w:val="1205566F"/>
    <w:rsid w:val="120A9942"/>
    <w:rsid w:val="12174B13"/>
    <w:rsid w:val="124A95D9"/>
    <w:rsid w:val="1251F9F5"/>
    <w:rsid w:val="1265BEBA"/>
    <w:rsid w:val="126F330F"/>
    <w:rsid w:val="127A02B3"/>
    <w:rsid w:val="128658BA"/>
    <w:rsid w:val="129ADAD9"/>
    <w:rsid w:val="129B826D"/>
    <w:rsid w:val="12B617A0"/>
    <w:rsid w:val="12C4B61F"/>
    <w:rsid w:val="12C8C482"/>
    <w:rsid w:val="12CD69A2"/>
    <w:rsid w:val="12D8D9C8"/>
    <w:rsid w:val="12DABB6E"/>
    <w:rsid w:val="12DB86D7"/>
    <w:rsid w:val="12E6E303"/>
    <w:rsid w:val="12EC6BEB"/>
    <w:rsid w:val="12F166BA"/>
    <w:rsid w:val="12F4AF34"/>
    <w:rsid w:val="1306066E"/>
    <w:rsid w:val="130BCF47"/>
    <w:rsid w:val="130DC06E"/>
    <w:rsid w:val="13113137"/>
    <w:rsid w:val="131A2664"/>
    <w:rsid w:val="131FEE3F"/>
    <w:rsid w:val="1321A248"/>
    <w:rsid w:val="13259962"/>
    <w:rsid w:val="13338715"/>
    <w:rsid w:val="13431C0C"/>
    <w:rsid w:val="1349EF39"/>
    <w:rsid w:val="13544059"/>
    <w:rsid w:val="1355E86D"/>
    <w:rsid w:val="135E5A68"/>
    <w:rsid w:val="136E05AD"/>
    <w:rsid w:val="1385AC29"/>
    <w:rsid w:val="138BC5F2"/>
    <w:rsid w:val="1390E08E"/>
    <w:rsid w:val="13A1B4D0"/>
    <w:rsid w:val="13A447AD"/>
    <w:rsid w:val="13A57684"/>
    <w:rsid w:val="13A833E5"/>
    <w:rsid w:val="13A89B70"/>
    <w:rsid w:val="13B53D3D"/>
    <w:rsid w:val="13BA3754"/>
    <w:rsid w:val="13C842F0"/>
    <w:rsid w:val="13C9FBD1"/>
    <w:rsid w:val="13E1B338"/>
    <w:rsid w:val="13E1DC00"/>
    <w:rsid w:val="13E2AF77"/>
    <w:rsid w:val="13E3C848"/>
    <w:rsid w:val="13ECB978"/>
    <w:rsid w:val="13F5A843"/>
    <w:rsid w:val="13FA9554"/>
    <w:rsid w:val="13FDA66C"/>
    <w:rsid w:val="13FEDF12"/>
    <w:rsid w:val="1405E361"/>
    <w:rsid w:val="14062196"/>
    <w:rsid w:val="140A2ED1"/>
    <w:rsid w:val="140E7367"/>
    <w:rsid w:val="14137802"/>
    <w:rsid w:val="141D89D9"/>
    <w:rsid w:val="1422E952"/>
    <w:rsid w:val="14259CD9"/>
    <w:rsid w:val="142864CC"/>
    <w:rsid w:val="142C471F"/>
    <w:rsid w:val="142D0B81"/>
    <w:rsid w:val="142EB811"/>
    <w:rsid w:val="143A05F8"/>
    <w:rsid w:val="143F65CA"/>
    <w:rsid w:val="1441FB78"/>
    <w:rsid w:val="144328F2"/>
    <w:rsid w:val="144D528A"/>
    <w:rsid w:val="144E7C50"/>
    <w:rsid w:val="14614284"/>
    <w:rsid w:val="14658CCF"/>
    <w:rsid w:val="146DE5F1"/>
    <w:rsid w:val="1479E5E7"/>
    <w:rsid w:val="148B671F"/>
    <w:rsid w:val="148E854F"/>
    <w:rsid w:val="14907D93"/>
    <w:rsid w:val="1494B884"/>
    <w:rsid w:val="14A5A337"/>
    <w:rsid w:val="14A67ED3"/>
    <w:rsid w:val="14A88D23"/>
    <w:rsid w:val="14BB0710"/>
    <w:rsid w:val="14BC2398"/>
    <w:rsid w:val="14BE126C"/>
    <w:rsid w:val="14CF7770"/>
    <w:rsid w:val="14D302FF"/>
    <w:rsid w:val="14F74820"/>
    <w:rsid w:val="15031E82"/>
    <w:rsid w:val="1504AFA9"/>
    <w:rsid w:val="1509D033"/>
    <w:rsid w:val="150FD5E5"/>
    <w:rsid w:val="1510C585"/>
    <w:rsid w:val="1523182B"/>
    <w:rsid w:val="15296B70"/>
    <w:rsid w:val="1542DEF8"/>
    <w:rsid w:val="15445D13"/>
    <w:rsid w:val="15471F29"/>
    <w:rsid w:val="1558BCA7"/>
    <w:rsid w:val="155988AF"/>
    <w:rsid w:val="155CE2D1"/>
    <w:rsid w:val="157C05A4"/>
    <w:rsid w:val="158B60C4"/>
    <w:rsid w:val="159AAF73"/>
    <w:rsid w:val="159D209E"/>
    <w:rsid w:val="159EBE19"/>
    <w:rsid w:val="159EBF8F"/>
    <w:rsid w:val="15A084D2"/>
    <w:rsid w:val="15A8D8E5"/>
    <w:rsid w:val="15BCD487"/>
    <w:rsid w:val="15BF81F2"/>
    <w:rsid w:val="15CF1B40"/>
    <w:rsid w:val="15D513C9"/>
    <w:rsid w:val="15D53468"/>
    <w:rsid w:val="15DEF6D6"/>
    <w:rsid w:val="15E42A05"/>
    <w:rsid w:val="15FA267F"/>
    <w:rsid w:val="16009E5E"/>
    <w:rsid w:val="16020264"/>
    <w:rsid w:val="16027AAE"/>
    <w:rsid w:val="161A3F02"/>
    <w:rsid w:val="162507DF"/>
    <w:rsid w:val="162BB461"/>
    <w:rsid w:val="1633DB01"/>
    <w:rsid w:val="1636F62B"/>
    <w:rsid w:val="163A167F"/>
    <w:rsid w:val="1644F624"/>
    <w:rsid w:val="16471A8E"/>
    <w:rsid w:val="164D91FA"/>
    <w:rsid w:val="165CFFD8"/>
    <w:rsid w:val="166C866F"/>
    <w:rsid w:val="166CAD43"/>
    <w:rsid w:val="166DF470"/>
    <w:rsid w:val="16768E71"/>
    <w:rsid w:val="167690F9"/>
    <w:rsid w:val="1676AABB"/>
    <w:rsid w:val="1681E250"/>
    <w:rsid w:val="16841B45"/>
    <w:rsid w:val="1685F4DB"/>
    <w:rsid w:val="168C3B70"/>
    <w:rsid w:val="16909297"/>
    <w:rsid w:val="1690B0A8"/>
    <w:rsid w:val="16A034E0"/>
    <w:rsid w:val="16ADAF4A"/>
    <w:rsid w:val="16B2EC2F"/>
    <w:rsid w:val="16B33880"/>
    <w:rsid w:val="16BB8A80"/>
    <w:rsid w:val="16C0BE27"/>
    <w:rsid w:val="16C37BBA"/>
    <w:rsid w:val="16C72884"/>
    <w:rsid w:val="16C86572"/>
    <w:rsid w:val="16CA7DEE"/>
    <w:rsid w:val="16DC158E"/>
    <w:rsid w:val="16E16B31"/>
    <w:rsid w:val="16E16BE2"/>
    <w:rsid w:val="16E31095"/>
    <w:rsid w:val="16E70EA3"/>
    <w:rsid w:val="16E825AF"/>
    <w:rsid w:val="16FDB228"/>
    <w:rsid w:val="1709F623"/>
    <w:rsid w:val="1712A65E"/>
    <w:rsid w:val="171C8F91"/>
    <w:rsid w:val="17271466"/>
    <w:rsid w:val="172A7CEF"/>
    <w:rsid w:val="172FD32E"/>
    <w:rsid w:val="173625E3"/>
    <w:rsid w:val="1736BCF7"/>
    <w:rsid w:val="1755821D"/>
    <w:rsid w:val="17598ACB"/>
    <w:rsid w:val="175B3982"/>
    <w:rsid w:val="175D6B40"/>
    <w:rsid w:val="176F163B"/>
    <w:rsid w:val="176FB259"/>
    <w:rsid w:val="17768BCE"/>
    <w:rsid w:val="1779327B"/>
    <w:rsid w:val="177D5BD0"/>
    <w:rsid w:val="178105E0"/>
    <w:rsid w:val="17880512"/>
    <w:rsid w:val="178ACB14"/>
    <w:rsid w:val="1791A1C1"/>
    <w:rsid w:val="17922FF6"/>
    <w:rsid w:val="1798F03C"/>
    <w:rsid w:val="179F286D"/>
    <w:rsid w:val="17A2D817"/>
    <w:rsid w:val="17A65F77"/>
    <w:rsid w:val="17AC64FC"/>
    <w:rsid w:val="17ADD54D"/>
    <w:rsid w:val="17B3EB82"/>
    <w:rsid w:val="17C1C0B6"/>
    <w:rsid w:val="17CCB66F"/>
    <w:rsid w:val="17E1A043"/>
    <w:rsid w:val="17E1B7DA"/>
    <w:rsid w:val="17E48BA6"/>
    <w:rsid w:val="17E5ACD0"/>
    <w:rsid w:val="17EF2ECB"/>
    <w:rsid w:val="17F04DD3"/>
    <w:rsid w:val="17FF712F"/>
    <w:rsid w:val="18082E47"/>
    <w:rsid w:val="18102145"/>
    <w:rsid w:val="181235BC"/>
    <w:rsid w:val="18153676"/>
    <w:rsid w:val="1820A53F"/>
    <w:rsid w:val="182563D2"/>
    <w:rsid w:val="18272211"/>
    <w:rsid w:val="182A656E"/>
    <w:rsid w:val="182A85D2"/>
    <w:rsid w:val="182F2258"/>
    <w:rsid w:val="183793A9"/>
    <w:rsid w:val="183EE1FD"/>
    <w:rsid w:val="184200CA"/>
    <w:rsid w:val="184655EE"/>
    <w:rsid w:val="1849D088"/>
    <w:rsid w:val="18547439"/>
    <w:rsid w:val="185539EA"/>
    <w:rsid w:val="18580414"/>
    <w:rsid w:val="1861819D"/>
    <w:rsid w:val="18623127"/>
    <w:rsid w:val="18623A2C"/>
    <w:rsid w:val="18642305"/>
    <w:rsid w:val="187314F6"/>
    <w:rsid w:val="187F9C9E"/>
    <w:rsid w:val="1897642F"/>
    <w:rsid w:val="18A6E324"/>
    <w:rsid w:val="18ABECD6"/>
    <w:rsid w:val="18AC8074"/>
    <w:rsid w:val="18B6061E"/>
    <w:rsid w:val="18BEF17F"/>
    <w:rsid w:val="18C61C2D"/>
    <w:rsid w:val="18CB9710"/>
    <w:rsid w:val="18EEA691"/>
    <w:rsid w:val="18F5F906"/>
    <w:rsid w:val="18F6F809"/>
    <w:rsid w:val="18F90916"/>
    <w:rsid w:val="18FF283E"/>
    <w:rsid w:val="19184D9D"/>
    <w:rsid w:val="19249AB5"/>
    <w:rsid w:val="1924F59D"/>
    <w:rsid w:val="1928FD5D"/>
    <w:rsid w:val="192A8BC1"/>
    <w:rsid w:val="192F52F6"/>
    <w:rsid w:val="193226E9"/>
    <w:rsid w:val="1951DA6C"/>
    <w:rsid w:val="1956124F"/>
    <w:rsid w:val="1961E01B"/>
    <w:rsid w:val="1962EDAB"/>
    <w:rsid w:val="1968023D"/>
    <w:rsid w:val="196B1EA6"/>
    <w:rsid w:val="19764985"/>
    <w:rsid w:val="197734B3"/>
    <w:rsid w:val="1986C0E2"/>
    <w:rsid w:val="198A246D"/>
    <w:rsid w:val="198BD41B"/>
    <w:rsid w:val="198DE9E8"/>
    <w:rsid w:val="199ADC08"/>
    <w:rsid w:val="19A245D2"/>
    <w:rsid w:val="19A49B71"/>
    <w:rsid w:val="19AD440D"/>
    <w:rsid w:val="19BADC4B"/>
    <w:rsid w:val="19BF6D54"/>
    <w:rsid w:val="19BFD9CE"/>
    <w:rsid w:val="19D6B948"/>
    <w:rsid w:val="19DF3B85"/>
    <w:rsid w:val="19DF4742"/>
    <w:rsid w:val="19E06A89"/>
    <w:rsid w:val="19ED3C9A"/>
    <w:rsid w:val="19EDA03F"/>
    <w:rsid w:val="19F9B5C4"/>
    <w:rsid w:val="1A088F21"/>
    <w:rsid w:val="1A0F1DCA"/>
    <w:rsid w:val="1A176CFA"/>
    <w:rsid w:val="1A1BD861"/>
    <w:rsid w:val="1A1FCFDB"/>
    <w:rsid w:val="1A2007E6"/>
    <w:rsid w:val="1A2325C0"/>
    <w:rsid w:val="1A24FA7F"/>
    <w:rsid w:val="1A2691A1"/>
    <w:rsid w:val="1A2E1D62"/>
    <w:rsid w:val="1A3CA8F8"/>
    <w:rsid w:val="1A3CCD92"/>
    <w:rsid w:val="1A4DD664"/>
    <w:rsid w:val="1A4F81FE"/>
    <w:rsid w:val="1A50F274"/>
    <w:rsid w:val="1A5EA5A9"/>
    <w:rsid w:val="1A697B09"/>
    <w:rsid w:val="1A6C33FF"/>
    <w:rsid w:val="1A717B02"/>
    <w:rsid w:val="1A7B1FAD"/>
    <w:rsid w:val="1A7F6090"/>
    <w:rsid w:val="1A831AB2"/>
    <w:rsid w:val="1A840D2C"/>
    <w:rsid w:val="1A88E996"/>
    <w:rsid w:val="1A959E7E"/>
    <w:rsid w:val="1A968B8C"/>
    <w:rsid w:val="1A98F6B6"/>
    <w:rsid w:val="1A9CD19F"/>
    <w:rsid w:val="1A9D241A"/>
    <w:rsid w:val="1A9DE019"/>
    <w:rsid w:val="1AB219A4"/>
    <w:rsid w:val="1ABBA5F6"/>
    <w:rsid w:val="1AC26CD1"/>
    <w:rsid w:val="1AC91B55"/>
    <w:rsid w:val="1AD252AA"/>
    <w:rsid w:val="1AD8F626"/>
    <w:rsid w:val="1AD92C5A"/>
    <w:rsid w:val="1AE3E4C2"/>
    <w:rsid w:val="1AEF9288"/>
    <w:rsid w:val="1AF44033"/>
    <w:rsid w:val="1AF6626A"/>
    <w:rsid w:val="1AFCF039"/>
    <w:rsid w:val="1B0B7A65"/>
    <w:rsid w:val="1B1EB2BC"/>
    <w:rsid w:val="1B3DEE81"/>
    <w:rsid w:val="1B490A79"/>
    <w:rsid w:val="1B4C0A7A"/>
    <w:rsid w:val="1B52D37B"/>
    <w:rsid w:val="1B57F403"/>
    <w:rsid w:val="1B5DD658"/>
    <w:rsid w:val="1B5EC2D3"/>
    <w:rsid w:val="1B6B92A3"/>
    <w:rsid w:val="1B7128ED"/>
    <w:rsid w:val="1B74FB4C"/>
    <w:rsid w:val="1B754C3A"/>
    <w:rsid w:val="1B81DF26"/>
    <w:rsid w:val="1BADBEB7"/>
    <w:rsid w:val="1BBD5BC5"/>
    <w:rsid w:val="1BC2BE85"/>
    <w:rsid w:val="1BD098D2"/>
    <w:rsid w:val="1BD92B46"/>
    <w:rsid w:val="1BDD8E57"/>
    <w:rsid w:val="1BE1F3F3"/>
    <w:rsid w:val="1BE24A3D"/>
    <w:rsid w:val="1BF9A740"/>
    <w:rsid w:val="1BFD18AB"/>
    <w:rsid w:val="1BFE8751"/>
    <w:rsid w:val="1BFF27B3"/>
    <w:rsid w:val="1C038614"/>
    <w:rsid w:val="1C03E067"/>
    <w:rsid w:val="1C043B8E"/>
    <w:rsid w:val="1C06A827"/>
    <w:rsid w:val="1C0854B8"/>
    <w:rsid w:val="1C122479"/>
    <w:rsid w:val="1C13F050"/>
    <w:rsid w:val="1C21B8FB"/>
    <w:rsid w:val="1C27C0FC"/>
    <w:rsid w:val="1C331499"/>
    <w:rsid w:val="1C33EDD2"/>
    <w:rsid w:val="1C34D90C"/>
    <w:rsid w:val="1C351473"/>
    <w:rsid w:val="1C428679"/>
    <w:rsid w:val="1C4817B9"/>
    <w:rsid w:val="1C575D11"/>
    <w:rsid w:val="1C5BBDBC"/>
    <w:rsid w:val="1C614AD6"/>
    <w:rsid w:val="1C6CB510"/>
    <w:rsid w:val="1C6F27C0"/>
    <w:rsid w:val="1C7C399B"/>
    <w:rsid w:val="1C868CDC"/>
    <w:rsid w:val="1C86EB7B"/>
    <w:rsid w:val="1C925D4C"/>
    <w:rsid w:val="1C959CC2"/>
    <w:rsid w:val="1CA5F224"/>
    <w:rsid w:val="1CA70051"/>
    <w:rsid w:val="1CAB3705"/>
    <w:rsid w:val="1CB31B33"/>
    <w:rsid w:val="1CB39F08"/>
    <w:rsid w:val="1CB449C7"/>
    <w:rsid w:val="1CB466B3"/>
    <w:rsid w:val="1CB5D96B"/>
    <w:rsid w:val="1CBECA81"/>
    <w:rsid w:val="1CCA5E67"/>
    <w:rsid w:val="1CF68699"/>
    <w:rsid w:val="1CFD4987"/>
    <w:rsid w:val="1CFE4B1C"/>
    <w:rsid w:val="1D0246EB"/>
    <w:rsid w:val="1D144A1E"/>
    <w:rsid w:val="1D1C0C40"/>
    <w:rsid w:val="1D1CB330"/>
    <w:rsid w:val="1D226239"/>
    <w:rsid w:val="1D32D53E"/>
    <w:rsid w:val="1D4C3429"/>
    <w:rsid w:val="1D4EA161"/>
    <w:rsid w:val="1D6D5DCB"/>
    <w:rsid w:val="1D6E33A3"/>
    <w:rsid w:val="1D6FFDC4"/>
    <w:rsid w:val="1D715BEC"/>
    <w:rsid w:val="1D7251A6"/>
    <w:rsid w:val="1D807EFB"/>
    <w:rsid w:val="1D8A5A4E"/>
    <w:rsid w:val="1D91690E"/>
    <w:rsid w:val="1D938D5C"/>
    <w:rsid w:val="1D97E8BA"/>
    <w:rsid w:val="1D9921D2"/>
    <w:rsid w:val="1D9DB58B"/>
    <w:rsid w:val="1D9FF5CA"/>
    <w:rsid w:val="1DA58B4B"/>
    <w:rsid w:val="1DAFA3F2"/>
    <w:rsid w:val="1DB3362A"/>
    <w:rsid w:val="1DBFC91E"/>
    <w:rsid w:val="1DCC044D"/>
    <w:rsid w:val="1DCFE6DD"/>
    <w:rsid w:val="1DD8F5E5"/>
    <w:rsid w:val="1DEF78BB"/>
    <w:rsid w:val="1DEFE769"/>
    <w:rsid w:val="1E039E95"/>
    <w:rsid w:val="1E046739"/>
    <w:rsid w:val="1E05C2B7"/>
    <w:rsid w:val="1E0E9320"/>
    <w:rsid w:val="1E19812D"/>
    <w:rsid w:val="1E21042B"/>
    <w:rsid w:val="1E335D20"/>
    <w:rsid w:val="1E353F78"/>
    <w:rsid w:val="1E3B2BF1"/>
    <w:rsid w:val="1E49B20D"/>
    <w:rsid w:val="1E4C603E"/>
    <w:rsid w:val="1E4FA80D"/>
    <w:rsid w:val="1E62DD4B"/>
    <w:rsid w:val="1E6ECA72"/>
    <w:rsid w:val="1E720500"/>
    <w:rsid w:val="1E7878D8"/>
    <w:rsid w:val="1E792C84"/>
    <w:rsid w:val="1E81BEA2"/>
    <w:rsid w:val="1E84F956"/>
    <w:rsid w:val="1E87BAC5"/>
    <w:rsid w:val="1E893AFB"/>
    <w:rsid w:val="1E8AA497"/>
    <w:rsid w:val="1E9B092A"/>
    <w:rsid w:val="1E9BF9FF"/>
    <w:rsid w:val="1EA194DC"/>
    <w:rsid w:val="1EA2329B"/>
    <w:rsid w:val="1EA4D40A"/>
    <w:rsid w:val="1EA66479"/>
    <w:rsid w:val="1EAC3530"/>
    <w:rsid w:val="1EB4B3F7"/>
    <w:rsid w:val="1EB8F520"/>
    <w:rsid w:val="1EB9744B"/>
    <w:rsid w:val="1EBFAB69"/>
    <w:rsid w:val="1EC03BC1"/>
    <w:rsid w:val="1EC18B06"/>
    <w:rsid w:val="1EC2B06B"/>
    <w:rsid w:val="1EC4104F"/>
    <w:rsid w:val="1EE94A36"/>
    <w:rsid w:val="1EF63D5A"/>
    <w:rsid w:val="1F009653"/>
    <w:rsid w:val="1F03DF3C"/>
    <w:rsid w:val="1F0CD51D"/>
    <w:rsid w:val="1F1563BA"/>
    <w:rsid w:val="1F17D672"/>
    <w:rsid w:val="1F1C19AA"/>
    <w:rsid w:val="1F2B2A3A"/>
    <w:rsid w:val="1F2EF018"/>
    <w:rsid w:val="1F4867F3"/>
    <w:rsid w:val="1F613AE7"/>
    <w:rsid w:val="1F66FD5B"/>
    <w:rsid w:val="1F6A65CC"/>
    <w:rsid w:val="1F719CED"/>
    <w:rsid w:val="1F76C465"/>
    <w:rsid w:val="1F7A292C"/>
    <w:rsid w:val="1F8BB98F"/>
    <w:rsid w:val="1F903497"/>
    <w:rsid w:val="1F971082"/>
    <w:rsid w:val="1F995F45"/>
    <w:rsid w:val="1F9BCA9B"/>
    <w:rsid w:val="1FA3A1A0"/>
    <w:rsid w:val="1FB0374E"/>
    <w:rsid w:val="1FB80ADF"/>
    <w:rsid w:val="1FBFDC06"/>
    <w:rsid w:val="1FC1820E"/>
    <w:rsid w:val="1FC90187"/>
    <w:rsid w:val="1FC9F939"/>
    <w:rsid w:val="1FCC36DF"/>
    <w:rsid w:val="1FCC9D88"/>
    <w:rsid w:val="1FDC0FAA"/>
    <w:rsid w:val="1FDEA113"/>
    <w:rsid w:val="1FE8309F"/>
    <w:rsid w:val="1FEBDF0F"/>
    <w:rsid w:val="1FEC1ED9"/>
    <w:rsid w:val="1FEE002C"/>
    <w:rsid w:val="1FEEA652"/>
    <w:rsid w:val="1FF43D67"/>
    <w:rsid w:val="1FF79B58"/>
    <w:rsid w:val="1FF90C28"/>
    <w:rsid w:val="2003E0D2"/>
    <w:rsid w:val="2004F590"/>
    <w:rsid w:val="20088D76"/>
    <w:rsid w:val="200ECE50"/>
    <w:rsid w:val="2012847F"/>
    <w:rsid w:val="2012E66C"/>
    <w:rsid w:val="20165F2C"/>
    <w:rsid w:val="2025E0AD"/>
    <w:rsid w:val="202BC1B3"/>
    <w:rsid w:val="202D0E84"/>
    <w:rsid w:val="2038F5F9"/>
    <w:rsid w:val="20563B39"/>
    <w:rsid w:val="2058E903"/>
    <w:rsid w:val="2061142A"/>
    <w:rsid w:val="2062F738"/>
    <w:rsid w:val="2071D9FA"/>
    <w:rsid w:val="207BE14E"/>
    <w:rsid w:val="208A2884"/>
    <w:rsid w:val="208B19E5"/>
    <w:rsid w:val="20909E9A"/>
    <w:rsid w:val="209A845E"/>
    <w:rsid w:val="20A224F9"/>
    <w:rsid w:val="20A45D3A"/>
    <w:rsid w:val="20A66637"/>
    <w:rsid w:val="20AD0D3A"/>
    <w:rsid w:val="20B696ED"/>
    <w:rsid w:val="20BC1BF5"/>
    <w:rsid w:val="20C64088"/>
    <w:rsid w:val="20C9599E"/>
    <w:rsid w:val="20CE4774"/>
    <w:rsid w:val="20D4A891"/>
    <w:rsid w:val="20DBB3B2"/>
    <w:rsid w:val="20DF1849"/>
    <w:rsid w:val="20E209F4"/>
    <w:rsid w:val="20E28828"/>
    <w:rsid w:val="20EF4F4D"/>
    <w:rsid w:val="20F1A1CA"/>
    <w:rsid w:val="20FEC392"/>
    <w:rsid w:val="2104E002"/>
    <w:rsid w:val="210C0D67"/>
    <w:rsid w:val="210EA33C"/>
    <w:rsid w:val="2116373C"/>
    <w:rsid w:val="2119A073"/>
    <w:rsid w:val="21379AFC"/>
    <w:rsid w:val="21503FD0"/>
    <w:rsid w:val="2150CB77"/>
    <w:rsid w:val="2155A583"/>
    <w:rsid w:val="21622BAD"/>
    <w:rsid w:val="2162A5F0"/>
    <w:rsid w:val="21697EEA"/>
    <w:rsid w:val="216CE19D"/>
    <w:rsid w:val="216D3CD7"/>
    <w:rsid w:val="21738918"/>
    <w:rsid w:val="21742930"/>
    <w:rsid w:val="217C03BC"/>
    <w:rsid w:val="2182A305"/>
    <w:rsid w:val="218A76B3"/>
    <w:rsid w:val="219C5B06"/>
    <w:rsid w:val="219FAC8A"/>
    <w:rsid w:val="21B18794"/>
    <w:rsid w:val="21BC0E7A"/>
    <w:rsid w:val="21D8E3B2"/>
    <w:rsid w:val="21E69CEF"/>
    <w:rsid w:val="21F061F1"/>
    <w:rsid w:val="21F22053"/>
    <w:rsid w:val="21F81533"/>
    <w:rsid w:val="220EEB04"/>
    <w:rsid w:val="22129D60"/>
    <w:rsid w:val="2219DF18"/>
    <w:rsid w:val="221C95B8"/>
    <w:rsid w:val="22265736"/>
    <w:rsid w:val="2235A4ED"/>
    <w:rsid w:val="224475D0"/>
    <w:rsid w:val="2253D153"/>
    <w:rsid w:val="227078F2"/>
    <w:rsid w:val="227EC8F5"/>
    <w:rsid w:val="22802B80"/>
    <w:rsid w:val="2291EBAE"/>
    <w:rsid w:val="22994066"/>
    <w:rsid w:val="22A6AD01"/>
    <w:rsid w:val="22A7BC07"/>
    <w:rsid w:val="22AFA135"/>
    <w:rsid w:val="22B5298D"/>
    <w:rsid w:val="22BC790C"/>
    <w:rsid w:val="22BCC4AA"/>
    <w:rsid w:val="22DF50DF"/>
    <w:rsid w:val="22E33D6F"/>
    <w:rsid w:val="22EA3442"/>
    <w:rsid w:val="22ECAF60"/>
    <w:rsid w:val="22F1BD1F"/>
    <w:rsid w:val="231057DF"/>
    <w:rsid w:val="231C90FD"/>
    <w:rsid w:val="231E450E"/>
    <w:rsid w:val="231EBE0B"/>
    <w:rsid w:val="2334BA38"/>
    <w:rsid w:val="233AC42A"/>
    <w:rsid w:val="23402E38"/>
    <w:rsid w:val="234389A4"/>
    <w:rsid w:val="234704A6"/>
    <w:rsid w:val="2360023E"/>
    <w:rsid w:val="2367BF91"/>
    <w:rsid w:val="2379EAE6"/>
    <w:rsid w:val="237F93DB"/>
    <w:rsid w:val="23919D42"/>
    <w:rsid w:val="23971130"/>
    <w:rsid w:val="23A23E30"/>
    <w:rsid w:val="23A86F06"/>
    <w:rsid w:val="23ABAF00"/>
    <w:rsid w:val="23AD0DF1"/>
    <w:rsid w:val="23B46E51"/>
    <w:rsid w:val="23BEF5E5"/>
    <w:rsid w:val="23C2BAA7"/>
    <w:rsid w:val="23CD8B48"/>
    <w:rsid w:val="23D308E5"/>
    <w:rsid w:val="23E0F4D8"/>
    <w:rsid w:val="23ED6B7A"/>
    <w:rsid w:val="23F36A0B"/>
    <w:rsid w:val="23F9251D"/>
    <w:rsid w:val="23FCCEFC"/>
    <w:rsid w:val="23FD23C6"/>
    <w:rsid w:val="240C075B"/>
    <w:rsid w:val="240C8D7A"/>
    <w:rsid w:val="2411CA12"/>
    <w:rsid w:val="2421007E"/>
    <w:rsid w:val="2426E34C"/>
    <w:rsid w:val="24281127"/>
    <w:rsid w:val="243DBF8E"/>
    <w:rsid w:val="2443A7D8"/>
    <w:rsid w:val="24452FFE"/>
    <w:rsid w:val="244DF9D2"/>
    <w:rsid w:val="2456D53E"/>
    <w:rsid w:val="245930ED"/>
    <w:rsid w:val="245E68B5"/>
    <w:rsid w:val="246D74EF"/>
    <w:rsid w:val="2473899A"/>
    <w:rsid w:val="24784977"/>
    <w:rsid w:val="247D8059"/>
    <w:rsid w:val="24802936"/>
    <w:rsid w:val="2489A16C"/>
    <w:rsid w:val="2489B497"/>
    <w:rsid w:val="2489F2C5"/>
    <w:rsid w:val="248A5EDE"/>
    <w:rsid w:val="248EA999"/>
    <w:rsid w:val="248FC38B"/>
    <w:rsid w:val="24987CF5"/>
    <w:rsid w:val="249EF942"/>
    <w:rsid w:val="249FFB74"/>
    <w:rsid w:val="24A4517F"/>
    <w:rsid w:val="24AE2E6A"/>
    <w:rsid w:val="24AFE58F"/>
    <w:rsid w:val="24B9EA9D"/>
    <w:rsid w:val="24C842AC"/>
    <w:rsid w:val="24D0D8A8"/>
    <w:rsid w:val="24D4AC9A"/>
    <w:rsid w:val="24D7ED17"/>
    <w:rsid w:val="24DBEB84"/>
    <w:rsid w:val="24E891B2"/>
    <w:rsid w:val="24EE7003"/>
    <w:rsid w:val="24F01AB8"/>
    <w:rsid w:val="24F862E7"/>
    <w:rsid w:val="24FDCD00"/>
    <w:rsid w:val="25001C34"/>
    <w:rsid w:val="25195D47"/>
    <w:rsid w:val="25209AC9"/>
    <w:rsid w:val="25397AD7"/>
    <w:rsid w:val="254C695B"/>
    <w:rsid w:val="2555F452"/>
    <w:rsid w:val="255E1036"/>
    <w:rsid w:val="256AA447"/>
    <w:rsid w:val="2575CB71"/>
    <w:rsid w:val="25790735"/>
    <w:rsid w:val="25968B49"/>
    <w:rsid w:val="25992BA9"/>
    <w:rsid w:val="25A43E81"/>
    <w:rsid w:val="25B4A9BA"/>
    <w:rsid w:val="25B77235"/>
    <w:rsid w:val="25BA8810"/>
    <w:rsid w:val="25BB70CC"/>
    <w:rsid w:val="25BD4A3B"/>
    <w:rsid w:val="25D6E808"/>
    <w:rsid w:val="25D7EFA5"/>
    <w:rsid w:val="25E21F99"/>
    <w:rsid w:val="25EA4173"/>
    <w:rsid w:val="25ED2CED"/>
    <w:rsid w:val="25F194ED"/>
    <w:rsid w:val="25FA323A"/>
    <w:rsid w:val="26000826"/>
    <w:rsid w:val="26025E21"/>
    <w:rsid w:val="2603FDCF"/>
    <w:rsid w:val="260B6005"/>
    <w:rsid w:val="261AAC42"/>
    <w:rsid w:val="262919D0"/>
    <w:rsid w:val="263138E9"/>
    <w:rsid w:val="26368F58"/>
    <w:rsid w:val="2636DDE5"/>
    <w:rsid w:val="26522BF9"/>
    <w:rsid w:val="26536F10"/>
    <w:rsid w:val="2657CC78"/>
    <w:rsid w:val="265B6E32"/>
    <w:rsid w:val="266442EA"/>
    <w:rsid w:val="2666B800"/>
    <w:rsid w:val="2682D55C"/>
    <w:rsid w:val="2687BEE7"/>
    <w:rsid w:val="2699856A"/>
    <w:rsid w:val="26999B57"/>
    <w:rsid w:val="26C39879"/>
    <w:rsid w:val="26D3C5D0"/>
    <w:rsid w:val="26D7CB36"/>
    <w:rsid w:val="26DA2CA7"/>
    <w:rsid w:val="26DD0205"/>
    <w:rsid w:val="26E6C6E8"/>
    <w:rsid w:val="26E718BD"/>
    <w:rsid w:val="26F2F7A2"/>
    <w:rsid w:val="26F643C2"/>
    <w:rsid w:val="26F8969E"/>
    <w:rsid w:val="27011E78"/>
    <w:rsid w:val="270547D7"/>
    <w:rsid w:val="2711F7F2"/>
    <w:rsid w:val="27237306"/>
    <w:rsid w:val="272622CD"/>
    <w:rsid w:val="2741B3A2"/>
    <w:rsid w:val="275D0293"/>
    <w:rsid w:val="2763589A"/>
    <w:rsid w:val="27635F50"/>
    <w:rsid w:val="276B9AFF"/>
    <w:rsid w:val="27710A9F"/>
    <w:rsid w:val="27760A9A"/>
    <w:rsid w:val="277B4EEB"/>
    <w:rsid w:val="27AFEA39"/>
    <w:rsid w:val="27B1D0C4"/>
    <w:rsid w:val="27CC4ABE"/>
    <w:rsid w:val="27D38E7E"/>
    <w:rsid w:val="27DBCF1E"/>
    <w:rsid w:val="27E91E0A"/>
    <w:rsid w:val="27ECC048"/>
    <w:rsid w:val="27FEA858"/>
    <w:rsid w:val="28197BB3"/>
    <w:rsid w:val="281C47C0"/>
    <w:rsid w:val="282504F2"/>
    <w:rsid w:val="28256AF0"/>
    <w:rsid w:val="282DD923"/>
    <w:rsid w:val="283120CE"/>
    <w:rsid w:val="28379DDF"/>
    <w:rsid w:val="283BC374"/>
    <w:rsid w:val="28497D1E"/>
    <w:rsid w:val="2855F985"/>
    <w:rsid w:val="285BC87E"/>
    <w:rsid w:val="2860D560"/>
    <w:rsid w:val="286A154B"/>
    <w:rsid w:val="286A95E5"/>
    <w:rsid w:val="286C8B80"/>
    <w:rsid w:val="2879D76F"/>
    <w:rsid w:val="287B2C19"/>
    <w:rsid w:val="2883D6F5"/>
    <w:rsid w:val="289733BB"/>
    <w:rsid w:val="28A6AF4B"/>
    <w:rsid w:val="28C3BBE5"/>
    <w:rsid w:val="28CA46F3"/>
    <w:rsid w:val="28E6C3AE"/>
    <w:rsid w:val="28EB72D0"/>
    <w:rsid w:val="28ED7B2A"/>
    <w:rsid w:val="28ED8BFD"/>
    <w:rsid w:val="28F343FB"/>
    <w:rsid w:val="28F7FCD7"/>
    <w:rsid w:val="28F88212"/>
    <w:rsid w:val="28FA441F"/>
    <w:rsid w:val="28FB7E4A"/>
    <w:rsid w:val="28FE9740"/>
    <w:rsid w:val="2900556D"/>
    <w:rsid w:val="2912AA1B"/>
    <w:rsid w:val="291B5E60"/>
    <w:rsid w:val="29288164"/>
    <w:rsid w:val="29295CA7"/>
    <w:rsid w:val="29307A08"/>
    <w:rsid w:val="2939E93E"/>
    <w:rsid w:val="294F1844"/>
    <w:rsid w:val="2953C2A6"/>
    <w:rsid w:val="295550B2"/>
    <w:rsid w:val="29579F23"/>
    <w:rsid w:val="2957DB9B"/>
    <w:rsid w:val="2958D158"/>
    <w:rsid w:val="29698F00"/>
    <w:rsid w:val="2969EBAF"/>
    <w:rsid w:val="296E059F"/>
    <w:rsid w:val="2979C174"/>
    <w:rsid w:val="297AB37A"/>
    <w:rsid w:val="297B5DCD"/>
    <w:rsid w:val="297C603B"/>
    <w:rsid w:val="297ED318"/>
    <w:rsid w:val="2981C4B3"/>
    <w:rsid w:val="298E3B96"/>
    <w:rsid w:val="298FD23C"/>
    <w:rsid w:val="299B998B"/>
    <w:rsid w:val="299CC374"/>
    <w:rsid w:val="29A1C751"/>
    <w:rsid w:val="29A40765"/>
    <w:rsid w:val="29A7188C"/>
    <w:rsid w:val="29AAE718"/>
    <w:rsid w:val="29BA5132"/>
    <w:rsid w:val="29BC488D"/>
    <w:rsid w:val="29BD4C23"/>
    <w:rsid w:val="29CE10C8"/>
    <w:rsid w:val="29D299A1"/>
    <w:rsid w:val="29E10A27"/>
    <w:rsid w:val="29E6198C"/>
    <w:rsid w:val="29EB9D78"/>
    <w:rsid w:val="29ECBD25"/>
    <w:rsid w:val="29EEA423"/>
    <w:rsid w:val="29F06222"/>
    <w:rsid w:val="2A0F9489"/>
    <w:rsid w:val="2A12A8AF"/>
    <w:rsid w:val="2A1902C5"/>
    <w:rsid w:val="2A1CDE3B"/>
    <w:rsid w:val="2A2AA8F5"/>
    <w:rsid w:val="2A3351A6"/>
    <w:rsid w:val="2A3452D3"/>
    <w:rsid w:val="2A3BA0AC"/>
    <w:rsid w:val="2A3CE4A5"/>
    <w:rsid w:val="2A413710"/>
    <w:rsid w:val="2A478B3C"/>
    <w:rsid w:val="2A491D93"/>
    <w:rsid w:val="2A49C1EA"/>
    <w:rsid w:val="2A4B9C25"/>
    <w:rsid w:val="2A73CC2D"/>
    <w:rsid w:val="2A74E478"/>
    <w:rsid w:val="2A77AC67"/>
    <w:rsid w:val="2A78C392"/>
    <w:rsid w:val="2A7BBDE5"/>
    <w:rsid w:val="2A81F4B4"/>
    <w:rsid w:val="2A918082"/>
    <w:rsid w:val="2A93CD38"/>
    <w:rsid w:val="2A963193"/>
    <w:rsid w:val="2A9A7FAA"/>
    <w:rsid w:val="2AADF158"/>
    <w:rsid w:val="2AB6D54E"/>
    <w:rsid w:val="2ABC0AE5"/>
    <w:rsid w:val="2ABFEF8F"/>
    <w:rsid w:val="2AC44569"/>
    <w:rsid w:val="2AC87271"/>
    <w:rsid w:val="2ACD5596"/>
    <w:rsid w:val="2ACECDEF"/>
    <w:rsid w:val="2AEAB646"/>
    <w:rsid w:val="2AF4AE2B"/>
    <w:rsid w:val="2B06D279"/>
    <w:rsid w:val="2B186954"/>
    <w:rsid w:val="2B1DD078"/>
    <w:rsid w:val="2B25F8DA"/>
    <w:rsid w:val="2B28C086"/>
    <w:rsid w:val="2B3769EC"/>
    <w:rsid w:val="2B48CBF5"/>
    <w:rsid w:val="2B49392C"/>
    <w:rsid w:val="2B4F8498"/>
    <w:rsid w:val="2B562660"/>
    <w:rsid w:val="2B5DEC4C"/>
    <w:rsid w:val="2B630964"/>
    <w:rsid w:val="2B655343"/>
    <w:rsid w:val="2B695282"/>
    <w:rsid w:val="2B6E94F3"/>
    <w:rsid w:val="2B79E6B1"/>
    <w:rsid w:val="2B7AF92A"/>
    <w:rsid w:val="2B7CDA88"/>
    <w:rsid w:val="2B89AEFA"/>
    <w:rsid w:val="2B8DC4F5"/>
    <w:rsid w:val="2B8E40FC"/>
    <w:rsid w:val="2B9AC3DF"/>
    <w:rsid w:val="2B9C1DC7"/>
    <w:rsid w:val="2BA366A6"/>
    <w:rsid w:val="2BA655DA"/>
    <w:rsid w:val="2BAEF706"/>
    <w:rsid w:val="2BAFF087"/>
    <w:rsid w:val="2BB60D50"/>
    <w:rsid w:val="2BC689B1"/>
    <w:rsid w:val="2BCCBCA0"/>
    <w:rsid w:val="2BCF54D8"/>
    <w:rsid w:val="2BD14801"/>
    <w:rsid w:val="2BDF64B2"/>
    <w:rsid w:val="2BE9E351"/>
    <w:rsid w:val="2BEFC9BF"/>
    <w:rsid w:val="2BFE51DF"/>
    <w:rsid w:val="2C0BB934"/>
    <w:rsid w:val="2C189B7E"/>
    <w:rsid w:val="2C31E4E1"/>
    <w:rsid w:val="2C365BD3"/>
    <w:rsid w:val="2C4B646C"/>
    <w:rsid w:val="2C4B66CE"/>
    <w:rsid w:val="2C4DF4E6"/>
    <w:rsid w:val="2C4EF26D"/>
    <w:rsid w:val="2C5C4995"/>
    <w:rsid w:val="2C697A9A"/>
    <w:rsid w:val="2C6B4274"/>
    <w:rsid w:val="2C7D4917"/>
    <w:rsid w:val="2C854F3B"/>
    <w:rsid w:val="2C919EB7"/>
    <w:rsid w:val="2C93FC57"/>
    <w:rsid w:val="2C9D6AC8"/>
    <w:rsid w:val="2CA29652"/>
    <w:rsid w:val="2CA90F56"/>
    <w:rsid w:val="2CB7C91E"/>
    <w:rsid w:val="2CCE6286"/>
    <w:rsid w:val="2CD90C6C"/>
    <w:rsid w:val="2CF686F0"/>
    <w:rsid w:val="2CF73C3F"/>
    <w:rsid w:val="2CFD5838"/>
    <w:rsid w:val="2D04B13B"/>
    <w:rsid w:val="2D0AE348"/>
    <w:rsid w:val="2D0D9730"/>
    <w:rsid w:val="2D0E204A"/>
    <w:rsid w:val="2D1D345E"/>
    <w:rsid w:val="2D240BFA"/>
    <w:rsid w:val="2D25D451"/>
    <w:rsid w:val="2D2AA399"/>
    <w:rsid w:val="2D3D866E"/>
    <w:rsid w:val="2D5A860B"/>
    <w:rsid w:val="2D5C32B4"/>
    <w:rsid w:val="2D6DA8A7"/>
    <w:rsid w:val="2D6EBD54"/>
    <w:rsid w:val="2D7467F2"/>
    <w:rsid w:val="2D789FA2"/>
    <w:rsid w:val="2D80CB8E"/>
    <w:rsid w:val="2D88714B"/>
    <w:rsid w:val="2D94209A"/>
    <w:rsid w:val="2D9F45F8"/>
    <w:rsid w:val="2DA07A1E"/>
    <w:rsid w:val="2DA2E385"/>
    <w:rsid w:val="2DA3BB13"/>
    <w:rsid w:val="2DAD5A54"/>
    <w:rsid w:val="2DB8150D"/>
    <w:rsid w:val="2DB9C35E"/>
    <w:rsid w:val="2DBD85C5"/>
    <w:rsid w:val="2DC0FD20"/>
    <w:rsid w:val="2DCABEAA"/>
    <w:rsid w:val="2DCB27BB"/>
    <w:rsid w:val="2DCD7018"/>
    <w:rsid w:val="2DD41AE9"/>
    <w:rsid w:val="2DDD6C43"/>
    <w:rsid w:val="2DDF536E"/>
    <w:rsid w:val="2DE0AA43"/>
    <w:rsid w:val="2DF03F17"/>
    <w:rsid w:val="2DF4ED09"/>
    <w:rsid w:val="2DF854E4"/>
    <w:rsid w:val="2E0A8F04"/>
    <w:rsid w:val="2E16F085"/>
    <w:rsid w:val="2E1CE25A"/>
    <w:rsid w:val="2E26CCEA"/>
    <w:rsid w:val="2E26D78B"/>
    <w:rsid w:val="2E342065"/>
    <w:rsid w:val="2E38C776"/>
    <w:rsid w:val="2E3CA8A1"/>
    <w:rsid w:val="2E3F6A59"/>
    <w:rsid w:val="2E4A71BE"/>
    <w:rsid w:val="2E4F138A"/>
    <w:rsid w:val="2E539AC4"/>
    <w:rsid w:val="2E6312D1"/>
    <w:rsid w:val="2E693CD6"/>
    <w:rsid w:val="2E694AE4"/>
    <w:rsid w:val="2E6A689F"/>
    <w:rsid w:val="2E759095"/>
    <w:rsid w:val="2E7B8BCC"/>
    <w:rsid w:val="2E8CA478"/>
    <w:rsid w:val="2E8D48E9"/>
    <w:rsid w:val="2E98A8AF"/>
    <w:rsid w:val="2E993928"/>
    <w:rsid w:val="2E9A58C9"/>
    <w:rsid w:val="2E9B1462"/>
    <w:rsid w:val="2E9C1CFC"/>
    <w:rsid w:val="2EA1BC8C"/>
    <w:rsid w:val="2EAA4A31"/>
    <w:rsid w:val="2EAB50A6"/>
    <w:rsid w:val="2EB29C72"/>
    <w:rsid w:val="2EB935A1"/>
    <w:rsid w:val="2EBE936A"/>
    <w:rsid w:val="2EC7E0C3"/>
    <w:rsid w:val="2ECA8CC8"/>
    <w:rsid w:val="2ED5E2EF"/>
    <w:rsid w:val="2EE50216"/>
    <w:rsid w:val="2EE61F54"/>
    <w:rsid w:val="2EEA0796"/>
    <w:rsid w:val="2EFAADAF"/>
    <w:rsid w:val="2F067044"/>
    <w:rsid w:val="2F0DDDB9"/>
    <w:rsid w:val="2F15EAB7"/>
    <w:rsid w:val="2F471006"/>
    <w:rsid w:val="2F480E40"/>
    <w:rsid w:val="2F571FF9"/>
    <w:rsid w:val="2F59D77B"/>
    <w:rsid w:val="2F5A5EA4"/>
    <w:rsid w:val="2F61820E"/>
    <w:rsid w:val="2F66BC79"/>
    <w:rsid w:val="2F6985A3"/>
    <w:rsid w:val="2F7ACB27"/>
    <w:rsid w:val="2F7E0581"/>
    <w:rsid w:val="2F7F1C1B"/>
    <w:rsid w:val="2F81E0BD"/>
    <w:rsid w:val="2F8BB1CF"/>
    <w:rsid w:val="2F96C97A"/>
    <w:rsid w:val="2F998FC8"/>
    <w:rsid w:val="2FA69210"/>
    <w:rsid w:val="2FA7C6E7"/>
    <w:rsid w:val="2FACBC0B"/>
    <w:rsid w:val="2FB5DCAC"/>
    <w:rsid w:val="2FBDA7D9"/>
    <w:rsid w:val="2FCC9068"/>
    <w:rsid w:val="2FD17B57"/>
    <w:rsid w:val="2FDA3F4E"/>
    <w:rsid w:val="2FDA7F9E"/>
    <w:rsid w:val="2FDBA152"/>
    <w:rsid w:val="2FEAE3EB"/>
    <w:rsid w:val="2FF67693"/>
    <w:rsid w:val="2FF93041"/>
    <w:rsid w:val="2FF93F6E"/>
    <w:rsid w:val="3008D972"/>
    <w:rsid w:val="300966A6"/>
    <w:rsid w:val="300C9238"/>
    <w:rsid w:val="3022BE7E"/>
    <w:rsid w:val="3026F257"/>
    <w:rsid w:val="30440A27"/>
    <w:rsid w:val="30442039"/>
    <w:rsid w:val="304E5ECE"/>
    <w:rsid w:val="30524EB0"/>
    <w:rsid w:val="3052C26B"/>
    <w:rsid w:val="30572298"/>
    <w:rsid w:val="306917FB"/>
    <w:rsid w:val="306AB3C5"/>
    <w:rsid w:val="306E2911"/>
    <w:rsid w:val="3072F3BD"/>
    <w:rsid w:val="307B2DA3"/>
    <w:rsid w:val="308B9FE0"/>
    <w:rsid w:val="30934838"/>
    <w:rsid w:val="30A23604"/>
    <w:rsid w:val="30B03454"/>
    <w:rsid w:val="30B52C9B"/>
    <w:rsid w:val="30C4D4DA"/>
    <w:rsid w:val="30CF6D8B"/>
    <w:rsid w:val="30D0D52F"/>
    <w:rsid w:val="30D3CC85"/>
    <w:rsid w:val="30D40C06"/>
    <w:rsid w:val="30D85F11"/>
    <w:rsid w:val="30E7EFCF"/>
    <w:rsid w:val="30E8E5FC"/>
    <w:rsid w:val="30F7C3BC"/>
    <w:rsid w:val="310246AA"/>
    <w:rsid w:val="310C5012"/>
    <w:rsid w:val="310F0A03"/>
    <w:rsid w:val="311DB11E"/>
    <w:rsid w:val="312E5262"/>
    <w:rsid w:val="313AC8BB"/>
    <w:rsid w:val="314467C5"/>
    <w:rsid w:val="31490029"/>
    <w:rsid w:val="314A4386"/>
    <w:rsid w:val="314FB989"/>
    <w:rsid w:val="31524DB8"/>
    <w:rsid w:val="31582204"/>
    <w:rsid w:val="315DA544"/>
    <w:rsid w:val="31614867"/>
    <w:rsid w:val="3164BE13"/>
    <w:rsid w:val="316860C9"/>
    <w:rsid w:val="3173EB90"/>
    <w:rsid w:val="3179950C"/>
    <w:rsid w:val="317A6494"/>
    <w:rsid w:val="317BF7A8"/>
    <w:rsid w:val="318224D6"/>
    <w:rsid w:val="31888B16"/>
    <w:rsid w:val="318EDFD8"/>
    <w:rsid w:val="31A3BB49"/>
    <w:rsid w:val="31A74854"/>
    <w:rsid w:val="31B5D3D6"/>
    <w:rsid w:val="31B8364E"/>
    <w:rsid w:val="31C24D43"/>
    <w:rsid w:val="31C8889C"/>
    <w:rsid w:val="31D19629"/>
    <w:rsid w:val="31E10853"/>
    <w:rsid w:val="31E200BF"/>
    <w:rsid w:val="31E8FC0F"/>
    <w:rsid w:val="31F2B4FF"/>
    <w:rsid w:val="31FDFA1B"/>
    <w:rsid w:val="320B024E"/>
    <w:rsid w:val="320D474C"/>
    <w:rsid w:val="3217D029"/>
    <w:rsid w:val="32188368"/>
    <w:rsid w:val="321E5CA4"/>
    <w:rsid w:val="321EEAC3"/>
    <w:rsid w:val="321FFBA8"/>
    <w:rsid w:val="3225B83A"/>
    <w:rsid w:val="322DACDA"/>
    <w:rsid w:val="323A0C5E"/>
    <w:rsid w:val="3241B535"/>
    <w:rsid w:val="3244FB96"/>
    <w:rsid w:val="32458B15"/>
    <w:rsid w:val="324BEA2A"/>
    <w:rsid w:val="324DBABD"/>
    <w:rsid w:val="324FE92C"/>
    <w:rsid w:val="32631D7F"/>
    <w:rsid w:val="326DC92C"/>
    <w:rsid w:val="32702080"/>
    <w:rsid w:val="32715233"/>
    <w:rsid w:val="3273766E"/>
    <w:rsid w:val="3281F3CB"/>
    <w:rsid w:val="328BA114"/>
    <w:rsid w:val="328D9B23"/>
    <w:rsid w:val="328DB3E3"/>
    <w:rsid w:val="329D0F09"/>
    <w:rsid w:val="329E482E"/>
    <w:rsid w:val="32A4A21D"/>
    <w:rsid w:val="32B4C07B"/>
    <w:rsid w:val="32BFAC77"/>
    <w:rsid w:val="32C0CC2A"/>
    <w:rsid w:val="32E2BAA6"/>
    <w:rsid w:val="32E50B77"/>
    <w:rsid w:val="32E7BF89"/>
    <w:rsid w:val="32EB388A"/>
    <w:rsid w:val="32F2885E"/>
    <w:rsid w:val="32F5B219"/>
    <w:rsid w:val="3306D573"/>
    <w:rsid w:val="330EDC03"/>
    <w:rsid w:val="33104646"/>
    <w:rsid w:val="331852B2"/>
    <w:rsid w:val="3322DAB8"/>
    <w:rsid w:val="333665D2"/>
    <w:rsid w:val="334774F6"/>
    <w:rsid w:val="3349E7AE"/>
    <w:rsid w:val="334A5495"/>
    <w:rsid w:val="33574FAD"/>
    <w:rsid w:val="3358B407"/>
    <w:rsid w:val="335D1D4E"/>
    <w:rsid w:val="336655F2"/>
    <w:rsid w:val="3372245D"/>
    <w:rsid w:val="337E3D83"/>
    <w:rsid w:val="339001E1"/>
    <w:rsid w:val="339CE65B"/>
    <w:rsid w:val="33A25487"/>
    <w:rsid w:val="33A55E1F"/>
    <w:rsid w:val="33CB14F8"/>
    <w:rsid w:val="33DD778C"/>
    <w:rsid w:val="33E0B97E"/>
    <w:rsid w:val="33E7BA8B"/>
    <w:rsid w:val="33E7D75B"/>
    <w:rsid w:val="33EAA8AD"/>
    <w:rsid w:val="33EC6884"/>
    <w:rsid w:val="33EE6310"/>
    <w:rsid w:val="33F06578"/>
    <w:rsid w:val="34114964"/>
    <w:rsid w:val="3419F1FD"/>
    <w:rsid w:val="341A870F"/>
    <w:rsid w:val="341F981B"/>
    <w:rsid w:val="3429B81E"/>
    <w:rsid w:val="342FB86B"/>
    <w:rsid w:val="34349742"/>
    <w:rsid w:val="344B49FE"/>
    <w:rsid w:val="344F5F6B"/>
    <w:rsid w:val="345F3487"/>
    <w:rsid w:val="34635341"/>
    <w:rsid w:val="34667943"/>
    <w:rsid w:val="3467D675"/>
    <w:rsid w:val="346D00EB"/>
    <w:rsid w:val="347378AE"/>
    <w:rsid w:val="3488F45D"/>
    <w:rsid w:val="3493158B"/>
    <w:rsid w:val="34947B02"/>
    <w:rsid w:val="349D99F2"/>
    <w:rsid w:val="34A217BB"/>
    <w:rsid w:val="34A25742"/>
    <w:rsid w:val="34A34909"/>
    <w:rsid w:val="34AE537B"/>
    <w:rsid w:val="34B2269F"/>
    <w:rsid w:val="34B8F209"/>
    <w:rsid w:val="34BA6DBB"/>
    <w:rsid w:val="34C4965B"/>
    <w:rsid w:val="34C85072"/>
    <w:rsid w:val="34D1091B"/>
    <w:rsid w:val="34D15BD0"/>
    <w:rsid w:val="34D5C333"/>
    <w:rsid w:val="34E46661"/>
    <w:rsid w:val="34E4ACF0"/>
    <w:rsid w:val="34E5B80F"/>
    <w:rsid w:val="34FA5AD1"/>
    <w:rsid w:val="34FFBF1A"/>
    <w:rsid w:val="35007CD7"/>
    <w:rsid w:val="3503AECC"/>
    <w:rsid w:val="3511A888"/>
    <w:rsid w:val="352E0A8D"/>
    <w:rsid w:val="3536153C"/>
    <w:rsid w:val="354653F4"/>
    <w:rsid w:val="35478F00"/>
    <w:rsid w:val="354995F4"/>
    <w:rsid w:val="354B179A"/>
    <w:rsid w:val="354FA7AC"/>
    <w:rsid w:val="3552B2BD"/>
    <w:rsid w:val="35568D27"/>
    <w:rsid w:val="355A8032"/>
    <w:rsid w:val="356F3C49"/>
    <w:rsid w:val="357BB169"/>
    <w:rsid w:val="357EBD5C"/>
    <w:rsid w:val="3586B6D6"/>
    <w:rsid w:val="358A2CDF"/>
    <w:rsid w:val="35921B9B"/>
    <w:rsid w:val="359315D1"/>
    <w:rsid w:val="359A7F21"/>
    <w:rsid w:val="35A4F8C1"/>
    <w:rsid w:val="35B314F2"/>
    <w:rsid w:val="35D0CB5C"/>
    <w:rsid w:val="35D37CFD"/>
    <w:rsid w:val="35DA1C23"/>
    <w:rsid w:val="35DE9357"/>
    <w:rsid w:val="35DFFA44"/>
    <w:rsid w:val="35E47F94"/>
    <w:rsid w:val="35E92C3E"/>
    <w:rsid w:val="35EA285A"/>
    <w:rsid w:val="360B81DA"/>
    <w:rsid w:val="3610B806"/>
    <w:rsid w:val="36136C02"/>
    <w:rsid w:val="361BA869"/>
    <w:rsid w:val="361E2C03"/>
    <w:rsid w:val="362B8747"/>
    <w:rsid w:val="3636FE87"/>
    <w:rsid w:val="36396A53"/>
    <w:rsid w:val="364123CA"/>
    <w:rsid w:val="36448E6C"/>
    <w:rsid w:val="364AAE05"/>
    <w:rsid w:val="364D062F"/>
    <w:rsid w:val="364EDE06"/>
    <w:rsid w:val="3654E4E4"/>
    <w:rsid w:val="365ADE5D"/>
    <w:rsid w:val="36649FD8"/>
    <w:rsid w:val="366C149A"/>
    <w:rsid w:val="368BB34D"/>
    <w:rsid w:val="369276F7"/>
    <w:rsid w:val="36AA9990"/>
    <w:rsid w:val="36B24498"/>
    <w:rsid w:val="36BF3692"/>
    <w:rsid w:val="36C08D05"/>
    <w:rsid w:val="36C59BDD"/>
    <w:rsid w:val="36C9FC93"/>
    <w:rsid w:val="36D3B095"/>
    <w:rsid w:val="36D45CE2"/>
    <w:rsid w:val="36D9F549"/>
    <w:rsid w:val="36DFF0F7"/>
    <w:rsid w:val="36E2D440"/>
    <w:rsid w:val="36ED1AC5"/>
    <w:rsid w:val="36F4C108"/>
    <w:rsid w:val="37015B5D"/>
    <w:rsid w:val="370469B0"/>
    <w:rsid w:val="3705C3B1"/>
    <w:rsid w:val="37066F39"/>
    <w:rsid w:val="3709EF97"/>
    <w:rsid w:val="37171CF0"/>
    <w:rsid w:val="371A004D"/>
    <w:rsid w:val="371E2D82"/>
    <w:rsid w:val="37282EF1"/>
    <w:rsid w:val="37334A84"/>
    <w:rsid w:val="37360DE3"/>
    <w:rsid w:val="3736451D"/>
    <w:rsid w:val="37364F82"/>
    <w:rsid w:val="373B703D"/>
    <w:rsid w:val="3741A4DA"/>
    <w:rsid w:val="37521761"/>
    <w:rsid w:val="375F0D38"/>
    <w:rsid w:val="37635323"/>
    <w:rsid w:val="376D50E2"/>
    <w:rsid w:val="3777EF83"/>
    <w:rsid w:val="377A97C9"/>
    <w:rsid w:val="37878485"/>
    <w:rsid w:val="37A9C81D"/>
    <w:rsid w:val="37ADE243"/>
    <w:rsid w:val="37B4052D"/>
    <w:rsid w:val="37B9FC64"/>
    <w:rsid w:val="37C9004F"/>
    <w:rsid w:val="37CCF0DA"/>
    <w:rsid w:val="37D96E05"/>
    <w:rsid w:val="37DF4E31"/>
    <w:rsid w:val="37E0C830"/>
    <w:rsid w:val="37E1E87F"/>
    <w:rsid w:val="37EF09EE"/>
    <w:rsid w:val="37F0E496"/>
    <w:rsid w:val="37F12E6C"/>
    <w:rsid w:val="37F3D8F0"/>
    <w:rsid w:val="37F85973"/>
    <w:rsid w:val="3801EEC8"/>
    <w:rsid w:val="38071D09"/>
    <w:rsid w:val="380CC74E"/>
    <w:rsid w:val="380F4EDE"/>
    <w:rsid w:val="38328315"/>
    <w:rsid w:val="3835BB05"/>
    <w:rsid w:val="3836D625"/>
    <w:rsid w:val="3838C4FF"/>
    <w:rsid w:val="384739CD"/>
    <w:rsid w:val="3853C0B3"/>
    <w:rsid w:val="3858A300"/>
    <w:rsid w:val="385B6A46"/>
    <w:rsid w:val="38607830"/>
    <w:rsid w:val="38619EB0"/>
    <w:rsid w:val="3867E56C"/>
    <w:rsid w:val="386D3D79"/>
    <w:rsid w:val="3873F090"/>
    <w:rsid w:val="38755570"/>
    <w:rsid w:val="38765D60"/>
    <w:rsid w:val="3877AE3E"/>
    <w:rsid w:val="3881F61E"/>
    <w:rsid w:val="3887D20E"/>
    <w:rsid w:val="389CEC75"/>
    <w:rsid w:val="38A18F59"/>
    <w:rsid w:val="38ABA6F0"/>
    <w:rsid w:val="38B87B39"/>
    <w:rsid w:val="38B943BD"/>
    <w:rsid w:val="38BA73F8"/>
    <w:rsid w:val="38BBB078"/>
    <w:rsid w:val="38C0FA69"/>
    <w:rsid w:val="38C7B2DA"/>
    <w:rsid w:val="38D4D558"/>
    <w:rsid w:val="38D6C79E"/>
    <w:rsid w:val="38D91426"/>
    <w:rsid w:val="38DDD827"/>
    <w:rsid w:val="38E1697A"/>
    <w:rsid w:val="38E96E75"/>
    <w:rsid w:val="38E9822C"/>
    <w:rsid w:val="38EB84AE"/>
    <w:rsid w:val="38EF43C1"/>
    <w:rsid w:val="38F3220A"/>
    <w:rsid w:val="38F4B2EA"/>
    <w:rsid w:val="38F8ACB1"/>
    <w:rsid w:val="390825F2"/>
    <w:rsid w:val="390DC780"/>
    <w:rsid w:val="390E9FC2"/>
    <w:rsid w:val="3916AA8B"/>
    <w:rsid w:val="39184BE1"/>
    <w:rsid w:val="391D2845"/>
    <w:rsid w:val="391D35F1"/>
    <w:rsid w:val="39258512"/>
    <w:rsid w:val="392813FA"/>
    <w:rsid w:val="3936D13D"/>
    <w:rsid w:val="394FCD5A"/>
    <w:rsid w:val="39535EB7"/>
    <w:rsid w:val="39612B39"/>
    <w:rsid w:val="396845A8"/>
    <w:rsid w:val="396D2923"/>
    <w:rsid w:val="3975710D"/>
    <w:rsid w:val="397FAEC3"/>
    <w:rsid w:val="3982F6E3"/>
    <w:rsid w:val="3991665A"/>
    <w:rsid w:val="39947334"/>
    <w:rsid w:val="3999FEB2"/>
    <w:rsid w:val="39A9E1B2"/>
    <w:rsid w:val="39AA73D1"/>
    <w:rsid w:val="39AF2BB8"/>
    <w:rsid w:val="39B6B5B3"/>
    <w:rsid w:val="39B8CB80"/>
    <w:rsid w:val="39BE0CF3"/>
    <w:rsid w:val="39C0C81E"/>
    <w:rsid w:val="39CB8455"/>
    <w:rsid w:val="39DBF324"/>
    <w:rsid w:val="39DFCBFC"/>
    <w:rsid w:val="39E00899"/>
    <w:rsid w:val="39EB027F"/>
    <w:rsid w:val="39F5F687"/>
    <w:rsid w:val="3A00D762"/>
    <w:rsid w:val="3A1196BE"/>
    <w:rsid w:val="3A2621C8"/>
    <w:rsid w:val="3A3ED4BE"/>
    <w:rsid w:val="3A41049E"/>
    <w:rsid w:val="3A4F1EF2"/>
    <w:rsid w:val="3A526898"/>
    <w:rsid w:val="3A5C04C8"/>
    <w:rsid w:val="3A6735A1"/>
    <w:rsid w:val="3A7641B9"/>
    <w:rsid w:val="3A7E65D2"/>
    <w:rsid w:val="3A863A27"/>
    <w:rsid w:val="3A877EEB"/>
    <w:rsid w:val="3A8D87A1"/>
    <w:rsid w:val="3ABCAC02"/>
    <w:rsid w:val="3AC0E8F0"/>
    <w:rsid w:val="3AC131F1"/>
    <w:rsid w:val="3AD32D9C"/>
    <w:rsid w:val="3AD5FA63"/>
    <w:rsid w:val="3ADB2CA3"/>
    <w:rsid w:val="3AE7D3DE"/>
    <w:rsid w:val="3AECFFE6"/>
    <w:rsid w:val="3AED1409"/>
    <w:rsid w:val="3AF8F6B4"/>
    <w:rsid w:val="3B022C64"/>
    <w:rsid w:val="3B0F97BA"/>
    <w:rsid w:val="3B114712"/>
    <w:rsid w:val="3B12147E"/>
    <w:rsid w:val="3B1C071C"/>
    <w:rsid w:val="3B349FD8"/>
    <w:rsid w:val="3B456D78"/>
    <w:rsid w:val="3B52D7B2"/>
    <w:rsid w:val="3B60C5F4"/>
    <w:rsid w:val="3B66CAD3"/>
    <w:rsid w:val="3B6FFA38"/>
    <w:rsid w:val="3B7CCEA1"/>
    <w:rsid w:val="3B838B35"/>
    <w:rsid w:val="3B84EAF0"/>
    <w:rsid w:val="3B88C510"/>
    <w:rsid w:val="3B9D1D06"/>
    <w:rsid w:val="3BAE0B1D"/>
    <w:rsid w:val="3BB28A3B"/>
    <w:rsid w:val="3BBA4A05"/>
    <w:rsid w:val="3BCDF4F2"/>
    <w:rsid w:val="3BCF8981"/>
    <w:rsid w:val="3C008D0B"/>
    <w:rsid w:val="3C03160E"/>
    <w:rsid w:val="3C0BAABC"/>
    <w:rsid w:val="3C11C2C9"/>
    <w:rsid w:val="3C15D00D"/>
    <w:rsid w:val="3C1EE29A"/>
    <w:rsid w:val="3C2B9CD6"/>
    <w:rsid w:val="3C37063E"/>
    <w:rsid w:val="3C402631"/>
    <w:rsid w:val="3C47BA40"/>
    <w:rsid w:val="3C49D033"/>
    <w:rsid w:val="3C4D4F82"/>
    <w:rsid w:val="3C638CBB"/>
    <w:rsid w:val="3C704186"/>
    <w:rsid w:val="3C764B59"/>
    <w:rsid w:val="3C7F73FC"/>
    <w:rsid w:val="3C9751E3"/>
    <w:rsid w:val="3C99E952"/>
    <w:rsid w:val="3C9F3FB7"/>
    <w:rsid w:val="3CB862F1"/>
    <w:rsid w:val="3CCCFD39"/>
    <w:rsid w:val="3CD8E2B1"/>
    <w:rsid w:val="3CDF2CA2"/>
    <w:rsid w:val="3CE2DD2D"/>
    <w:rsid w:val="3CEEDB6F"/>
    <w:rsid w:val="3D010083"/>
    <w:rsid w:val="3D0DF3CA"/>
    <w:rsid w:val="3D14319B"/>
    <w:rsid w:val="3D1C5AC0"/>
    <w:rsid w:val="3D27451A"/>
    <w:rsid w:val="3D27FEC4"/>
    <w:rsid w:val="3D2E3956"/>
    <w:rsid w:val="3D307C4F"/>
    <w:rsid w:val="3D34DD61"/>
    <w:rsid w:val="3D3EEDB7"/>
    <w:rsid w:val="3D3FDB0A"/>
    <w:rsid w:val="3D433829"/>
    <w:rsid w:val="3D438558"/>
    <w:rsid w:val="3D58D92A"/>
    <w:rsid w:val="3D6C7777"/>
    <w:rsid w:val="3D70CD81"/>
    <w:rsid w:val="3D795681"/>
    <w:rsid w:val="3D877795"/>
    <w:rsid w:val="3D880053"/>
    <w:rsid w:val="3D8D86B0"/>
    <w:rsid w:val="3D93C77C"/>
    <w:rsid w:val="3D946B75"/>
    <w:rsid w:val="3D97BE01"/>
    <w:rsid w:val="3D98F60A"/>
    <w:rsid w:val="3DB00AA6"/>
    <w:rsid w:val="3DB64F30"/>
    <w:rsid w:val="3DB77207"/>
    <w:rsid w:val="3DB858B3"/>
    <w:rsid w:val="3DBA7BE9"/>
    <w:rsid w:val="3DBB89B0"/>
    <w:rsid w:val="3DC3F8AD"/>
    <w:rsid w:val="3DC61CDA"/>
    <w:rsid w:val="3DC9BA9B"/>
    <w:rsid w:val="3DD294A7"/>
    <w:rsid w:val="3DD33E80"/>
    <w:rsid w:val="3DDE833E"/>
    <w:rsid w:val="3DE13371"/>
    <w:rsid w:val="3DE25CC0"/>
    <w:rsid w:val="3DF35DDE"/>
    <w:rsid w:val="3DF8CA36"/>
    <w:rsid w:val="3DFB5F45"/>
    <w:rsid w:val="3DFC8F57"/>
    <w:rsid w:val="3E02017A"/>
    <w:rsid w:val="3E20B2CE"/>
    <w:rsid w:val="3E293DE8"/>
    <w:rsid w:val="3E3991E9"/>
    <w:rsid w:val="3E3FE088"/>
    <w:rsid w:val="3E500B8C"/>
    <w:rsid w:val="3E522A71"/>
    <w:rsid w:val="3E705C47"/>
    <w:rsid w:val="3E7B4AD8"/>
    <w:rsid w:val="3E7E57F9"/>
    <w:rsid w:val="3E8B0AB1"/>
    <w:rsid w:val="3E8CAA2F"/>
    <w:rsid w:val="3E8CC200"/>
    <w:rsid w:val="3E909886"/>
    <w:rsid w:val="3E91D4B9"/>
    <w:rsid w:val="3E9306BD"/>
    <w:rsid w:val="3E954B08"/>
    <w:rsid w:val="3E9D74D0"/>
    <w:rsid w:val="3E9DB7EA"/>
    <w:rsid w:val="3E9E14BA"/>
    <w:rsid w:val="3EAB19BC"/>
    <w:rsid w:val="3EB6861C"/>
    <w:rsid w:val="3EBC3185"/>
    <w:rsid w:val="3EC3D66C"/>
    <w:rsid w:val="3ECE7A4A"/>
    <w:rsid w:val="3ECF986A"/>
    <w:rsid w:val="3ED113D1"/>
    <w:rsid w:val="3ED548E9"/>
    <w:rsid w:val="3EDFE488"/>
    <w:rsid w:val="3EE7A2A7"/>
    <w:rsid w:val="3EEB4BD7"/>
    <w:rsid w:val="3EF0D193"/>
    <w:rsid w:val="3EF59ED0"/>
    <w:rsid w:val="3EF6F272"/>
    <w:rsid w:val="3EFF7EC9"/>
    <w:rsid w:val="3F2D303F"/>
    <w:rsid w:val="3F2F2513"/>
    <w:rsid w:val="3F3DEE42"/>
    <w:rsid w:val="3F41605B"/>
    <w:rsid w:val="3F42BC62"/>
    <w:rsid w:val="3F6BEA33"/>
    <w:rsid w:val="3F72E77C"/>
    <w:rsid w:val="3F7D7F25"/>
    <w:rsid w:val="3F7F45A4"/>
    <w:rsid w:val="3F7FA96D"/>
    <w:rsid w:val="3F8CB084"/>
    <w:rsid w:val="3F985FB8"/>
    <w:rsid w:val="3F9E07FB"/>
    <w:rsid w:val="3FA410C5"/>
    <w:rsid w:val="3FB0D575"/>
    <w:rsid w:val="3FC19E94"/>
    <w:rsid w:val="3FCD3F45"/>
    <w:rsid w:val="3FCFAB26"/>
    <w:rsid w:val="3FD142DA"/>
    <w:rsid w:val="3FD1586C"/>
    <w:rsid w:val="3FD4E509"/>
    <w:rsid w:val="3FD58353"/>
    <w:rsid w:val="3FD7E149"/>
    <w:rsid w:val="3FDEB839"/>
    <w:rsid w:val="3FE0ED2D"/>
    <w:rsid w:val="3FE2F5CE"/>
    <w:rsid w:val="3FE4986A"/>
    <w:rsid w:val="3FEADE26"/>
    <w:rsid w:val="40029716"/>
    <w:rsid w:val="400AACD3"/>
    <w:rsid w:val="4019C547"/>
    <w:rsid w:val="401E3A64"/>
    <w:rsid w:val="40219ADB"/>
    <w:rsid w:val="4024C90A"/>
    <w:rsid w:val="4025554E"/>
    <w:rsid w:val="4028C5B6"/>
    <w:rsid w:val="40363253"/>
    <w:rsid w:val="4044913F"/>
    <w:rsid w:val="40449E08"/>
    <w:rsid w:val="404679FC"/>
    <w:rsid w:val="4049DC82"/>
    <w:rsid w:val="4052567D"/>
    <w:rsid w:val="40527687"/>
    <w:rsid w:val="40598A26"/>
    <w:rsid w:val="405FE238"/>
    <w:rsid w:val="4060DD4D"/>
    <w:rsid w:val="406576A0"/>
    <w:rsid w:val="4065DA18"/>
    <w:rsid w:val="407DA249"/>
    <w:rsid w:val="408441B1"/>
    <w:rsid w:val="40870507"/>
    <w:rsid w:val="408B884F"/>
    <w:rsid w:val="408E188B"/>
    <w:rsid w:val="409C3C97"/>
    <w:rsid w:val="40A4A5E5"/>
    <w:rsid w:val="40B24CE8"/>
    <w:rsid w:val="40BDBF29"/>
    <w:rsid w:val="40C9E26A"/>
    <w:rsid w:val="40CF7D28"/>
    <w:rsid w:val="40DAAB3F"/>
    <w:rsid w:val="40F22E53"/>
    <w:rsid w:val="40F3733C"/>
    <w:rsid w:val="40FB996F"/>
    <w:rsid w:val="41034962"/>
    <w:rsid w:val="4103995A"/>
    <w:rsid w:val="4105367A"/>
    <w:rsid w:val="4117AA26"/>
    <w:rsid w:val="411809EA"/>
    <w:rsid w:val="4118AC2B"/>
    <w:rsid w:val="411B79CE"/>
    <w:rsid w:val="412A02DA"/>
    <w:rsid w:val="412D2292"/>
    <w:rsid w:val="41303C60"/>
    <w:rsid w:val="4133A511"/>
    <w:rsid w:val="4138FF66"/>
    <w:rsid w:val="41429320"/>
    <w:rsid w:val="41429CD2"/>
    <w:rsid w:val="4145D3BE"/>
    <w:rsid w:val="41487CA9"/>
    <w:rsid w:val="414D2D43"/>
    <w:rsid w:val="414E3F60"/>
    <w:rsid w:val="415EC149"/>
    <w:rsid w:val="41606132"/>
    <w:rsid w:val="41636B7C"/>
    <w:rsid w:val="419A72EE"/>
    <w:rsid w:val="41A73551"/>
    <w:rsid w:val="41AA509A"/>
    <w:rsid w:val="41AEEEA2"/>
    <w:rsid w:val="41AF15CD"/>
    <w:rsid w:val="41AFA6CA"/>
    <w:rsid w:val="41C616AF"/>
    <w:rsid w:val="41C8B768"/>
    <w:rsid w:val="41C9F876"/>
    <w:rsid w:val="41D01487"/>
    <w:rsid w:val="41D4515E"/>
    <w:rsid w:val="41EBBD5D"/>
    <w:rsid w:val="41F44F08"/>
    <w:rsid w:val="41F9C734"/>
    <w:rsid w:val="4208C8FA"/>
    <w:rsid w:val="420B6EDB"/>
    <w:rsid w:val="42123578"/>
    <w:rsid w:val="42147179"/>
    <w:rsid w:val="421B17C9"/>
    <w:rsid w:val="42244999"/>
    <w:rsid w:val="42287255"/>
    <w:rsid w:val="422BCA56"/>
    <w:rsid w:val="423AB1CD"/>
    <w:rsid w:val="423F76A7"/>
    <w:rsid w:val="42441AF8"/>
    <w:rsid w:val="424EB43B"/>
    <w:rsid w:val="4256CDFB"/>
    <w:rsid w:val="42591F29"/>
    <w:rsid w:val="425C18CF"/>
    <w:rsid w:val="425D85A5"/>
    <w:rsid w:val="425F14FB"/>
    <w:rsid w:val="4276000A"/>
    <w:rsid w:val="42817C01"/>
    <w:rsid w:val="428A07B8"/>
    <w:rsid w:val="428FA2AB"/>
    <w:rsid w:val="429E6590"/>
    <w:rsid w:val="42A1520C"/>
    <w:rsid w:val="42A59926"/>
    <w:rsid w:val="42ABDAE7"/>
    <w:rsid w:val="42B3E866"/>
    <w:rsid w:val="42B8464E"/>
    <w:rsid w:val="42C2E434"/>
    <w:rsid w:val="42C71843"/>
    <w:rsid w:val="42DCF2C8"/>
    <w:rsid w:val="42F24A9E"/>
    <w:rsid w:val="42F2C5F6"/>
    <w:rsid w:val="42F42F98"/>
    <w:rsid w:val="42FAD96F"/>
    <w:rsid w:val="4301FB40"/>
    <w:rsid w:val="4308C91A"/>
    <w:rsid w:val="430B6798"/>
    <w:rsid w:val="430C85CB"/>
    <w:rsid w:val="430E2D9C"/>
    <w:rsid w:val="4316E53E"/>
    <w:rsid w:val="4321F3B5"/>
    <w:rsid w:val="4335C207"/>
    <w:rsid w:val="434033CD"/>
    <w:rsid w:val="4355569B"/>
    <w:rsid w:val="4357E7A3"/>
    <w:rsid w:val="435B787A"/>
    <w:rsid w:val="43712A32"/>
    <w:rsid w:val="437189D7"/>
    <w:rsid w:val="4379E619"/>
    <w:rsid w:val="43844E09"/>
    <w:rsid w:val="43865F80"/>
    <w:rsid w:val="438F573E"/>
    <w:rsid w:val="43ABAF9F"/>
    <w:rsid w:val="43D69EB4"/>
    <w:rsid w:val="43DFEB59"/>
    <w:rsid w:val="43EB070E"/>
    <w:rsid w:val="43EF0063"/>
    <w:rsid w:val="43EF214A"/>
    <w:rsid w:val="43F4EF8A"/>
    <w:rsid w:val="43F582B5"/>
    <w:rsid w:val="43FBE49B"/>
    <w:rsid w:val="4406FF85"/>
    <w:rsid w:val="440DF0D0"/>
    <w:rsid w:val="4419A0AC"/>
    <w:rsid w:val="441A7E7A"/>
    <w:rsid w:val="442732AC"/>
    <w:rsid w:val="443A6959"/>
    <w:rsid w:val="445AEA70"/>
    <w:rsid w:val="446010AF"/>
    <w:rsid w:val="446374B0"/>
    <w:rsid w:val="44645CF1"/>
    <w:rsid w:val="4466298E"/>
    <w:rsid w:val="446B7EC7"/>
    <w:rsid w:val="44731CA3"/>
    <w:rsid w:val="4485A7B8"/>
    <w:rsid w:val="4485E022"/>
    <w:rsid w:val="448B6C35"/>
    <w:rsid w:val="448D8BAD"/>
    <w:rsid w:val="448FE64D"/>
    <w:rsid w:val="44ADD6D5"/>
    <w:rsid w:val="44B3A37A"/>
    <w:rsid w:val="44B6A993"/>
    <w:rsid w:val="44C3D459"/>
    <w:rsid w:val="44C48720"/>
    <w:rsid w:val="44CC7829"/>
    <w:rsid w:val="44D0B722"/>
    <w:rsid w:val="44D17EF6"/>
    <w:rsid w:val="44D18A57"/>
    <w:rsid w:val="44DE8C9B"/>
    <w:rsid w:val="44E1C51C"/>
    <w:rsid w:val="44E2C313"/>
    <w:rsid w:val="4502E369"/>
    <w:rsid w:val="4504CBF9"/>
    <w:rsid w:val="450A8756"/>
    <w:rsid w:val="4520E0FA"/>
    <w:rsid w:val="452BC137"/>
    <w:rsid w:val="4530D8F3"/>
    <w:rsid w:val="45315832"/>
    <w:rsid w:val="45386B7C"/>
    <w:rsid w:val="453BCE93"/>
    <w:rsid w:val="453EE1B8"/>
    <w:rsid w:val="45415521"/>
    <w:rsid w:val="4545F7A0"/>
    <w:rsid w:val="4563A9C9"/>
    <w:rsid w:val="456CFB5E"/>
    <w:rsid w:val="457DFF7C"/>
    <w:rsid w:val="457FB432"/>
    <w:rsid w:val="458167C3"/>
    <w:rsid w:val="459B1D54"/>
    <w:rsid w:val="45A6E08B"/>
    <w:rsid w:val="45B64EDB"/>
    <w:rsid w:val="45C900A3"/>
    <w:rsid w:val="45CD9629"/>
    <w:rsid w:val="45DB428D"/>
    <w:rsid w:val="45E5355D"/>
    <w:rsid w:val="45ED1BF3"/>
    <w:rsid w:val="45FCD1CD"/>
    <w:rsid w:val="460DCFB5"/>
    <w:rsid w:val="462B21E4"/>
    <w:rsid w:val="463C3D53"/>
    <w:rsid w:val="463F4FEE"/>
    <w:rsid w:val="463F99FC"/>
    <w:rsid w:val="4640BADF"/>
    <w:rsid w:val="4643028C"/>
    <w:rsid w:val="4644762E"/>
    <w:rsid w:val="464A8F9E"/>
    <w:rsid w:val="464BC9AC"/>
    <w:rsid w:val="464EA2CE"/>
    <w:rsid w:val="4662BF9D"/>
    <w:rsid w:val="466C4AB3"/>
    <w:rsid w:val="46808D04"/>
    <w:rsid w:val="4687F468"/>
    <w:rsid w:val="468906CB"/>
    <w:rsid w:val="4697D3E5"/>
    <w:rsid w:val="469D04E7"/>
    <w:rsid w:val="46A7FFAA"/>
    <w:rsid w:val="46B43F4D"/>
    <w:rsid w:val="46B63854"/>
    <w:rsid w:val="46BCB218"/>
    <w:rsid w:val="46C621B4"/>
    <w:rsid w:val="46CD3857"/>
    <w:rsid w:val="46D35B3F"/>
    <w:rsid w:val="46E47FD2"/>
    <w:rsid w:val="46F2A712"/>
    <w:rsid w:val="46FBE09A"/>
    <w:rsid w:val="4712B050"/>
    <w:rsid w:val="471DCE4A"/>
    <w:rsid w:val="471E2236"/>
    <w:rsid w:val="47200126"/>
    <w:rsid w:val="472806CB"/>
    <w:rsid w:val="472E67C7"/>
    <w:rsid w:val="4738BBAA"/>
    <w:rsid w:val="473D8F22"/>
    <w:rsid w:val="473DEF4D"/>
    <w:rsid w:val="473E37C3"/>
    <w:rsid w:val="474CF55A"/>
    <w:rsid w:val="47517B38"/>
    <w:rsid w:val="475D6FDF"/>
    <w:rsid w:val="4764D104"/>
    <w:rsid w:val="476950FE"/>
    <w:rsid w:val="476ABDDD"/>
    <w:rsid w:val="4781E6E0"/>
    <w:rsid w:val="47861BF5"/>
    <w:rsid w:val="4788D1FB"/>
    <w:rsid w:val="478980A8"/>
    <w:rsid w:val="478BD643"/>
    <w:rsid w:val="479F0E17"/>
    <w:rsid w:val="47A6AC3B"/>
    <w:rsid w:val="47B78229"/>
    <w:rsid w:val="47BE86A5"/>
    <w:rsid w:val="47C5F299"/>
    <w:rsid w:val="47CDBE73"/>
    <w:rsid w:val="47D80DB4"/>
    <w:rsid w:val="47D8D36E"/>
    <w:rsid w:val="47DA6FD6"/>
    <w:rsid w:val="47E56519"/>
    <w:rsid w:val="47F292AF"/>
    <w:rsid w:val="47FA9018"/>
    <w:rsid w:val="48099D3F"/>
    <w:rsid w:val="480E4A85"/>
    <w:rsid w:val="480EDD59"/>
    <w:rsid w:val="481743EB"/>
    <w:rsid w:val="481965DE"/>
    <w:rsid w:val="481F0A8A"/>
    <w:rsid w:val="4831A3E2"/>
    <w:rsid w:val="48343C6F"/>
    <w:rsid w:val="4838BAD7"/>
    <w:rsid w:val="483B78AC"/>
    <w:rsid w:val="483FFB45"/>
    <w:rsid w:val="484477C1"/>
    <w:rsid w:val="484CA969"/>
    <w:rsid w:val="484D04F0"/>
    <w:rsid w:val="48672B8B"/>
    <w:rsid w:val="48765FD6"/>
    <w:rsid w:val="48770FF6"/>
    <w:rsid w:val="48971CDF"/>
    <w:rsid w:val="48977184"/>
    <w:rsid w:val="489F7870"/>
    <w:rsid w:val="48A41D92"/>
    <w:rsid w:val="48A56A84"/>
    <w:rsid w:val="48B5C537"/>
    <w:rsid w:val="48CF54BD"/>
    <w:rsid w:val="48D25D49"/>
    <w:rsid w:val="48EEBC06"/>
    <w:rsid w:val="48FDEAE1"/>
    <w:rsid w:val="4900001E"/>
    <w:rsid w:val="4900A165"/>
    <w:rsid w:val="49087707"/>
    <w:rsid w:val="490B79FF"/>
    <w:rsid w:val="491131F3"/>
    <w:rsid w:val="4912B57A"/>
    <w:rsid w:val="4912F4BB"/>
    <w:rsid w:val="491AB3A6"/>
    <w:rsid w:val="492A8283"/>
    <w:rsid w:val="493098FF"/>
    <w:rsid w:val="493653E0"/>
    <w:rsid w:val="4938A3B4"/>
    <w:rsid w:val="493E7231"/>
    <w:rsid w:val="493F92DE"/>
    <w:rsid w:val="494083C7"/>
    <w:rsid w:val="4941EAD7"/>
    <w:rsid w:val="4945FCB5"/>
    <w:rsid w:val="4947F96A"/>
    <w:rsid w:val="4948FEEA"/>
    <w:rsid w:val="4953024A"/>
    <w:rsid w:val="4958FA60"/>
    <w:rsid w:val="495EA44B"/>
    <w:rsid w:val="496DEFBD"/>
    <w:rsid w:val="496E7325"/>
    <w:rsid w:val="49760E0D"/>
    <w:rsid w:val="4977FB5A"/>
    <w:rsid w:val="497E7240"/>
    <w:rsid w:val="4992106E"/>
    <w:rsid w:val="49AA1AE6"/>
    <w:rsid w:val="49B43A6D"/>
    <w:rsid w:val="49C2025E"/>
    <w:rsid w:val="49CDBD58"/>
    <w:rsid w:val="49E5DB7A"/>
    <w:rsid w:val="49E8DF56"/>
    <w:rsid w:val="49F17821"/>
    <w:rsid w:val="49FC30BF"/>
    <w:rsid w:val="4A02C9A1"/>
    <w:rsid w:val="4A2D19D7"/>
    <w:rsid w:val="4A312441"/>
    <w:rsid w:val="4A35868C"/>
    <w:rsid w:val="4A57450E"/>
    <w:rsid w:val="4A5A4892"/>
    <w:rsid w:val="4A674D1B"/>
    <w:rsid w:val="4A71D451"/>
    <w:rsid w:val="4A8D7919"/>
    <w:rsid w:val="4A8E5C42"/>
    <w:rsid w:val="4A8FB6F5"/>
    <w:rsid w:val="4A9B3071"/>
    <w:rsid w:val="4AA2ACF1"/>
    <w:rsid w:val="4AA36248"/>
    <w:rsid w:val="4AA6502A"/>
    <w:rsid w:val="4AAE7211"/>
    <w:rsid w:val="4AAFBC94"/>
    <w:rsid w:val="4AB44918"/>
    <w:rsid w:val="4ABDF649"/>
    <w:rsid w:val="4AC3D5D3"/>
    <w:rsid w:val="4AC74E99"/>
    <w:rsid w:val="4AC97C57"/>
    <w:rsid w:val="4ADDAAD8"/>
    <w:rsid w:val="4ADF4B38"/>
    <w:rsid w:val="4AE1CD16"/>
    <w:rsid w:val="4AE405FD"/>
    <w:rsid w:val="4AF39903"/>
    <w:rsid w:val="4AF8EFFC"/>
    <w:rsid w:val="4AF919E4"/>
    <w:rsid w:val="4B0E596B"/>
    <w:rsid w:val="4B1D789D"/>
    <w:rsid w:val="4B234086"/>
    <w:rsid w:val="4B2FF6B3"/>
    <w:rsid w:val="4B3A834D"/>
    <w:rsid w:val="4B46201A"/>
    <w:rsid w:val="4B5D47A8"/>
    <w:rsid w:val="4B653DC6"/>
    <w:rsid w:val="4B80986D"/>
    <w:rsid w:val="4B80A887"/>
    <w:rsid w:val="4B85BCD5"/>
    <w:rsid w:val="4B8CD38C"/>
    <w:rsid w:val="4B8EB36C"/>
    <w:rsid w:val="4B8EC605"/>
    <w:rsid w:val="4B9165A8"/>
    <w:rsid w:val="4B9926DB"/>
    <w:rsid w:val="4B9FDC5C"/>
    <w:rsid w:val="4BA8167C"/>
    <w:rsid w:val="4BAF6B62"/>
    <w:rsid w:val="4BB349D5"/>
    <w:rsid w:val="4BB5E620"/>
    <w:rsid w:val="4BD8C2DE"/>
    <w:rsid w:val="4BE20C28"/>
    <w:rsid w:val="4BE536C2"/>
    <w:rsid w:val="4BF1B9D5"/>
    <w:rsid w:val="4BF39EE2"/>
    <w:rsid w:val="4BF59681"/>
    <w:rsid w:val="4BF8142E"/>
    <w:rsid w:val="4BFC2511"/>
    <w:rsid w:val="4BFEDEEC"/>
    <w:rsid w:val="4BFF8428"/>
    <w:rsid w:val="4C08EA2F"/>
    <w:rsid w:val="4C0EA129"/>
    <w:rsid w:val="4C130D89"/>
    <w:rsid w:val="4C171411"/>
    <w:rsid w:val="4C1E54F2"/>
    <w:rsid w:val="4C22DD6F"/>
    <w:rsid w:val="4C24963F"/>
    <w:rsid w:val="4C24C924"/>
    <w:rsid w:val="4C29022C"/>
    <w:rsid w:val="4C297269"/>
    <w:rsid w:val="4C386A04"/>
    <w:rsid w:val="4C3EBFB6"/>
    <w:rsid w:val="4C3F8D81"/>
    <w:rsid w:val="4C426C98"/>
    <w:rsid w:val="4C446707"/>
    <w:rsid w:val="4C486CE8"/>
    <w:rsid w:val="4C5CF1CB"/>
    <w:rsid w:val="4C5FFF1E"/>
    <w:rsid w:val="4C611F76"/>
    <w:rsid w:val="4C6E9119"/>
    <w:rsid w:val="4C722D11"/>
    <w:rsid w:val="4C8CFA37"/>
    <w:rsid w:val="4C909B22"/>
    <w:rsid w:val="4C90B6C5"/>
    <w:rsid w:val="4CA47811"/>
    <w:rsid w:val="4CA613E7"/>
    <w:rsid w:val="4CB560BC"/>
    <w:rsid w:val="4CB803D2"/>
    <w:rsid w:val="4CBB22C0"/>
    <w:rsid w:val="4CCCE9B8"/>
    <w:rsid w:val="4CCE6177"/>
    <w:rsid w:val="4CD38E4B"/>
    <w:rsid w:val="4CE1BF42"/>
    <w:rsid w:val="4CEB1BAA"/>
    <w:rsid w:val="4CF220EB"/>
    <w:rsid w:val="4D073AA0"/>
    <w:rsid w:val="4D0798B5"/>
    <w:rsid w:val="4D089063"/>
    <w:rsid w:val="4D09880C"/>
    <w:rsid w:val="4D22995F"/>
    <w:rsid w:val="4D23487C"/>
    <w:rsid w:val="4D23D13E"/>
    <w:rsid w:val="4D32DCA2"/>
    <w:rsid w:val="4D38C70B"/>
    <w:rsid w:val="4D3B29A2"/>
    <w:rsid w:val="4D461014"/>
    <w:rsid w:val="4D519E5C"/>
    <w:rsid w:val="4D536DB7"/>
    <w:rsid w:val="4D539FD2"/>
    <w:rsid w:val="4D552766"/>
    <w:rsid w:val="4D5F6BC3"/>
    <w:rsid w:val="4D682456"/>
    <w:rsid w:val="4D7C3C33"/>
    <w:rsid w:val="4D8E3168"/>
    <w:rsid w:val="4D952E1E"/>
    <w:rsid w:val="4D98F385"/>
    <w:rsid w:val="4D9BBED9"/>
    <w:rsid w:val="4D9DFDBE"/>
    <w:rsid w:val="4DA28B67"/>
    <w:rsid w:val="4DAC1864"/>
    <w:rsid w:val="4DB5D71B"/>
    <w:rsid w:val="4DC4D28D"/>
    <w:rsid w:val="4DC51412"/>
    <w:rsid w:val="4DD57EFA"/>
    <w:rsid w:val="4DD80EAD"/>
    <w:rsid w:val="4DDD8510"/>
    <w:rsid w:val="4DDEEB22"/>
    <w:rsid w:val="4DE31761"/>
    <w:rsid w:val="4DE89F35"/>
    <w:rsid w:val="4DEE6827"/>
    <w:rsid w:val="4DFA3C28"/>
    <w:rsid w:val="4E05442B"/>
    <w:rsid w:val="4E074811"/>
    <w:rsid w:val="4E0A1A20"/>
    <w:rsid w:val="4E103048"/>
    <w:rsid w:val="4E1AADA3"/>
    <w:rsid w:val="4E1B2B49"/>
    <w:rsid w:val="4E207095"/>
    <w:rsid w:val="4E2117BD"/>
    <w:rsid w:val="4E3417BE"/>
    <w:rsid w:val="4E4011B3"/>
    <w:rsid w:val="4E4466D6"/>
    <w:rsid w:val="4E4A9A3A"/>
    <w:rsid w:val="4E4DC9D4"/>
    <w:rsid w:val="4E51DCEF"/>
    <w:rsid w:val="4E5665EB"/>
    <w:rsid w:val="4E5726F5"/>
    <w:rsid w:val="4E641857"/>
    <w:rsid w:val="4E6A626A"/>
    <w:rsid w:val="4E6C44C2"/>
    <w:rsid w:val="4E6E0199"/>
    <w:rsid w:val="4E6E4163"/>
    <w:rsid w:val="4E790B9C"/>
    <w:rsid w:val="4E7F6F84"/>
    <w:rsid w:val="4E8A176B"/>
    <w:rsid w:val="4E8DB47F"/>
    <w:rsid w:val="4E8E60D4"/>
    <w:rsid w:val="4E9066B4"/>
    <w:rsid w:val="4E97ED6B"/>
    <w:rsid w:val="4EA785B7"/>
    <w:rsid w:val="4EAC76C4"/>
    <w:rsid w:val="4ECA391D"/>
    <w:rsid w:val="4ED4976C"/>
    <w:rsid w:val="4EDAABFA"/>
    <w:rsid w:val="4EDBB1FA"/>
    <w:rsid w:val="4EDF4078"/>
    <w:rsid w:val="4EE1E075"/>
    <w:rsid w:val="4EF708A1"/>
    <w:rsid w:val="4F09C801"/>
    <w:rsid w:val="4F116329"/>
    <w:rsid w:val="4F13FCDD"/>
    <w:rsid w:val="4F21E54D"/>
    <w:rsid w:val="4F22F700"/>
    <w:rsid w:val="4F22FA53"/>
    <w:rsid w:val="4F265928"/>
    <w:rsid w:val="4F2DD426"/>
    <w:rsid w:val="4F3225AC"/>
    <w:rsid w:val="4F32AEC0"/>
    <w:rsid w:val="4F3DBB07"/>
    <w:rsid w:val="4F4B1BC0"/>
    <w:rsid w:val="4F4D0EF3"/>
    <w:rsid w:val="4F4F5A85"/>
    <w:rsid w:val="4F519FB2"/>
    <w:rsid w:val="4F5380CC"/>
    <w:rsid w:val="4F5D3105"/>
    <w:rsid w:val="4F6FE2E9"/>
    <w:rsid w:val="4F726A50"/>
    <w:rsid w:val="4F7462E3"/>
    <w:rsid w:val="4F8A44CB"/>
    <w:rsid w:val="4F8DE6F5"/>
    <w:rsid w:val="4FAEA42C"/>
    <w:rsid w:val="4FCEF8AC"/>
    <w:rsid w:val="4FD08319"/>
    <w:rsid w:val="4FD58C9E"/>
    <w:rsid w:val="4FE09BFF"/>
    <w:rsid w:val="4FE282C3"/>
    <w:rsid w:val="4FE31F99"/>
    <w:rsid w:val="4FE4E9B0"/>
    <w:rsid w:val="4FEB3798"/>
    <w:rsid w:val="4FEF7EB9"/>
    <w:rsid w:val="4FF7E8A3"/>
    <w:rsid w:val="4FFD04B8"/>
    <w:rsid w:val="5005488A"/>
    <w:rsid w:val="500566BE"/>
    <w:rsid w:val="5009A354"/>
    <w:rsid w:val="50191AB1"/>
    <w:rsid w:val="501CFC25"/>
    <w:rsid w:val="502575FD"/>
    <w:rsid w:val="5026983A"/>
    <w:rsid w:val="50288FDE"/>
    <w:rsid w:val="502CB51D"/>
    <w:rsid w:val="503A2293"/>
    <w:rsid w:val="50476508"/>
    <w:rsid w:val="5047B2B0"/>
    <w:rsid w:val="505067FD"/>
    <w:rsid w:val="505C5EFC"/>
    <w:rsid w:val="505CAC7B"/>
    <w:rsid w:val="5065832E"/>
    <w:rsid w:val="50741A9D"/>
    <w:rsid w:val="507600D2"/>
    <w:rsid w:val="50784BC5"/>
    <w:rsid w:val="508DE38E"/>
    <w:rsid w:val="5097D295"/>
    <w:rsid w:val="50BD3A1B"/>
    <w:rsid w:val="50C21D56"/>
    <w:rsid w:val="50C437F2"/>
    <w:rsid w:val="50C4C771"/>
    <w:rsid w:val="50CB490B"/>
    <w:rsid w:val="50E3254C"/>
    <w:rsid w:val="50E531F1"/>
    <w:rsid w:val="50F0934E"/>
    <w:rsid w:val="50F65A70"/>
    <w:rsid w:val="50FE420D"/>
    <w:rsid w:val="51036675"/>
    <w:rsid w:val="5105EBDA"/>
    <w:rsid w:val="5107B642"/>
    <w:rsid w:val="510AB508"/>
    <w:rsid w:val="511866F6"/>
    <w:rsid w:val="51285862"/>
    <w:rsid w:val="512A337A"/>
    <w:rsid w:val="5130BCE1"/>
    <w:rsid w:val="51356163"/>
    <w:rsid w:val="513AA2A5"/>
    <w:rsid w:val="514018B3"/>
    <w:rsid w:val="5141305C"/>
    <w:rsid w:val="5158DD5F"/>
    <w:rsid w:val="5159C91E"/>
    <w:rsid w:val="5159D3B9"/>
    <w:rsid w:val="51612859"/>
    <w:rsid w:val="5181384C"/>
    <w:rsid w:val="51854501"/>
    <w:rsid w:val="518597C6"/>
    <w:rsid w:val="51878906"/>
    <w:rsid w:val="5195EA4B"/>
    <w:rsid w:val="51AB8703"/>
    <w:rsid w:val="51AFF274"/>
    <w:rsid w:val="51B8B4B4"/>
    <w:rsid w:val="51C7BEB5"/>
    <w:rsid w:val="51D3AE0A"/>
    <w:rsid w:val="51D5F5DC"/>
    <w:rsid w:val="51D81A3A"/>
    <w:rsid w:val="51D94B0B"/>
    <w:rsid w:val="51DBF8AF"/>
    <w:rsid w:val="51E0645D"/>
    <w:rsid w:val="51E2310B"/>
    <w:rsid w:val="51E375CD"/>
    <w:rsid w:val="51E41786"/>
    <w:rsid w:val="51E85B49"/>
    <w:rsid w:val="51F2FB0D"/>
    <w:rsid w:val="51F5BFCD"/>
    <w:rsid w:val="51F86D0C"/>
    <w:rsid w:val="5203DEA7"/>
    <w:rsid w:val="5206AB5D"/>
    <w:rsid w:val="520B480F"/>
    <w:rsid w:val="521EB940"/>
    <w:rsid w:val="5222D66E"/>
    <w:rsid w:val="5228889C"/>
    <w:rsid w:val="52318837"/>
    <w:rsid w:val="523505C7"/>
    <w:rsid w:val="5235380B"/>
    <w:rsid w:val="52384769"/>
    <w:rsid w:val="52570992"/>
    <w:rsid w:val="5264700A"/>
    <w:rsid w:val="5264C6C1"/>
    <w:rsid w:val="5266D574"/>
    <w:rsid w:val="527660FA"/>
    <w:rsid w:val="5285A5B7"/>
    <w:rsid w:val="5288043D"/>
    <w:rsid w:val="5292AF79"/>
    <w:rsid w:val="529394BD"/>
    <w:rsid w:val="5293B4A5"/>
    <w:rsid w:val="52A6783A"/>
    <w:rsid w:val="52A7FC0B"/>
    <w:rsid w:val="52B1B82B"/>
    <w:rsid w:val="52B24687"/>
    <w:rsid w:val="52C4260F"/>
    <w:rsid w:val="52CCB5A5"/>
    <w:rsid w:val="52D08A33"/>
    <w:rsid w:val="52D4729F"/>
    <w:rsid w:val="52D5D934"/>
    <w:rsid w:val="52DFA033"/>
    <w:rsid w:val="52E80BF8"/>
    <w:rsid w:val="52EBCE89"/>
    <w:rsid w:val="52ECAA2B"/>
    <w:rsid w:val="5301F18C"/>
    <w:rsid w:val="530D66D0"/>
    <w:rsid w:val="531001C9"/>
    <w:rsid w:val="5313C56B"/>
    <w:rsid w:val="53176EF0"/>
    <w:rsid w:val="532186D7"/>
    <w:rsid w:val="5329562A"/>
    <w:rsid w:val="533E2C2C"/>
    <w:rsid w:val="5342ACA0"/>
    <w:rsid w:val="5356983E"/>
    <w:rsid w:val="5362260E"/>
    <w:rsid w:val="53652F1D"/>
    <w:rsid w:val="53705E02"/>
    <w:rsid w:val="537A3454"/>
    <w:rsid w:val="53825FDD"/>
    <w:rsid w:val="538A70AE"/>
    <w:rsid w:val="538EE40C"/>
    <w:rsid w:val="53962E76"/>
    <w:rsid w:val="539AED2B"/>
    <w:rsid w:val="53A13377"/>
    <w:rsid w:val="53AEA68F"/>
    <w:rsid w:val="53B11E4C"/>
    <w:rsid w:val="53B345EE"/>
    <w:rsid w:val="53B4D697"/>
    <w:rsid w:val="53B55198"/>
    <w:rsid w:val="53B6E0A2"/>
    <w:rsid w:val="53BFE952"/>
    <w:rsid w:val="53C0AD08"/>
    <w:rsid w:val="53C4D91C"/>
    <w:rsid w:val="53C59050"/>
    <w:rsid w:val="53D0E7F0"/>
    <w:rsid w:val="53DD2EB3"/>
    <w:rsid w:val="53EDE982"/>
    <w:rsid w:val="53F9C9AC"/>
    <w:rsid w:val="54010685"/>
    <w:rsid w:val="54077C88"/>
    <w:rsid w:val="5408E251"/>
    <w:rsid w:val="5415D861"/>
    <w:rsid w:val="542A538C"/>
    <w:rsid w:val="542F988D"/>
    <w:rsid w:val="543A7E20"/>
    <w:rsid w:val="54456B08"/>
    <w:rsid w:val="544E16E8"/>
    <w:rsid w:val="545A302F"/>
    <w:rsid w:val="546409EE"/>
    <w:rsid w:val="5474A543"/>
    <w:rsid w:val="54779495"/>
    <w:rsid w:val="547B697A"/>
    <w:rsid w:val="547F76EA"/>
    <w:rsid w:val="5486C133"/>
    <w:rsid w:val="549C4A58"/>
    <w:rsid w:val="54A5805E"/>
    <w:rsid w:val="54AED902"/>
    <w:rsid w:val="54B28960"/>
    <w:rsid w:val="54B8D90E"/>
    <w:rsid w:val="54B991CF"/>
    <w:rsid w:val="54BDDC89"/>
    <w:rsid w:val="54D9985D"/>
    <w:rsid w:val="54E3D8E3"/>
    <w:rsid w:val="54E465A0"/>
    <w:rsid w:val="54F7D7E0"/>
    <w:rsid w:val="551DE79E"/>
    <w:rsid w:val="5525A4AB"/>
    <w:rsid w:val="5528E6F0"/>
    <w:rsid w:val="553EC637"/>
    <w:rsid w:val="55424426"/>
    <w:rsid w:val="5545266F"/>
    <w:rsid w:val="55497484"/>
    <w:rsid w:val="554AAFF6"/>
    <w:rsid w:val="5555ABD3"/>
    <w:rsid w:val="555B5E3F"/>
    <w:rsid w:val="5564E764"/>
    <w:rsid w:val="556642BE"/>
    <w:rsid w:val="556960C9"/>
    <w:rsid w:val="55697589"/>
    <w:rsid w:val="5577FD46"/>
    <w:rsid w:val="557BC8B8"/>
    <w:rsid w:val="557E2467"/>
    <w:rsid w:val="5586C4B8"/>
    <w:rsid w:val="5588A038"/>
    <w:rsid w:val="558BF32B"/>
    <w:rsid w:val="5599CD0A"/>
    <w:rsid w:val="559B302E"/>
    <w:rsid w:val="559E7636"/>
    <w:rsid w:val="55A34CE9"/>
    <w:rsid w:val="55A76B4D"/>
    <w:rsid w:val="55B0A530"/>
    <w:rsid w:val="55B9F987"/>
    <w:rsid w:val="55C1F569"/>
    <w:rsid w:val="55CD8F6A"/>
    <w:rsid w:val="55CFB395"/>
    <w:rsid w:val="55D0ECDA"/>
    <w:rsid w:val="55D3F385"/>
    <w:rsid w:val="55D419FA"/>
    <w:rsid w:val="55E3CD3D"/>
    <w:rsid w:val="55F1654B"/>
    <w:rsid w:val="55F90098"/>
    <w:rsid w:val="5604C84C"/>
    <w:rsid w:val="560651E5"/>
    <w:rsid w:val="560948A0"/>
    <w:rsid w:val="5611671A"/>
    <w:rsid w:val="561EB393"/>
    <w:rsid w:val="5624D0D9"/>
    <w:rsid w:val="562DF66C"/>
    <w:rsid w:val="562E5E24"/>
    <w:rsid w:val="56352D4A"/>
    <w:rsid w:val="563B4EB3"/>
    <w:rsid w:val="563BAD54"/>
    <w:rsid w:val="563C26FB"/>
    <w:rsid w:val="563E0C11"/>
    <w:rsid w:val="5640027B"/>
    <w:rsid w:val="564A3DF7"/>
    <w:rsid w:val="565FCF72"/>
    <w:rsid w:val="56669163"/>
    <w:rsid w:val="567FDF66"/>
    <w:rsid w:val="5699F7FB"/>
    <w:rsid w:val="56A98547"/>
    <w:rsid w:val="56BD7E48"/>
    <w:rsid w:val="56C57700"/>
    <w:rsid w:val="56CCCB36"/>
    <w:rsid w:val="56DA9698"/>
    <w:rsid w:val="56DE3A93"/>
    <w:rsid w:val="56E6ACCB"/>
    <w:rsid w:val="5703633B"/>
    <w:rsid w:val="57071DFB"/>
    <w:rsid w:val="570B4138"/>
    <w:rsid w:val="570BE5FA"/>
    <w:rsid w:val="570F7637"/>
    <w:rsid w:val="571A5D8E"/>
    <w:rsid w:val="571E0F12"/>
    <w:rsid w:val="5720C9F8"/>
    <w:rsid w:val="5720F591"/>
    <w:rsid w:val="57221196"/>
    <w:rsid w:val="572E003E"/>
    <w:rsid w:val="572E3B6F"/>
    <w:rsid w:val="573189F8"/>
    <w:rsid w:val="573832D3"/>
    <w:rsid w:val="573E4A17"/>
    <w:rsid w:val="5743DC72"/>
    <w:rsid w:val="574A5225"/>
    <w:rsid w:val="5753B287"/>
    <w:rsid w:val="5755C9E8"/>
    <w:rsid w:val="576166D1"/>
    <w:rsid w:val="5765C896"/>
    <w:rsid w:val="577178DF"/>
    <w:rsid w:val="5774FE3C"/>
    <w:rsid w:val="577559D0"/>
    <w:rsid w:val="578621E2"/>
    <w:rsid w:val="5790421F"/>
    <w:rsid w:val="57A7C034"/>
    <w:rsid w:val="57BE6FBB"/>
    <w:rsid w:val="57C81F50"/>
    <w:rsid w:val="57C97FA9"/>
    <w:rsid w:val="57DEB6CE"/>
    <w:rsid w:val="57E679C4"/>
    <w:rsid w:val="57EF3ABA"/>
    <w:rsid w:val="57EF9EA7"/>
    <w:rsid w:val="57F04771"/>
    <w:rsid w:val="57F7D351"/>
    <w:rsid w:val="581E15E1"/>
    <w:rsid w:val="5821B0AC"/>
    <w:rsid w:val="58260D8D"/>
    <w:rsid w:val="582655AA"/>
    <w:rsid w:val="58308A07"/>
    <w:rsid w:val="584FFE47"/>
    <w:rsid w:val="5858D84D"/>
    <w:rsid w:val="585C5631"/>
    <w:rsid w:val="586A3EDB"/>
    <w:rsid w:val="5870DE97"/>
    <w:rsid w:val="5871F726"/>
    <w:rsid w:val="5879FD66"/>
    <w:rsid w:val="587C33C3"/>
    <w:rsid w:val="58A1224B"/>
    <w:rsid w:val="58ACCE32"/>
    <w:rsid w:val="58AFF726"/>
    <w:rsid w:val="58C54EFC"/>
    <w:rsid w:val="58CD5A59"/>
    <w:rsid w:val="58CEAA7C"/>
    <w:rsid w:val="58CF3825"/>
    <w:rsid w:val="58DF599B"/>
    <w:rsid w:val="58F1D052"/>
    <w:rsid w:val="58F46133"/>
    <w:rsid w:val="59066EB0"/>
    <w:rsid w:val="590AA7A6"/>
    <w:rsid w:val="5921E478"/>
    <w:rsid w:val="592B1BCC"/>
    <w:rsid w:val="59379CD2"/>
    <w:rsid w:val="594910F8"/>
    <w:rsid w:val="594CCF5C"/>
    <w:rsid w:val="594DB34D"/>
    <w:rsid w:val="5963EFB1"/>
    <w:rsid w:val="59719FDE"/>
    <w:rsid w:val="597A2386"/>
    <w:rsid w:val="5986B2F7"/>
    <w:rsid w:val="599237B9"/>
    <w:rsid w:val="5994D93E"/>
    <w:rsid w:val="59A0755E"/>
    <w:rsid w:val="59A876AF"/>
    <w:rsid w:val="59AACB70"/>
    <w:rsid w:val="59ACD2EE"/>
    <w:rsid w:val="59AFF551"/>
    <w:rsid w:val="59B2DF6B"/>
    <w:rsid w:val="59BBFA01"/>
    <w:rsid w:val="59C554A9"/>
    <w:rsid w:val="59CEA4B4"/>
    <w:rsid w:val="59D24DE5"/>
    <w:rsid w:val="59E37BAD"/>
    <w:rsid w:val="59EBC9BA"/>
    <w:rsid w:val="59F36BA3"/>
    <w:rsid w:val="59F4A8AE"/>
    <w:rsid w:val="59FB5C97"/>
    <w:rsid w:val="59FB7C1B"/>
    <w:rsid w:val="5A07AAC8"/>
    <w:rsid w:val="5A0A8822"/>
    <w:rsid w:val="5A14E092"/>
    <w:rsid w:val="5A1B9D77"/>
    <w:rsid w:val="5A1E2953"/>
    <w:rsid w:val="5A1E96BF"/>
    <w:rsid w:val="5A1FE911"/>
    <w:rsid w:val="5A204E11"/>
    <w:rsid w:val="5A251060"/>
    <w:rsid w:val="5A35889C"/>
    <w:rsid w:val="5A35F4AB"/>
    <w:rsid w:val="5A55324A"/>
    <w:rsid w:val="5A59D34B"/>
    <w:rsid w:val="5A61FB24"/>
    <w:rsid w:val="5A6655A2"/>
    <w:rsid w:val="5A6D7128"/>
    <w:rsid w:val="5A6E432F"/>
    <w:rsid w:val="5A71C9D9"/>
    <w:rsid w:val="5A74266B"/>
    <w:rsid w:val="5A782C54"/>
    <w:rsid w:val="5A82709A"/>
    <w:rsid w:val="5A844CDF"/>
    <w:rsid w:val="5A872E2C"/>
    <w:rsid w:val="5A8EBAE3"/>
    <w:rsid w:val="5A9483FE"/>
    <w:rsid w:val="5A9B3857"/>
    <w:rsid w:val="5AA3FC7A"/>
    <w:rsid w:val="5AA9FE6A"/>
    <w:rsid w:val="5AB2A533"/>
    <w:rsid w:val="5AB770F4"/>
    <w:rsid w:val="5ABABF2D"/>
    <w:rsid w:val="5ABBA657"/>
    <w:rsid w:val="5ABBEBCB"/>
    <w:rsid w:val="5AC52CE4"/>
    <w:rsid w:val="5ACBBE3B"/>
    <w:rsid w:val="5AD1B8EB"/>
    <w:rsid w:val="5AE27CED"/>
    <w:rsid w:val="5AE6ED8C"/>
    <w:rsid w:val="5AECE1A0"/>
    <w:rsid w:val="5AF0CE29"/>
    <w:rsid w:val="5AFDEA3B"/>
    <w:rsid w:val="5B0B4C18"/>
    <w:rsid w:val="5B0C926B"/>
    <w:rsid w:val="5B0FE444"/>
    <w:rsid w:val="5B1B6C14"/>
    <w:rsid w:val="5B21CA18"/>
    <w:rsid w:val="5B2BD8C6"/>
    <w:rsid w:val="5B2F3FF7"/>
    <w:rsid w:val="5B319F6D"/>
    <w:rsid w:val="5B47E6C8"/>
    <w:rsid w:val="5B4B0A75"/>
    <w:rsid w:val="5B5CB8AC"/>
    <w:rsid w:val="5B694450"/>
    <w:rsid w:val="5B71049B"/>
    <w:rsid w:val="5B7359A8"/>
    <w:rsid w:val="5B8123E5"/>
    <w:rsid w:val="5B85E4E2"/>
    <w:rsid w:val="5B8F36F0"/>
    <w:rsid w:val="5B9AA232"/>
    <w:rsid w:val="5BA1DF9D"/>
    <w:rsid w:val="5BA41FD3"/>
    <w:rsid w:val="5BA58845"/>
    <w:rsid w:val="5BAA1F51"/>
    <w:rsid w:val="5BAA5274"/>
    <w:rsid w:val="5BAF7ECD"/>
    <w:rsid w:val="5BC782EB"/>
    <w:rsid w:val="5BCAE110"/>
    <w:rsid w:val="5BD34777"/>
    <w:rsid w:val="5BE000BF"/>
    <w:rsid w:val="5BE72E24"/>
    <w:rsid w:val="5BEAF345"/>
    <w:rsid w:val="5BED537B"/>
    <w:rsid w:val="5BEFE631"/>
    <w:rsid w:val="5BF2D476"/>
    <w:rsid w:val="5BFDFD01"/>
    <w:rsid w:val="5BFF7181"/>
    <w:rsid w:val="5C09A218"/>
    <w:rsid w:val="5C104C15"/>
    <w:rsid w:val="5C14774A"/>
    <w:rsid w:val="5C158F3D"/>
    <w:rsid w:val="5C17D249"/>
    <w:rsid w:val="5C1B505F"/>
    <w:rsid w:val="5C20165E"/>
    <w:rsid w:val="5C2E5E3D"/>
    <w:rsid w:val="5C2F4702"/>
    <w:rsid w:val="5C33F2F1"/>
    <w:rsid w:val="5C395B05"/>
    <w:rsid w:val="5C487387"/>
    <w:rsid w:val="5C67AA0F"/>
    <w:rsid w:val="5C73449A"/>
    <w:rsid w:val="5C83C4AE"/>
    <w:rsid w:val="5CA02E03"/>
    <w:rsid w:val="5CAC967A"/>
    <w:rsid w:val="5CB96E14"/>
    <w:rsid w:val="5CBFD713"/>
    <w:rsid w:val="5CCAAFF7"/>
    <w:rsid w:val="5CCD821F"/>
    <w:rsid w:val="5CD3EA80"/>
    <w:rsid w:val="5CD550A2"/>
    <w:rsid w:val="5CE4D83E"/>
    <w:rsid w:val="5CEC4EC7"/>
    <w:rsid w:val="5CF65CA9"/>
    <w:rsid w:val="5CF7D0E7"/>
    <w:rsid w:val="5CFB58E2"/>
    <w:rsid w:val="5CFC8BEF"/>
    <w:rsid w:val="5CFF7D3E"/>
    <w:rsid w:val="5D0667D1"/>
    <w:rsid w:val="5D1CC538"/>
    <w:rsid w:val="5D24BD56"/>
    <w:rsid w:val="5D2E668E"/>
    <w:rsid w:val="5D35C456"/>
    <w:rsid w:val="5D38431D"/>
    <w:rsid w:val="5D38D584"/>
    <w:rsid w:val="5D3B9CC3"/>
    <w:rsid w:val="5D56CCAF"/>
    <w:rsid w:val="5D6487CA"/>
    <w:rsid w:val="5D6B198E"/>
    <w:rsid w:val="5D704F87"/>
    <w:rsid w:val="5D767E17"/>
    <w:rsid w:val="5D7BC3E4"/>
    <w:rsid w:val="5D802F64"/>
    <w:rsid w:val="5D83933D"/>
    <w:rsid w:val="5D84B381"/>
    <w:rsid w:val="5D853052"/>
    <w:rsid w:val="5D8E10AE"/>
    <w:rsid w:val="5D99FC69"/>
    <w:rsid w:val="5DA87BC3"/>
    <w:rsid w:val="5DC183F7"/>
    <w:rsid w:val="5DCA1C64"/>
    <w:rsid w:val="5DCCEF3A"/>
    <w:rsid w:val="5DDBF034"/>
    <w:rsid w:val="5DDDC1A1"/>
    <w:rsid w:val="5DF16D59"/>
    <w:rsid w:val="5DFF110E"/>
    <w:rsid w:val="5E003348"/>
    <w:rsid w:val="5E136EC9"/>
    <w:rsid w:val="5E18C4FA"/>
    <w:rsid w:val="5E26A720"/>
    <w:rsid w:val="5E29CBE1"/>
    <w:rsid w:val="5E2DBB27"/>
    <w:rsid w:val="5E2EE0EE"/>
    <w:rsid w:val="5E30154D"/>
    <w:rsid w:val="5E313ECE"/>
    <w:rsid w:val="5E346AFE"/>
    <w:rsid w:val="5E3760D4"/>
    <w:rsid w:val="5E3AD534"/>
    <w:rsid w:val="5E3E4476"/>
    <w:rsid w:val="5E3FD55C"/>
    <w:rsid w:val="5E45357F"/>
    <w:rsid w:val="5E72711C"/>
    <w:rsid w:val="5E7E2731"/>
    <w:rsid w:val="5E7F3651"/>
    <w:rsid w:val="5E826CFE"/>
    <w:rsid w:val="5E8F9142"/>
    <w:rsid w:val="5E934AD3"/>
    <w:rsid w:val="5E98CB3E"/>
    <w:rsid w:val="5E9A4011"/>
    <w:rsid w:val="5EA89E5F"/>
    <w:rsid w:val="5EAE4EBC"/>
    <w:rsid w:val="5EB0EAA3"/>
    <w:rsid w:val="5EB14152"/>
    <w:rsid w:val="5EB2D144"/>
    <w:rsid w:val="5EB6ECD0"/>
    <w:rsid w:val="5EBE8982"/>
    <w:rsid w:val="5EC96F43"/>
    <w:rsid w:val="5ED67360"/>
    <w:rsid w:val="5EDA00D1"/>
    <w:rsid w:val="5EDD332F"/>
    <w:rsid w:val="5EE1F336"/>
    <w:rsid w:val="5EEDB779"/>
    <w:rsid w:val="5EFF3F0A"/>
    <w:rsid w:val="5F0ADC99"/>
    <w:rsid w:val="5F111618"/>
    <w:rsid w:val="5F21B4B1"/>
    <w:rsid w:val="5F27B19E"/>
    <w:rsid w:val="5F2F39CD"/>
    <w:rsid w:val="5F45A34B"/>
    <w:rsid w:val="5F5195FF"/>
    <w:rsid w:val="5F56BD75"/>
    <w:rsid w:val="5F580938"/>
    <w:rsid w:val="5F5D77DD"/>
    <w:rsid w:val="5F5E7FD9"/>
    <w:rsid w:val="5F62F106"/>
    <w:rsid w:val="5F69D509"/>
    <w:rsid w:val="5F752724"/>
    <w:rsid w:val="5F752A17"/>
    <w:rsid w:val="5F787B91"/>
    <w:rsid w:val="5F7A4F2E"/>
    <w:rsid w:val="5F7F99AC"/>
    <w:rsid w:val="5F8AFEDE"/>
    <w:rsid w:val="5F8BA11E"/>
    <w:rsid w:val="5F9B3F15"/>
    <w:rsid w:val="5F9DFBAB"/>
    <w:rsid w:val="5FA2BBD5"/>
    <w:rsid w:val="5FA46B06"/>
    <w:rsid w:val="5FC27781"/>
    <w:rsid w:val="5FC4FDD5"/>
    <w:rsid w:val="5FCBE5AE"/>
    <w:rsid w:val="5FD5ED71"/>
    <w:rsid w:val="5FDD9846"/>
    <w:rsid w:val="5FE8B412"/>
    <w:rsid w:val="5FF04700"/>
    <w:rsid w:val="5FFF3E01"/>
    <w:rsid w:val="600E065A"/>
    <w:rsid w:val="600E098C"/>
    <w:rsid w:val="601366FC"/>
    <w:rsid w:val="6018BECE"/>
    <w:rsid w:val="6019F792"/>
    <w:rsid w:val="601B57EB"/>
    <w:rsid w:val="601D51AA"/>
    <w:rsid w:val="60200025"/>
    <w:rsid w:val="602FABE2"/>
    <w:rsid w:val="603A3DEB"/>
    <w:rsid w:val="603ADD56"/>
    <w:rsid w:val="6044F537"/>
    <w:rsid w:val="605D401C"/>
    <w:rsid w:val="60620674"/>
    <w:rsid w:val="60660750"/>
    <w:rsid w:val="6078E21A"/>
    <w:rsid w:val="608B692D"/>
    <w:rsid w:val="608E5151"/>
    <w:rsid w:val="6092F148"/>
    <w:rsid w:val="6094CCFC"/>
    <w:rsid w:val="6095BD5A"/>
    <w:rsid w:val="60A153E2"/>
    <w:rsid w:val="60A5362F"/>
    <w:rsid w:val="60CD6E92"/>
    <w:rsid w:val="60CE7309"/>
    <w:rsid w:val="60CF000A"/>
    <w:rsid w:val="60CF9E06"/>
    <w:rsid w:val="60D6F094"/>
    <w:rsid w:val="60D9EF6E"/>
    <w:rsid w:val="60E2639B"/>
    <w:rsid w:val="60E375E5"/>
    <w:rsid w:val="60E64ABB"/>
    <w:rsid w:val="60E65CC9"/>
    <w:rsid w:val="60EA8099"/>
    <w:rsid w:val="60F37AB0"/>
    <w:rsid w:val="60F5CAFD"/>
    <w:rsid w:val="60F67643"/>
    <w:rsid w:val="60F73F11"/>
    <w:rsid w:val="60FFE710"/>
    <w:rsid w:val="610286B9"/>
    <w:rsid w:val="610AC831"/>
    <w:rsid w:val="610F9F88"/>
    <w:rsid w:val="6111D239"/>
    <w:rsid w:val="6113FFC5"/>
    <w:rsid w:val="611449F7"/>
    <w:rsid w:val="61202DF1"/>
    <w:rsid w:val="6123870B"/>
    <w:rsid w:val="612DBD3C"/>
    <w:rsid w:val="6130E1C9"/>
    <w:rsid w:val="613992FC"/>
    <w:rsid w:val="615320E1"/>
    <w:rsid w:val="615F323E"/>
    <w:rsid w:val="61627387"/>
    <w:rsid w:val="6165E25A"/>
    <w:rsid w:val="6166D031"/>
    <w:rsid w:val="61690A25"/>
    <w:rsid w:val="61737CF3"/>
    <w:rsid w:val="61753BD1"/>
    <w:rsid w:val="617DFC74"/>
    <w:rsid w:val="617F094F"/>
    <w:rsid w:val="6187B94E"/>
    <w:rsid w:val="618838F1"/>
    <w:rsid w:val="61912425"/>
    <w:rsid w:val="61A8BFF8"/>
    <w:rsid w:val="61B5C7F3"/>
    <w:rsid w:val="61B73E31"/>
    <w:rsid w:val="61BDBF1E"/>
    <w:rsid w:val="61C6A71A"/>
    <w:rsid w:val="61D0144E"/>
    <w:rsid w:val="61D71035"/>
    <w:rsid w:val="61DD5FCA"/>
    <w:rsid w:val="61E412E6"/>
    <w:rsid w:val="620C1D1D"/>
    <w:rsid w:val="620C73D4"/>
    <w:rsid w:val="62123F55"/>
    <w:rsid w:val="62198403"/>
    <w:rsid w:val="62260D8F"/>
    <w:rsid w:val="6227DE33"/>
    <w:rsid w:val="622D021B"/>
    <w:rsid w:val="622D444A"/>
    <w:rsid w:val="6234706B"/>
    <w:rsid w:val="6257B38D"/>
    <w:rsid w:val="626CC802"/>
    <w:rsid w:val="627C4021"/>
    <w:rsid w:val="627CFA74"/>
    <w:rsid w:val="62810D05"/>
    <w:rsid w:val="62940ED5"/>
    <w:rsid w:val="62A000E7"/>
    <w:rsid w:val="62B24941"/>
    <w:rsid w:val="62BB55C4"/>
    <w:rsid w:val="62BF08DA"/>
    <w:rsid w:val="62C892D1"/>
    <w:rsid w:val="62CA76E2"/>
    <w:rsid w:val="62CF56CB"/>
    <w:rsid w:val="62D3C667"/>
    <w:rsid w:val="62D9B1B1"/>
    <w:rsid w:val="62E0285A"/>
    <w:rsid w:val="62E25663"/>
    <w:rsid w:val="62E3FC46"/>
    <w:rsid w:val="62FBB375"/>
    <w:rsid w:val="630C4BCA"/>
    <w:rsid w:val="630D70DA"/>
    <w:rsid w:val="6312F3AA"/>
    <w:rsid w:val="63140190"/>
    <w:rsid w:val="63191EEC"/>
    <w:rsid w:val="631B7EEA"/>
    <w:rsid w:val="6328559E"/>
    <w:rsid w:val="632E3C7E"/>
    <w:rsid w:val="632E869D"/>
    <w:rsid w:val="632EF315"/>
    <w:rsid w:val="633119F1"/>
    <w:rsid w:val="633D790F"/>
    <w:rsid w:val="6341B6D2"/>
    <w:rsid w:val="634DF595"/>
    <w:rsid w:val="63530E92"/>
    <w:rsid w:val="6353268D"/>
    <w:rsid w:val="63674B9E"/>
    <w:rsid w:val="63685773"/>
    <w:rsid w:val="63694CF8"/>
    <w:rsid w:val="637922D7"/>
    <w:rsid w:val="637CE354"/>
    <w:rsid w:val="637EF88A"/>
    <w:rsid w:val="63857697"/>
    <w:rsid w:val="63915757"/>
    <w:rsid w:val="63970C03"/>
    <w:rsid w:val="63973EBE"/>
    <w:rsid w:val="639C91C4"/>
    <w:rsid w:val="639CF503"/>
    <w:rsid w:val="63A7A1E9"/>
    <w:rsid w:val="63ACF182"/>
    <w:rsid w:val="63B9EC28"/>
    <w:rsid w:val="63BC1D0E"/>
    <w:rsid w:val="63C3AE94"/>
    <w:rsid w:val="63C5D089"/>
    <w:rsid w:val="63D0FDD8"/>
    <w:rsid w:val="63D9468A"/>
    <w:rsid w:val="63DB3A00"/>
    <w:rsid w:val="63FD891B"/>
    <w:rsid w:val="63FFC2B5"/>
    <w:rsid w:val="64032E66"/>
    <w:rsid w:val="64056A48"/>
    <w:rsid w:val="64075457"/>
    <w:rsid w:val="6409C8EB"/>
    <w:rsid w:val="6413BA31"/>
    <w:rsid w:val="6416B6EA"/>
    <w:rsid w:val="6424B9AA"/>
    <w:rsid w:val="643C793C"/>
    <w:rsid w:val="64482CA5"/>
    <w:rsid w:val="6451EF3F"/>
    <w:rsid w:val="6452664B"/>
    <w:rsid w:val="6455B2CB"/>
    <w:rsid w:val="645713AB"/>
    <w:rsid w:val="645A5EEF"/>
    <w:rsid w:val="646175EE"/>
    <w:rsid w:val="6465128F"/>
    <w:rsid w:val="646A1A12"/>
    <w:rsid w:val="646E65D8"/>
    <w:rsid w:val="6483BF65"/>
    <w:rsid w:val="6491212C"/>
    <w:rsid w:val="64947ACF"/>
    <w:rsid w:val="6495A0ED"/>
    <w:rsid w:val="6498A910"/>
    <w:rsid w:val="64A3B60E"/>
    <w:rsid w:val="64A9D97F"/>
    <w:rsid w:val="64B0BC2E"/>
    <w:rsid w:val="64B6623D"/>
    <w:rsid w:val="64BBA428"/>
    <w:rsid w:val="64C19DCF"/>
    <w:rsid w:val="64CDDF2A"/>
    <w:rsid w:val="64DD8E37"/>
    <w:rsid w:val="64E83507"/>
    <w:rsid w:val="64F0ABD6"/>
    <w:rsid w:val="64F55FE0"/>
    <w:rsid w:val="650CAE05"/>
    <w:rsid w:val="650CD08A"/>
    <w:rsid w:val="650CF327"/>
    <w:rsid w:val="651558F2"/>
    <w:rsid w:val="6518851F"/>
    <w:rsid w:val="651BB3A8"/>
    <w:rsid w:val="651EF227"/>
    <w:rsid w:val="6520F103"/>
    <w:rsid w:val="652BF3AF"/>
    <w:rsid w:val="653C09C1"/>
    <w:rsid w:val="65463BE6"/>
    <w:rsid w:val="655EB3A7"/>
    <w:rsid w:val="656296A8"/>
    <w:rsid w:val="65667CF6"/>
    <w:rsid w:val="656CCD98"/>
    <w:rsid w:val="657C3CAA"/>
    <w:rsid w:val="65857E2B"/>
    <w:rsid w:val="658F5CEF"/>
    <w:rsid w:val="659EC402"/>
    <w:rsid w:val="65A5F151"/>
    <w:rsid w:val="65AF671B"/>
    <w:rsid w:val="65B9BBDE"/>
    <w:rsid w:val="65E7BF43"/>
    <w:rsid w:val="65E82A05"/>
    <w:rsid w:val="65F08C58"/>
    <w:rsid w:val="65FE5216"/>
    <w:rsid w:val="6609BF1B"/>
    <w:rsid w:val="66161F5A"/>
    <w:rsid w:val="6618492D"/>
    <w:rsid w:val="661A51CE"/>
    <w:rsid w:val="662D51D4"/>
    <w:rsid w:val="6635E9D1"/>
    <w:rsid w:val="663A201F"/>
    <w:rsid w:val="6641B36B"/>
    <w:rsid w:val="664BB08F"/>
    <w:rsid w:val="66531D8E"/>
    <w:rsid w:val="6663066A"/>
    <w:rsid w:val="6677422A"/>
    <w:rsid w:val="6678492D"/>
    <w:rsid w:val="6688F3F9"/>
    <w:rsid w:val="668A1BA2"/>
    <w:rsid w:val="668EE6CA"/>
    <w:rsid w:val="66921215"/>
    <w:rsid w:val="66965A4D"/>
    <w:rsid w:val="669F4DF9"/>
    <w:rsid w:val="66A7727B"/>
    <w:rsid w:val="66A8B05C"/>
    <w:rsid w:val="66ADEB5E"/>
    <w:rsid w:val="66AFD052"/>
    <w:rsid w:val="66B63F01"/>
    <w:rsid w:val="66C0F1A0"/>
    <w:rsid w:val="66D943ED"/>
    <w:rsid w:val="66DA0D3E"/>
    <w:rsid w:val="66DC8EAF"/>
    <w:rsid w:val="66E1ECA9"/>
    <w:rsid w:val="66EA9273"/>
    <w:rsid w:val="66ED2DB6"/>
    <w:rsid w:val="67052531"/>
    <w:rsid w:val="67079E8B"/>
    <w:rsid w:val="6711BC5C"/>
    <w:rsid w:val="67283BC8"/>
    <w:rsid w:val="674DD55D"/>
    <w:rsid w:val="674F6101"/>
    <w:rsid w:val="675CE16D"/>
    <w:rsid w:val="675DBDA9"/>
    <w:rsid w:val="675FF76D"/>
    <w:rsid w:val="6761067D"/>
    <w:rsid w:val="6766338E"/>
    <w:rsid w:val="6769FE4D"/>
    <w:rsid w:val="676A3F7F"/>
    <w:rsid w:val="676B0B98"/>
    <w:rsid w:val="676DA30E"/>
    <w:rsid w:val="676EE7D5"/>
    <w:rsid w:val="676F84EE"/>
    <w:rsid w:val="67714011"/>
    <w:rsid w:val="677DA264"/>
    <w:rsid w:val="677F0D83"/>
    <w:rsid w:val="678319D5"/>
    <w:rsid w:val="6785DFCA"/>
    <w:rsid w:val="679079F2"/>
    <w:rsid w:val="679ABF8A"/>
    <w:rsid w:val="679C5EDC"/>
    <w:rsid w:val="67A59759"/>
    <w:rsid w:val="67B01D98"/>
    <w:rsid w:val="67BD123C"/>
    <w:rsid w:val="67DB56D0"/>
    <w:rsid w:val="67DCC584"/>
    <w:rsid w:val="67DDB801"/>
    <w:rsid w:val="67F75949"/>
    <w:rsid w:val="67FE4A16"/>
    <w:rsid w:val="67FF1E63"/>
    <w:rsid w:val="681B1385"/>
    <w:rsid w:val="6825FC23"/>
    <w:rsid w:val="68265BCB"/>
    <w:rsid w:val="682E4E1E"/>
    <w:rsid w:val="6837E983"/>
    <w:rsid w:val="684465E8"/>
    <w:rsid w:val="6849A267"/>
    <w:rsid w:val="684ACE58"/>
    <w:rsid w:val="686C3F8C"/>
    <w:rsid w:val="686CE2BD"/>
    <w:rsid w:val="6874F7AB"/>
    <w:rsid w:val="6879AAA3"/>
    <w:rsid w:val="6897412C"/>
    <w:rsid w:val="689B528A"/>
    <w:rsid w:val="689E28F2"/>
    <w:rsid w:val="68B082A3"/>
    <w:rsid w:val="68B99702"/>
    <w:rsid w:val="68C659E2"/>
    <w:rsid w:val="68CF6850"/>
    <w:rsid w:val="68D86DDB"/>
    <w:rsid w:val="68DAFFEB"/>
    <w:rsid w:val="68DC6D1E"/>
    <w:rsid w:val="68E45C66"/>
    <w:rsid w:val="68E727C4"/>
    <w:rsid w:val="68E969FD"/>
    <w:rsid w:val="68EB3DB2"/>
    <w:rsid w:val="68EDEAA6"/>
    <w:rsid w:val="68F42848"/>
    <w:rsid w:val="68FF60ED"/>
    <w:rsid w:val="6900B147"/>
    <w:rsid w:val="690232C9"/>
    <w:rsid w:val="6907BFD2"/>
    <w:rsid w:val="690ACD9A"/>
    <w:rsid w:val="690E5192"/>
    <w:rsid w:val="690FA1E1"/>
    <w:rsid w:val="691290F9"/>
    <w:rsid w:val="6916A3A4"/>
    <w:rsid w:val="6920791A"/>
    <w:rsid w:val="6922FF5B"/>
    <w:rsid w:val="693983DE"/>
    <w:rsid w:val="693FA800"/>
    <w:rsid w:val="694DC01C"/>
    <w:rsid w:val="695A14C8"/>
    <w:rsid w:val="696F275C"/>
    <w:rsid w:val="6970F2D7"/>
    <w:rsid w:val="69769528"/>
    <w:rsid w:val="6981ED8F"/>
    <w:rsid w:val="698D8D07"/>
    <w:rsid w:val="698EFCB1"/>
    <w:rsid w:val="6995BA8F"/>
    <w:rsid w:val="699D3D1D"/>
    <w:rsid w:val="699E3499"/>
    <w:rsid w:val="69AE21B8"/>
    <w:rsid w:val="69B180CA"/>
    <w:rsid w:val="69BC944C"/>
    <w:rsid w:val="69C8C75E"/>
    <w:rsid w:val="69D5FC6E"/>
    <w:rsid w:val="69E258A9"/>
    <w:rsid w:val="69E94058"/>
    <w:rsid w:val="69EA8164"/>
    <w:rsid w:val="69EF5EDD"/>
    <w:rsid w:val="69FC304F"/>
    <w:rsid w:val="69FDBB10"/>
    <w:rsid w:val="6A0C0DF3"/>
    <w:rsid w:val="6A0C9902"/>
    <w:rsid w:val="6A195EE9"/>
    <w:rsid w:val="6A27547E"/>
    <w:rsid w:val="6A3BFF26"/>
    <w:rsid w:val="6A452029"/>
    <w:rsid w:val="6A46A46C"/>
    <w:rsid w:val="6A4E52D8"/>
    <w:rsid w:val="6A554D14"/>
    <w:rsid w:val="6A59B20E"/>
    <w:rsid w:val="6A722720"/>
    <w:rsid w:val="6A741454"/>
    <w:rsid w:val="6A7CD632"/>
    <w:rsid w:val="6A7F9685"/>
    <w:rsid w:val="6A83E8C8"/>
    <w:rsid w:val="6A92122B"/>
    <w:rsid w:val="6A9A7BF8"/>
    <w:rsid w:val="6A9CD4C7"/>
    <w:rsid w:val="6AA1F0FB"/>
    <w:rsid w:val="6AA8727C"/>
    <w:rsid w:val="6AA873C9"/>
    <w:rsid w:val="6AAB7242"/>
    <w:rsid w:val="6AB0DCC8"/>
    <w:rsid w:val="6AB4ACD1"/>
    <w:rsid w:val="6AB6B317"/>
    <w:rsid w:val="6AC04298"/>
    <w:rsid w:val="6AC2F03B"/>
    <w:rsid w:val="6ACA44FB"/>
    <w:rsid w:val="6ACCFE33"/>
    <w:rsid w:val="6AD11F40"/>
    <w:rsid w:val="6AD411F2"/>
    <w:rsid w:val="6AD5828F"/>
    <w:rsid w:val="6AE58C4C"/>
    <w:rsid w:val="6AE5A017"/>
    <w:rsid w:val="6AED30FE"/>
    <w:rsid w:val="6AF7086B"/>
    <w:rsid w:val="6B010C31"/>
    <w:rsid w:val="6B054754"/>
    <w:rsid w:val="6B1027A5"/>
    <w:rsid w:val="6B10763A"/>
    <w:rsid w:val="6B202462"/>
    <w:rsid w:val="6B206AC0"/>
    <w:rsid w:val="6B207D73"/>
    <w:rsid w:val="6B299D2C"/>
    <w:rsid w:val="6B2D48D4"/>
    <w:rsid w:val="6B31103A"/>
    <w:rsid w:val="6B3B9322"/>
    <w:rsid w:val="6B3C2BD6"/>
    <w:rsid w:val="6B3FDC34"/>
    <w:rsid w:val="6B5E1368"/>
    <w:rsid w:val="6B64F678"/>
    <w:rsid w:val="6B6F8E09"/>
    <w:rsid w:val="6B71CCCF"/>
    <w:rsid w:val="6B772A40"/>
    <w:rsid w:val="6B7B53F6"/>
    <w:rsid w:val="6BA1090F"/>
    <w:rsid w:val="6BA77ABD"/>
    <w:rsid w:val="6BB25153"/>
    <w:rsid w:val="6BB962B1"/>
    <w:rsid w:val="6BCA3D21"/>
    <w:rsid w:val="6BD4DE94"/>
    <w:rsid w:val="6BDF910D"/>
    <w:rsid w:val="6BE495AE"/>
    <w:rsid w:val="6BE61B25"/>
    <w:rsid w:val="6BF2952C"/>
    <w:rsid w:val="6BF4B0EE"/>
    <w:rsid w:val="6BF50047"/>
    <w:rsid w:val="6BF8258C"/>
    <w:rsid w:val="6BFFDCD7"/>
    <w:rsid w:val="6C09FA0A"/>
    <w:rsid w:val="6C21C7C3"/>
    <w:rsid w:val="6C3B862A"/>
    <w:rsid w:val="6C41ECF8"/>
    <w:rsid w:val="6C453960"/>
    <w:rsid w:val="6C48D570"/>
    <w:rsid w:val="6C515286"/>
    <w:rsid w:val="6C54C32E"/>
    <w:rsid w:val="6C5A0941"/>
    <w:rsid w:val="6C631891"/>
    <w:rsid w:val="6C6443D2"/>
    <w:rsid w:val="6C70FB3F"/>
    <w:rsid w:val="6C78BE8F"/>
    <w:rsid w:val="6C7A3F73"/>
    <w:rsid w:val="6C7F9EB7"/>
    <w:rsid w:val="6C82CE01"/>
    <w:rsid w:val="6C90FAB9"/>
    <w:rsid w:val="6C9C4D26"/>
    <w:rsid w:val="6CAAEDA1"/>
    <w:rsid w:val="6CACDA63"/>
    <w:rsid w:val="6CBA5606"/>
    <w:rsid w:val="6CBD1E51"/>
    <w:rsid w:val="6CC21080"/>
    <w:rsid w:val="6CC5C201"/>
    <w:rsid w:val="6CCF24A0"/>
    <w:rsid w:val="6CD1B6DB"/>
    <w:rsid w:val="6CF4E23F"/>
    <w:rsid w:val="6CFC10B0"/>
    <w:rsid w:val="6D034F6E"/>
    <w:rsid w:val="6D158353"/>
    <w:rsid w:val="6D15D06F"/>
    <w:rsid w:val="6D1811BD"/>
    <w:rsid w:val="6D199C4E"/>
    <w:rsid w:val="6D1CAC48"/>
    <w:rsid w:val="6D1FD08F"/>
    <w:rsid w:val="6D3027D0"/>
    <w:rsid w:val="6D395B32"/>
    <w:rsid w:val="6D469001"/>
    <w:rsid w:val="6D71A8F9"/>
    <w:rsid w:val="6D8237D7"/>
    <w:rsid w:val="6D8BE698"/>
    <w:rsid w:val="6D93F5ED"/>
    <w:rsid w:val="6D9419CD"/>
    <w:rsid w:val="6D964964"/>
    <w:rsid w:val="6D981E7E"/>
    <w:rsid w:val="6D9A533A"/>
    <w:rsid w:val="6D9BAD38"/>
    <w:rsid w:val="6D9ECC67"/>
    <w:rsid w:val="6DA7A26F"/>
    <w:rsid w:val="6DB7AD36"/>
    <w:rsid w:val="6DBD5A8B"/>
    <w:rsid w:val="6DC7DD63"/>
    <w:rsid w:val="6DCB556B"/>
    <w:rsid w:val="6DD42415"/>
    <w:rsid w:val="6DD6F7C3"/>
    <w:rsid w:val="6DD74028"/>
    <w:rsid w:val="6DDEC896"/>
    <w:rsid w:val="6DE5A25B"/>
    <w:rsid w:val="6DF15423"/>
    <w:rsid w:val="6DFAA68C"/>
    <w:rsid w:val="6E01C39B"/>
    <w:rsid w:val="6E149271"/>
    <w:rsid w:val="6E2D11CB"/>
    <w:rsid w:val="6E30508D"/>
    <w:rsid w:val="6E36010C"/>
    <w:rsid w:val="6E495CAE"/>
    <w:rsid w:val="6E4B26AF"/>
    <w:rsid w:val="6E4E269D"/>
    <w:rsid w:val="6E56C274"/>
    <w:rsid w:val="6E5E5FFA"/>
    <w:rsid w:val="6E64E669"/>
    <w:rsid w:val="6E654B04"/>
    <w:rsid w:val="6E6A14BF"/>
    <w:rsid w:val="6E6A628A"/>
    <w:rsid w:val="6E77F00F"/>
    <w:rsid w:val="6E9488CC"/>
    <w:rsid w:val="6EA617E7"/>
    <w:rsid w:val="6EB3B9A7"/>
    <w:rsid w:val="6EB96A80"/>
    <w:rsid w:val="6EBFCB97"/>
    <w:rsid w:val="6EC33D24"/>
    <w:rsid w:val="6EC6CB98"/>
    <w:rsid w:val="6EC80776"/>
    <w:rsid w:val="6EC9B2D7"/>
    <w:rsid w:val="6ECF26B9"/>
    <w:rsid w:val="6ED937BF"/>
    <w:rsid w:val="6EF45EEE"/>
    <w:rsid w:val="6EF496B9"/>
    <w:rsid w:val="6EF78821"/>
    <w:rsid w:val="6EFFEBDF"/>
    <w:rsid w:val="6F05EE82"/>
    <w:rsid w:val="6F0CFC14"/>
    <w:rsid w:val="6F0E85B4"/>
    <w:rsid w:val="6F10E62B"/>
    <w:rsid w:val="6F143C50"/>
    <w:rsid w:val="6F1605F3"/>
    <w:rsid w:val="6F1B2535"/>
    <w:rsid w:val="6F1DB501"/>
    <w:rsid w:val="6F346B71"/>
    <w:rsid w:val="6F4A416F"/>
    <w:rsid w:val="6F54BEE6"/>
    <w:rsid w:val="6F570812"/>
    <w:rsid w:val="6F63ADC4"/>
    <w:rsid w:val="6F710271"/>
    <w:rsid w:val="6F76A892"/>
    <w:rsid w:val="6F7F442F"/>
    <w:rsid w:val="6F84AF40"/>
    <w:rsid w:val="6F8BD98A"/>
    <w:rsid w:val="6F8CC16F"/>
    <w:rsid w:val="6F96B14E"/>
    <w:rsid w:val="6F97FA7A"/>
    <w:rsid w:val="6F9CF733"/>
    <w:rsid w:val="6F9E22D1"/>
    <w:rsid w:val="6FA2F836"/>
    <w:rsid w:val="6FB3FBF6"/>
    <w:rsid w:val="6FB95065"/>
    <w:rsid w:val="6FBF5204"/>
    <w:rsid w:val="6FC0A221"/>
    <w:rsid w:val="6FC9B1F9"/>
    <w:rsid w:val="6FD10172"/>
    <w:rsid w:val="6FD1B643"/>
    <w:rsid w:val="6FD3379F"/>
    <w:rsid w:val="6FDBAB0B"/>
    <w:rsid w:val="6FDF59E1"/>
    <w:rsid w:val="6FE8C29F"/>
    <w:rsid w:val="700025D9"/>
    <w:rsid w:val="70027E2A"/>
    <w:rsid w:val="70035376"/>
    <w:rsid w:val="7006C562"/>
    <w:rsid w:val="700810B2"/>
    <w:rsid w:val="7014D9C2"/>
    <w:rsid w:val="701768B1"/>
    <w:rsid w:val="702BDE93"/>
    <w:rsid w:val="702FC057"/>
    <w:rsid w:val="7043AD82"/>
    <w:rsid w:val="704475F3"/>
    <w:rsid w:val="7044DE2E"/>
    <w:rsid w:val="704E7E1F"/>
    <w:rsid w:val="705C6F1D"/>
    <w:rsid w:val="70688216"/>
    <w:rsid w:val="706C79AF"/>
    <w:rsid w:val="706FA692"/>
    <w:rsid w:val="707429E0"/>
    <w:rsid w:val="7076597A"/>
    <w:rsid w:val="7078B503"/>
    <w:rsid w:val="7080A279"/>
    <w:rsid w:val="70862A60"/>
    <w:rsid w:val="70984292"/>
    <w:rsid w:val="7098D93E"/>
    <w:rsid w:val="709CBD93"/>
    <w:rsid w:val="70B4C3F3"/>
    <w:rsid w:val="70B5F2B9"/>
    <w:rsid w:val="70B6142C"/>
    <w:rsid w:val="70BAA02C"/>
    <w:rsid w:val="70C7B4A5"/>
    <w:rsid w:val="70C84047"/>
    <w:rsid w:val="70D62642"/>
    <w:rsid w:val="70E1FE18"/>
    <w:rsid w:val="70E2AE63"/>
    <w:rsid w:val="70F219C2"/>
    <w:rsid w:val="70F64F4D"/>
    <w:rsid w:val="70FBCED0"/>
    <w:rsid w:val="7112DF4F"/>
    <w:rsid w:val="7112FCDB"/>
    <w:rsid w:val="71292D1C"/>
    <w:rsid w:val="713BD4BF"/>
    <w:rsid w:val="71453DF5"/>
    <w:rsid w:val="71522C90"/>
    <w:rsid w:val="715D91C6"/>
    <w:rsid w:val="7164F1FB"/>
    <w:rsid w:val="71650394"/>
    <w:rsid w:val="7166726E"/>
    <w:rsid w:val="71749265"/>
    <w:rsid w:val="718834E4"/>
    <w:rsid w:val="719462D0"/>
    <w:rsid w:val="71963A64"/>
    <w:rsid w:val="71B15091"/>
    <w:rsid w:val="71B4D213"/>
    <w:rsid w:val="71BFE85C"/>
    <w:rsid w:val="71C36491"/>
    <w:rsid w:val="71CDF77B"/>
    <w:rsid w:val="71D145BB"/>
    <w:rsid w:val="71D38EB2"/>
    <w:rsid w:val="71D86C6F"/>
    <w:rsid w:val="71EC8149"/>
    <w:rsid w:val="71F37685"/>
    <w:rsid w:val="71F6575A"/>
    <w:rsid w:val="7205BBE4"/>
    <w:rsid w:val="7218FC99"/>
    <w:rsid w:val="721C5D99"/>
    <w:rsid w:val="721C9DF1"/>
    <w:rsid w:val="721F1880"/>
    <w:rsid w:val="7221FAC1"/>
    <w:rsid w:val="722550CA"/>
    <w:rsid w:val="7225C89F"/>
    <w:rsid w:val="7229466B"/>
    <w:rsid w:val="7229BA00"/>
    <w:rsid w:val="722BFFB0"/>
    <w:rsid w:val="722CDE2F"/>
    <w:rsid w:val="722D4BC7"/>
    <w:rsid w:val="72303FAF"/>
    <w:rsid w:val="7233CAB6"/>
    <w:rsid w:val="723688A4"/>
    <w:rsid w:val="723DDB4D"/>
    <w:rsid w:val="723F4070"/>
    <w:rsid w:val="726CA9C7"/>
    <w:rsid w:val="726E54C2"/>
    <w:rsid w:val="72784E56"/>
    <w:rsid w:val="727C57BC"/>
    <w:rsid w:val="727D63B0"/>
    <w:rsid w:val="72856D98"/>
    <w:rsid w:val="72922F18"/>
    <w:rsid w:val="72991DC2"/>
    <w:rsid w:val="729A026A"/>
    <w:rsid w:val="729D0971"/>
    <w:rsid w:val="729F344D"/>
    <w:rsid w:val="72A29B94"/>
    <w:rsid w:val="72A391F9"/>
    <w:rsid w:val="72A83203"/>
    <w:rsid w:val="72C20D83"/>
    <w:rsid w:val="72C478AC"/>
    <w:rsid w:val="72C5AA30"/>
    <w:rsid w:val="72CD8225"/>
    <w:rsid w:val="72CDA931"/>
    <w:rsid w:val="72E8ECD9"/>
    <w:rsid w:val="72EAC13F"/>
    <w:rsid w:val="72FAA5D6"/>
    <w:rsid w:val="730AEA5E"/>
    <w:rsid w:val="730DFE84"/>
    <w:rsid w:val="7313633B"/>
    <w:rsid w:val="7322AAE7"/>
    <w:rsid w:val="732AE0F4"/>
    <w:rsid w:val="732AF706"/>
    <w:rsid w:val="733AE0B7"/>
    <w:rsid w:val="733E6624"/>
    <w:rsid w:val="73435778"/>
    <w:rsid w:val="734B8846"/>
    <w:rsid w:val="73527FC9"/>
    <w:rsid w:val="735355FC"/>
    <w:rsid w:val="7380344D"/>
    <w:rsid w:val="73871FCA"/>
    <w:rsid w:val="738F46E6"/>
    <w:rsid w:val="738F55EC"/>
    <w:rsid w:val="7392B1D3"/>
    <w:rsid w:val="73930AA9"/>
    <w:rsid w:val="739EAD7F"/>
    <w:rsid w:val="73B2F22E"/>
    <w:rsid w:val="73B56F8F"/>
    <w:rsid w:val="73BFDEB4"/>
    <w:rsid w:val="73C5FECE"/>
    <w:rsid w:val="73C69025"/>
    <w:rsid w:val="73D45E55"/>
    <w:rsid w:val="73DA0922"/>
    <w:rsid w:val="73E2DFAA"/>
    <w:rsid w:val="73E3BFA9"/>
    <w:rsid w:val="73E5562A"/>
    <w:rsid w:val="74023AF6"/>
    <w:rsid w:val="741D9344"/>
    <w:rsid w:val="74281B73"/>
    <w:rsid w:val="74288496"/>
    <w:rsid w:val="742AE825"/>
    <w:rsid w:val="74378BE1"/>
    <w:rsid w:val="743EBF7B"/>
    <w:rsid w:val="74695C12"/>
    <w:rsid w:val="746B1475"/>
    <w:rsid w:val="7470323C"/>
    <w:rsid w:val="7484AE58"/>
    <w:rsid w:val="748F4EB3"/>
    <w:rsid w:val="7498F5D7"/>
    <w:rsid w:val="74A3EB3F"/>
    <w:rsid w:val="74A5C780"/>
    <w:rsid w:val="74A72A17"/>
    <w:rsid w:val="74AB473D"/>
    <w:rsid w:val="74B75CA6"/>
    <w:rsid w:val="74C0BC29"/>
    <w:rsid w:val="74C0F5CE"/>
    <w:rsid w:val="74C150CE"/>
    <w:rsid w:val="74C8BEC8"/>
    <w:rsid w:val="74D7CD01"/>
    <w:rsid w:val="74D9B578"/>
    <w:rsid w:val="74DC74D8"/>
    <w:rsid w:val="74E75C7C"/>
    <w:rsid w:val="74F69303"/>
    <w:rsid w:val="7501B784"/>
    <w:rsid w:val="75215030"/>
    <w:rsid w:val="75313C5F"/>
    <w:rsid w:val="75327EA8"/>
    <w:rsid w:val="75352191"/>
    <w:rsid w:val="753F054E"/>
    <w:rsid w:val="753FE1E8"/>
    <w:rsid w:val="754A69A3"/>
    <w:rsid w:val="754AEA94"/>
    <w:rsid w:val="755191B8"/>
    <w:rsid w:val="75584B5D"/>
    <w:rsid w:val="755FC76B"/>
    <w:rsid w:val="7564C0CD"/>
    <w:rsid w:val="756A8C22"/>
    <w:rsid w:val="7572F7FB"/>
    <w:rsid w:val="757A2EF2"/>
    <w:rsid w:val="75877DDD"/>
    <w:rsid w:val="7593CC60"/>
    <w:rsid w:val="7596F2CE"/>
    <w:rsid w:val="759DA237"/>
    <w:rsid w:val="75A4B7DF"/>
    <w:rsid w:val="75A522C1"/>
    <w:rsid w:val="75A94EE1"/>
    <w:rsid w:val="75B8FB11"/>
    <w:rsid w:val="75B9C6EB"/>
    <w:rsid w:val="75C11FFB"/>
    <w:rsid w:val="75C85CC0"/>
    <w:rsid w:val="75DBBAAF"/>
    <w:rsid w:val="75EFD5D3"/>
    <w:rsid w:val="76076ACE"/>
    <w:rsid w:val="760F75A2"/>
    <w:rsid w:val="76128F54"/>
    <w:rsid w:val="761A0219"/>
    <w:rsid w:val="76250108"/>
    <w:rsid w:val="76347D3A"/>
    <w:rsid w:val="7648239A"/>
    <w:rsid w:val="76593882"/>
    <w:rsid w:val="76616111"/>
    <w:rsid w:val="7682EEAA"/>
    <w:rsid w:val="769FF6B6"/>
    <w:rsid w:val="76C13E2C"/>
    <w:rsid w:val="76D52BC1"/>
    <w:rsid w:val="76EC7EBE"/>
    <w:rsid w:val="76F27A3E"/>
    <w:rsid w:val="7705D5C7"/>
    <w:rsid w:val="77061171"/>
    <w:rsid w:val="7711CE57"/>
    <w:rsid w:val="77134813"/>
    <w:rsid w:val="77189C6E"/>
    <w:rsid w:val="771CE9F3"/>
    <w:rsid w:val="771E974C"/>
    <w:rsid w:val="7726D946"/>
    <w:rsid w:val="772937E7"/>
    <w:rsid w:val="773162A9"/>
    <w:rsid w:val="77353083"/>
    <w:rsid w:val="774387BD"/>
    <w:rsid w:val="77483987"/>
    <w:rsid w:val="774AB14C"/>
    <w:rsid w:val="775A2A07"/>
    <w:rsid w:val="775A2CA8"/>
    <w:rsid w:val="7777866B"/>
    <w:rsid w:val="7780A9DF"/>
    <w:rsid w:val="778220D3"/>
    <w:rsid w:val="7783E93D"/>
    <w:rsid w:val="778F8778"/>
    <w:rsid w:val="779085AF"/>
    <w:rsid w:val="77979926"/>
    <w:rsid w:val="779D1ED3"/>
    <w:rsid w:val="77A54276"/>
    <w:rsid w:val="77A80F4F"/>
    <w:rsid w:val="77B3ADE6"/>
    <w:rsid w:val="77BC6D7B"/>
    <w:rsid w:val="77C84D54"/>
    <w:rsid w:val="77CB9C79"/>
    <w:rsid w:val="77CE0A2D"/>
    <w:rsid w:val="77D213C2"/>
    <w:rsid w:val="77DCC7F8"/>
    <w:rsid w:val="77DF3774"/>
    <w:rsid w:val="77E2E7FF"/>
    <w:rsid w:val="77E677F1"/>
    <w:rsid w:val="77EDB982"/>
    <w:rsid w:val="77FD0CCD"/>
    <w:rsid w:val="7801340F"/>
    <w:rsid w:val="78024E83"/>
    <w:rsid w:val="780D4AA7"/>
    <w:rsid w:val="7813DF52"/>
    <w:rsid w:val="781E0745"/>
    <w:rsid w:val="78210B56"/>
    <w:rsid w:val="7826C71F"/>
    <w:rsid w:val="782BF4B4"/>
    <w:rsid w:val="783C0377"/>
    <w:rsid w:val="78431AC7"/>
    <w:rsid w:val="78546AB5"/>
    <w:rsid w:val="785CD931"/>
    <w:rsid w:val="785F847E"/>
    <w:rsid w:val="7871CD10"/>
    <w:rsid w:val="7874264D"/>
    <w:rsid w:val="7879B1A7"/>
    <w:rsid w:val="788A8A85"/>
    <w:rsid w:val="7897B104"/>
    <w:rsid w:val="7897FA98"/>
    <w:rsid w:val="78996745"/>
    <w:rsid w:val="78A226C5"/>
    <w:rsid w:val="78B12A8D"/>
    <w:rsid w:val="78B9C194"/>
    <w:rsid w:val="78BAF880"/>
    <w:rsid w:val="78BCF439"/>
    <w:rsid w:val="78C8DF74"/>
    <w:rsid w:val="78C8E272"/>
    <w:rsid w:val="78C91397"/>
    <w:rsid w:val="78C9E90C"/>
    <w:rsid w:val="78E16390"/>
    <w:rsid w:val="78E681AD"/>
    <w:rsid w:val="78ECA777"/>
    <w:rsid w:val="78F0B62D"/>
    <w:rsid w:val="78F4B86A"/>
    <w:rsid w:val="78F55858"/>
    <w:rsid w:val="7901C983"/>
    <w:rsid w:val="79023D3D"/>
    <w:rsid w:val="790B5379"/>
    <w:rsid w:val="7914B0EA"/>
    <w:rsid w:val="7929A4A3"/>
    <w:rsid w:val="7933F48C"/>
    <w:rsid w:val="79346E6E"/>
    <w:rsid w:val="793DB814"/>
    <w:rsid w:val="794B82D3"/>
    <w:rsid w:val="7956DB83"/>
    <w:rsid w:val="795897C0"/>
    <w:rsid w:val="795BF61F"/>
    <w:rsid w:val="7965AB70"/>
    <w:rsid w:val="7972781C"/>
    <w:rsid w:val="799BAA95"/>
    <w:rsid w:val="799E9881"/>
    <w:rsid w:val="79A756EE"/>
    <w:rsid w:val="79A8B6BE"/>
    <w:rsid w:val="79ADA7A8"/>
    <w:rsid w:val="79B02CED"/>
    <w:rsid w:val="79B3A0F1"/>
    <w:rsid w:val="79BA5387"/>
    <w:rsid w:val="79C2B0B9"/>
    <w:rsid w:val="79C71FFA"/>
    <w:rsid w:val="79C72F24"/>
    <w:rsid w:val="79D02860"/>
    <w:rsid w:val="79D42BCA"/>
    <w:rsid w:val="79DBBDEC"/>
    <w:rsid w:val="79DEFCAC"/>
    <w:rsid w:val="79FAA87E"/>
    <w:rsid w:val="7A029ABE"/>
    <w:rsid w:val="7A03447B"/>
    <w:rsid w:val="7A091AC0"/>
    <w:rsid w:val="7A23C0CB"/>
    <w:rsid w:val="7A2FE99C"/>
    <w:rsid w:val="7A332E07"/>
    <w:rsid w:val="7A37E137"/>
    <w:rsid w:val="7A39B9F3"/>
    <w:rsid w:val="7A3A8368"/>
    <w:rsid w:val="7A3D8A13"/>
    <w:rsid w:val="7A48764A"/>
    <w:rsid w:val="7A491A76"/>
    <w:rsid w:val="7A53BEAD"/>
    <w:rsid w:val="7A56A1FD"/>
    <w:rsid w:val="7A64A1D3"/>
    <w:rsid w:val="7A6A82BC"/>
    <w:rsid w:val="7A6D573F"/>
    <w:rsid w:val="7A7F9AA1"/>
    <w:rsid w:val="7A90F796"/>
    <w:rsid w:val="7A9A99BF"/>
    <w:rsid w:val="7AA64F7F"/>
    <w:rsid w:val="7AA708B3"/>
    <w:rsid w:val="7AB21309"/>
    <w:rsid w:val="7AB27D92"/>
    <w:rsid w:val="7AB49CA4"/>
    <w:rsid w:val="7AB4D769"/>
    <w:rsid w:val="7AB59AAE"/>
    <w:rsid w:val="7AB5EABF"/>
    <w:rsid w:val="7AB84AA1"/>
    <w:rsid w:val="7ACF9842"/>
    <w:rsid w:val="7AD366E0"/>
    <w:rsid w:val="7AE329F9"/>
    <w:rsid w:val="7AEA63B5"/>
    <w:rsid w:val="7AEC7349"/>
    <w:rsid w:val="7AF11544"/>
    <w:rsid w:val="7AF2FBCB"/>
    <w:rsid w:val="7AF46821"/>
    <w:rsid w:val="7AFAA363"/>
    <w:rsid w:val="7B0DB6F3"/>
    <w:rsid w:val="7B16D293"/>
    <w:rsid w:val="7B39091E"/>
    <w:rsid w:val="7B3E5940"/>
    <w:rsid w:val="7B3F0E73"/>
    <w:rsid w:val="7B4254CC"/>
    <w:rsid w:val="7B49162D"/>
    <w:rsid w:val="7B62F39B"/>
    <w:rsid w:val="7B6A6BF9"/>
    <w:rsid w:val="7B6E5348"/>
    <w:rsid w:val="7B6E7135"/>
    <w:rsid w:val="7B76B6CE"/>
    <w:rsid w:val="7B77B330"/>
    <w:rsid w:val="7B7AA9E8"/>
    <w:rsid w:val="7B7DB16B"/>
    <w:rsid w:val="7B81FE44"/>
    <w:rsid w:val="7B892488"/>
    <w:rsid w:val="7B984815"/>
    <w:rsid w:val="7BA1A9BC"/>
    <w:rsid w:val="7BA45E59"/>
    <w:rsid w:val="7BA86609"/>
    <w:rsid w:val="7BAC321B"/>
    <w:rsid w:val="7BB25939"/>
    <w:rsid w:val="7BB30AB3"/>
    <w:rsid w:val="7BB910A7"/>
    <w:rsid w:val="7BBBAC79"/>
    <w:rsid w:val="7BC3DFA9"/>
    <w:rsid w:val="7BCCAAE5"/>
    <w:rsid w:val="7BCDE7D7"/>
    <w:rsid w:val="7BD045A1"/>
    <w:rsid w:val="7BD12D40"/>
    <w:rsid w:val="7BD37A96"/>
    <w:rsid w:val="7BE5E280"/>
    <w:rsid w:val="7BF5BA73"/>
    <w:rsid w:val="7BF9C61C"/>
    <w:rsid w:val="7BFB2A0C"/>
    <w:rsid w:val="7C06C090"/>
    <w:rsid w:val="7C082BDD"/>
    <w:rsid w:val="7C09C2C5"/>
    <w:rsid w:val="7C12E478"/>
    <w:rsid w:val="7C15D0DE"/>
    <w:rsid w:val="7C15DBEB"/>
    <w:rsid w:val="7C30F0BC"/>
    <w:rsid w:val="7C36EA42"/>
    <w:rsid w:val="7C4B3D43"/>
    <w:rsid w:val="7C4DE2EB"/>
    <w:rsid w:val="7C5A9D77"/>
    <w:rsid w:val="7C668605"/>
    <w:rsid w:val="7C76B4F6"/>
    <w:rsid w:val="7C7DB10C"/>
    <w:rsid w:val="7C9C09A5"/>
    <w:rsid w:val="7C9F1C50"/>
    <w:rsid w:val="7CA21627"/>
    <w:rsid w:val="7CAE1D4A"/>
    <w:rsid w:val="7CB20764"/>
    <w:rsid w:val="7CBCDD74"/>
    <w:rsid w:val="7CC466D9"/>
    <w:rsid w:val="7CCBEA63"/>
    <w:rsid w:val="7CDDD949"/>
    <w:rsid w:val="7CDEEB27"/>
    <w:rsid w:val="7CDF8676"/>
    <w:rsid w:val="7CE96482"/>
    <w:rsid w:val="7CEDF6EB"/>
    <w:rsid w:val="7D00A2BE"/>
    <w:rsid w:val="7D0234ED"/>
    <w:rsid w:val="7D073E60"/>
    <w:rsid w:val="7D13E0C7"/>
    <w:rsid w:val="7D1BBF83"/>
    <w:rsid w:val="7D256F5C"/>
    <w:rsid w:val="7D27CB10"/>
    <w:rsid w:val="7D2CA0CD"/>
    <w:rsid w:val="7D32A458"/>
    <w:rsid w:val="7D34F87A"/>
    <w:rsid w:val="7D39D6B1"/>
    <w:rsid w:val="7D3D009C"/>
    <w:rsid w:val="7D3D3732"/>
    <w:rsid w:val="7D403376"/>
    <w:rsid w:val="7D4A7267"/>
    <w:rsid w:val="7D518750"/>
    <w:rsid w:val="7D53B8B7"/>
    <w:rsid w:val="7D5D47D4"/>
    <w:rsid w:val="7D65F9E2"/>
    <w:rsid w:val="7D6B70F0"/>
    <w:rsid w:val="7D79BFBF"/>
    <w:rsid w:val="7D7AACCF"/>
    <w:rsid w:val="7D82CBBC"/>
    <w:rsid w:val="7D88A22A"/>
    <w:rsid w:val="7DA46152"/>
    <w:rsid w:val="7DA51180"/>
    <w:rsid w:val="7DA9C260"/>
    <w:rsid w:val="7DAB4B75"/>
    <w:rsid w:val="7DAC46AF"/>
    <w:rsid w:val="7DB045CF"/>
    <w:rsid w:val="7DB65450"/>
    <w:rsid w:val="7DBCA3FA"/>
    <w:rsid w:val="7DC26D06"/>
    <w:rsid w:val="7DD48863"/>
    <w:rsid w:val="7DD55FFE"/>
    <w:rsid w:val="7DEA0F43"/>
    <w:rsid w:val="7DEDE5D6"/>
    <w:rsid w:val="7DFA05B7"/>
    <w:rsid w:val="7DFA703A"/>
    <w:rsid w:val="7E0765AF"/>
    <w:rsid w:val="7E18BFE9"/>
    <w:rsid w:val="7E1FA54B"/>
    <w:rsid w:val="7E2022BB"/>
    <w:rsid w:val="7E299371"/>
    <w:rsid w:val="7E3CFE04"/>
    <w:rsid w:val="7E3EAD76"/>
    <w:rsid w:val="7E4A7ABB"/>
    <w:rsid w:val="7E5678B1"/>
    <w:rsid w:val="7E5999EA"/>
    <w:rsid w:val="7E6FAE04"/>
    <w:rsid w:val="7E72A763"/>
    <w:rsid w:val="7E75F47D"/>
    <w:rsid w:val="7E845F3D"/>
    <w:rsid w:val="7E9266D2"/>
    <w:rsid w:val="7E9BA705"/>
    <w:rsid w:val="7EA095A0"/>
    <w:rsid w:val="7EA1837A"/>
    <w:rsid w:val="7EA2B281"/>
    <w:rsid w:val="7EAC1A19"/>
    <w:rsid w:val="7EB26F4C"/>
    <w:rsid w:val="7EC5EE71"/>
    <w:rsid w:val="7EC61AE2"/>
    <w:rsid w:val="7EC8A4B2"/>
    <w:rsid w:val="7EDC117B"/>
    <w:rsid w:val="7EE173B3"/>
    <w:rsid w:val="7EE2DC43"/>
    <w:rsid w:val="7EE87D39"/>
    <w:rsid w:val="7EEE3FE0"/>
    <w:rsid w:val="7EFF10BA"/>
    <w:rsid w:val="7F02662A"/>
    <w:rsid w:val="7F03DE9C"/>
    <w:rsid w:val="7F043A68"/>
    <w:rsid w:val="7F0723FD"/>
    <w:rsid w:val="7F0A1A20"/>
    <w:rsid w:val="7F0F4F72"/>
    <w:rsid w:val="7F24A67F"/>
    <w:rsid w:val="7F2BE45D"/>
    <w:rsid w:val="7F325F0B"/>
    <w:rsid w:val="7F3B56B4"/>
    <w:rsid w:val="7F4A7C07"/>
    <w:rsid w:val="7F5E541A"/>
    <w:rsid w:val="7F719424"/>
    <w:rsid w:val="7F7D9FAF"/>
    <w:rsid w:val="7F7EAF74"/>
    <w:rsid w:val="7F8B3E6A"/>
    <w:rsid w:val="7FA769A6"/>
    <w:rsid w:val="7FAA1D4F"/>
    <w:rsid w:val="7FB19745"/>
    <w:rsid w:val="7FB3544E"/>
    <w:rsid w:val="7FD13B8A"/>
    <w:rsid w:val="7FD426A1"/>
    <w:rsid w:val="7FDE26B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1906ABEE"/>
  <w15:docId w15:val="{BA88EF93-AEAD-4405-B085-5319F4B92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ajorEastAsia" w:hAnsiTheme="majorHAnsi" w:cstheme="majorBidi"/>
        <w:sz w:val="22"/>
        <w:szCs w:val="22"/>
        <w:lang w:val="en-US" w:eastAsia="en-US" w:bidi="ar-SA"/>
      </w:rPr>
    </w:rPrDefault>
    <w:pPrDefault>
      <w:pPr>
        <w:spacing w:after="200" w:line="25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lsdException w:name="List Bullet 3" w:semiHidden="1" w:uiPriority="36" w:unhideWhenUsed="1"/>
    <w:lsdException w:name="List Bullet 4" w:semiHidden="1" w:uiPriority="36" w:unhideWhenUsed="1"/>
    <w:lsdException w:name="List Bullet 5" w:semiHidden="1" w:uiPriority="36"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41"/>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69"/>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0B3C"/>
    <w:rPr>
      <w:rFonts w:asciiTheme="minorHAnsi" w:hAnsiTheme="minorHAnsi"/>
    </w:rPr>
  </w:style>
  <w:style w:type="paragraph" w:styleId="Heading1">
    <w:name w:val="heading 1"/>
    <w:basedOn w:val="Normal"/>
    <w:next w:val="Normal"/>
    <w:link w:val="Heading1Char"/>
    <w:uiPriority w:val="9"/>
    <w:qFormat/>
    <w:rsid w:val="004E582A"/>
    <w:pPr>
      <w:pageBreakBefore/>
      <w:pBdr>
        <w:bottom w:val="thinThickSmallGap" w:sz="12" w:space="1" w:color="0E5EFF" w:themeColor="accent2" w:themeShade="BF"/>
      </w:pBdr>
      <w:spacing w:before="400"/>
      <w:jc w:val="center"/>
      <w:outlineLvl w:val="0"/>
    </w:pPr>
    <w:rPr>
      <w:caps/>
      <w:color w:val="003CB4" w:themeColor="accent2" w:themeShade="80"/>
      <w:spacing w:val="20"/>
      <w:sz w:val="28"/>
      <w:szCs w:val="28"/>
    </w:rPr>
  </w:style>
  <w:style w:type="paragraph" w:styleId="Heading2">
    <w:name w:val="heading 2"/>
    <w:basedOn w:val="Normal"/>
    <w:next w:val="Normal"/>
    <w:link w:val="Heading2Char"/>
    <w:unhideWhenUsed/>
    <w:qFormat/>
    <w:rsid w:val="00B871A4"/>
    <w:pPr>
      <w:pBdr>
        <w:bottom w:val="single" w:sz="4" w:space="1" w:color="003BB3" w:themeColor="accent2" w:themeShade="7F"/>
      </w:pBdr>
      <w:spacing w:before="400"/>
      <w:jc w:val="center"/>
      <w:outlineLvl w:val="1"/>
    </w:pPr>
    <w:rPr>
      <w:caps/>
      <w:color w:val="003CB4" w:themeColor="accent2" w:themeShade="80"/>
      <w:spacing w:val="15"/>
      <w:sz w:val="24"/>
      <w:szCs w:val="24"/>
    </w:rPr>
  </w:style>
  <w:style w:type="paragraph" w:styleId="Heading3">
    <w:name w:val="heading 3"/>
    <w:basedOn w:val="Normal"/>
    <w:next w:val="Normal"/>
    <w:link w:val="Heading3Char"/>
    <w:unhideWhenUsed/>
    <w:qFormat/>
    <w:rsid w:val="00B871A4"/>
    <w:pPr>
      <w:pBdr>
        <w:top w:val="dotted" w:sz="4" w:space="1" w:color="003BB3" w:themeColor="accent2" w:themeShade="7F"/>
        <w:bottom w:val="dotted" w:sz="4" w:space="1" w:color="003BB3" w:themeColor="accent2" w:themeShade="7F"/>
      </w:pBdr>
      <w:spacing w:before="300"/>
      <w:jc w:val="center"/>
      <w:outlineLvl w:val="2"/>
    </w:pPr>
    <w:rPr>
      <w:caps/>
      <w:color w:val="003BB3" w:themeColor="accent2" w:themeShade="7F"/>
      <w:sz w:val="24"/>
      <w:szCs w:val="24"/>
    </w:rPr>
  </w:style>
  <w:style w:type="paragraph" w:styleId="Heading4">
    <w:name w:val="heading 4"/>
    <w:basedOn w:val="Normal"/>
    <w:next w:val="Normal"/>
    <w:link w:val="Heading4Char"/>
    <w:unhideWhenUsed/>
    <w:qFormat/>
    <w:rsid w:val="0020586A"/>
    <w:pPr>
      <w:pBdr>
        <w:bottom w:val="dotted" w:sz="4" w:space="1" w:color="0E5EFF" w:themeColor="accent2" w:themeShade="BF"/>
      </w:pBdr>
      <w:spacing w:after="120"/>
      <w:outlineLvl w:val="3"/>
    </w:pPr>
    <w:rPr>
      <w:caps/>
      <w:color w:val="003BB3" w:themeColor="accent2" w:themeShade="7F"/>
      <w:spacing w:val="10"/>
    </w:rPr>
  </w:style>
  <w:style w:type="paragraph" w:styleId="Heading5">
    <w:name w:val="heading 5"/>
    <w:basedOn w:val="Normal"/>
    <w:next w:val="Normal"/>
    <w:link w:val="Heading5Char"/>
    <w:unhideWhenUsed/>
    <w:qFormat/>
    <w:rsid w:val="009F1928"/>
    <w:pPr>
      <w:spacing w:before="120" w:after="120"/>
      <w:outlineLvl w:val="4"/>
    </w:pPr>
    <w:rPr>
      <w:caps/>
      <w:color w:val="003BB3" w:themeColor="accent2" w:themeShade="7F"/>
      <w:spacing w:val="10"/>
      <w:lang w:val="en"/>
    </w:rPr>
  </w:style>
  <w:style w:type="paragraph" w:styleId="Heading6">
    <w:name w:val="heading 6"/>
    <w:basedOn w:val="Normal"/>
    <w:next w:val="Normal"/>
    <w:link w:val="Heading6Char"/>
    <w:unhideWhenUsed/>
    <w:rsid w:val="00B871A4"/>
    <w:pPr>
      <w:spacing w:after="120"/>
      <w:jc w:val="center"/>
      <w:outlineLvl w:val="5"/>
    </w:pPr>
    <w:rPr>
      <w:caps/>
      <w:color w:val="0E5EFF" w:themeColor="accent2" w:themeShade="BF"/>
      <w:spacing w:val="10"/>
    </w:rPr>
  </w:style>
  <w:style w:type="paragraph" w:styleId="Heading7">
    <w:name w:val="heading 7"/>
    <w:basedOn w:val="Normal"/>
    <w:next w:val="Normal"/>
    <w:link w:val="Heading7Char"/>
    <w:unhideWhenUsed/>
    <w:rsid w:val="00B871A4"/>
    <w:pPr>
      <w:spacing w:after="120"/>
      <w:jc w:val="center"/>
      <w:outlineLvl w:val="6"/>
    </w:pPr>
    <w:rPr>
      <w:i/>
      <w:iCs/>
      <w:caps/>
      <w:color w:val="0E5EFF" w:themeColor="accent2" w:themeShade="BF"/>
      <w:spacing w:val="10"/>
    </w:rPr>
  </w:style>
  <w:style w:type="paragraph" w:styleId="Heading8">
    <w:name w:val="heading 8"/>
    <w:basedOn w:val="Normal"/>
    <w:next w:val="Normal"/>
    <w:link w:val="Heading8Char"/>
    <w:unhideWhenUsed/>
    <w:rsid w:val="00B871A4"/>
    <w:pPr>
      <w:spacing w:after="120"/>
      <w:jc w:val="center"/>
      <w:outlineLvl w:val="7"/>
    </w:pPr>
    <w:rPr>
      <w:caps/>
      <w:spacing w:val="10"/>
      <w:sz w:val="20"/>
      <w:szCs w:val="20"/>
    </w:rPr>
  </w:style>
  <w:style w:type="paragraph" w:styleId="Heading9">
    <w:name w:val="heading 9"/>
    <w:basedOn w:val="Normal"/>
    <w:next w:val="Normal"/>
    <w:link w:val="Heading9Char"/>
    <w:unhideWhenUsed/>
    <w:qFormat/>
    <w:rsid w:val="00DF49F3"/>
    <w:pPr>
      <w:spacing w:after="120"/>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582A"/>
    <w:rPr>
      <w:rFonts w:asciiTheme="minorHAnsi" w:hAnsiTheme="minorHAnsi"/>
      <w:caps/>
      <w:color w:val="003CB4" w:themeColor="accent2" w:themeShade="80"/>
      <w:spacing w:val="20"/>
      <w:sz w:val="28"/>
      <w:szCs w:val="28"/>
    </w:rPr>
  </w:style>
  <w:style w:type="character" w:customStyle="1" w:styleId="Heading2Char">
    <w:name w:val="Heading 2 Char"/>
    <w:basedOn w:val="DefaultParagraphFont"/>
    <w:link w:val="Heading2"/>
    <w:rsid w:val="00B871A4"/>
    <w:rPr>
      <w:caps/>
      <w:color w:val="003CB4" w:themeColor="accent2" w:themeShade="80"/>
      <w:spacing w:val="15"/>
      <w:sz w:val="24"/>
      <w:szCs w:val="24"/>
    </w:rPr>
  </w:style>
  <w:style w:type="character" w:customStyle="1" w:styleId="Heading3Char">
    <w:name w:val="Heading 3 Char"/>
    <w:basedOn w:val="DefaultParagraphFont"/>
    <w:link w:val="Heading3"/>
    <w:rsid w:val="00B871A4"/>
    <w:rPr>
      <w:caps/>
      <w:color w:val="003BB3" w:themeColor="accent2" w:themeShade="7F"/>
      <w:sz w:val="24"/>
      <w:szCs w:val="24"/>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rPr>
      <w:rFonts w:cs="Times New Roman"/>
      <w:sz w:val="23"/>
      <w:szCs w:val="20"/>
      <w:lang w:eastAsia="ja-JP"/>
    </w:rPr>
  </w:style>
  <w:style w:type="paragraph" w:styleId="Header">
    <w:name w:val="header"/>
    <w:basedOn w:val="Normal"/>
    <w:link w:val="HeaderChar"/>
    <w:unhideWhenUsed/>
    <w:pPr>
      <w:tabs>
        <w:tab w:val="center" w:pos="4320"/>
        <w:tab w:val="right" w:pos="8640"/>
      </w:tabs>
    </w:pPr>
  </w:style>
  <w:style w:type="character" w:customStyle="1" w:styleId="HeaderChar">
    <w:name w:val="Header Char"/>
    <w:basedOn w:val="DefaultParagraphFont"/>
    <w:link w:val="Header"/>
    <w:rPr>
      <w:rFonts w:cs="Times New Roman"/>
      <w:sz w:val="23"/>
      <w:szCs w:val="20"/>
      <w:lang w:eastAsia="ja-JP"/>
    </w:rPr>
  </w:style>
  <w:style w:type="paragraph" w:styleId="IntenseQuote">
    <w:name w:val="Intense Quote"/>
    <w:basedOn w:val="Normal"/>
    <w:next w:val="Normal"/>
    <w:link w:val="IntenseQuoteChar"/>
    <w:uiPriority w:val="30"/>
    <w:qFormat/>
    <w:rsid w:val="00B871A4"/>
    <w:pPr>
      <w:pBdr>
        <w:top w:val="dotted" w:sz="2" w:space="10" w:color="003CB4" w:themeColor="accent2" w:themeShade="80"/>
        <w:bottom w:val="dotted" w:sz="2" w:space="4" w:color="003CB4" w:themeColor="accent2" w:themeShade="80"/>
      </w:pBdr>
      <w:spacing w:before="160" w:line="300" w:lineRule="auto"/>
      <w:ind w:left="1440" w:right="1440"/>
    </w:pPr>
    <w:rPr>
      <w:caps/>
      <w:color w:val="003BB3" w:themeColor="accent2" w:themeShade="7F"/>
      <w:spacing w:val="5"/>
      <w:sz w:val="20"/>
      <w:szCs w:val="20"/>
    </w:rPr>
  </w:style>
  <w:style w:type="character" w:customStyle="1" w:styleId="IntenseQuoteChar">
    <w:name w:val="Intense Quote Char"/>
    <w:basedOn w:val="DefaultParagraphFont"/>
    <w:link w:val="IntenseQuote"/>
    <w:uiPriority w:val="30"/>
    <w:rsid w:val="00B871A4"/>
    <w:rPr>
      <w:caps/>
      <w:color w:val="003BB3" w:themeColor="accent2" w:themeShade="7F"/>
      <w:spacing w:val="5"/>
      <w:sz w:val="20"/>
      <w:szCs w:val="20"/>
    </w:rPr>
  </w:style>
  <w:style w:type="paragraph" w:styleId="Subtitle">
    <w:name w:val="Subtitle"/>
    <w:basedOn w:val="Normal"/>
    <w:next w:val="Normal"/>
    <w:link w:val="SubtitleChar"/>
    <w:qFormat/>
    <w:rsid w:val="00B871A4"/>
    <w:pPr>
      <w:spacing w:after="560" w:line="240" w:lineRule="auto"/>
      <w:jc w:val="center"/>
    </w:pPr>
    <w:rPr>
      <w:caps/>
      <w:spacing w:val="20"/>
      <w:sz w:val="18"/>
      <w:szCs w:val="18"/>
    </w:rPr>
  </w:style>
  <w:style w:type="character" w:customStyle="1" w:styleId="SubtitleChar">
    <w:name w:val="Subtitle Char"/>
    <w:basedOn w:val="DefaultParagraphFont"/>
    <w:link w:val="Subtitle"/>
    <w:rsid w:val="00B871A4"/>
    <w:rPr>
      <w:caps/>
      <w:spacing w:val="20"/>
      <w:sz w:val="18"/>
      <w:szCs w:val="18"/>
    </w:rPr>
  </w:style>
  <w:style w:type="paragraph" w:styleId="Title">
    <w:name w:val="Title"/>
    <w:basedOn w:val="Normal"/>
    <w:next w:val="Normal"/>
    <w:link w:val="TitleChar"/>
    <w:qFormat/>
    <w:rsid w:val="00912110"/>
    <w:pPr>
      <w:spacing w:after="0" w:line="240" w:lineRule="auto"/>
      <w:jc w:val="both"/>
    </w:pPr>
    <w:rPr>
      <w:rFonts w:ascii="Tw Cen MT" w:eastAsia="Times New Roman" w:hAnsi="Tw Cen MT" w:cs="Tw Cen MT"/>
      <w:caps/>
      <w:color w:val="003192"/>
      <w:sz w:val="110"/>
      <w:szCs w:val="110"/>
    </w:rPr>
  </w:style>
  <w:style w:type="character" w:customStyle="1" w:styleId="TitleChar">
    <w:name w:val="Title Char"/>
    <w:basedOn w:val="DefaultParagraphFont"/>
    <w:link w:val="Title"/>
    <w:rsid w:val="00912110"/>
    <w:rPr>
      <w:rFonts w:ascii="Tw Cen MT" w:eastAsia="Times New Roman" w:hAnsi="Tw Cen MT" w:cs="Tw Cen MT"/>
      <w:caps/>
      <w:color w:val="003192"/>
      <w:sz w:val="110"/>
      <w:szCs w:val="110"/>
    </w:rPr>
  </w:style>
  <w:style w:type="paragraph" w:styleId="BalloonText">
    <w:name w:val="Balloon Text"/>
    <w:basedOn w:val="Normal"/>
    <w:link w:val="BalloonTextChar"/>
    <w:semiHidden/>
    <w:unhideWhenUsed/>
    <w:rPr>
      <w:rFonts w:ascii="Tahoma" w:hAnsi="Tahoma" w:cs="Tahoma"/>
      <w:sz w:val="16"/>
      <w:szCs w:val="16"/>
    </w:rPr>
  </w:style>
  <w:style w:type="character" w:customStyle="1" w:styleId="BalloonTextChar">
    <w:name w:val="Balloon Text Char"/>
    <w:basedOn w:val="DefaultParagraphFont"/>
    <w:link w:val="BalloonText"/>
    <w:semiHidden/>
    <w:rPr>
      <w:rFonts w:ascii="Tahoma" w:hAnsi="Tahoma" w:cs="Tahoma"/>
      <w:sz w:val="16"/>
      <w:szCs w:val="16"/>
      <w:lang w:eastAsia="ja-JP"/>
    </w:rPr>
  </w:style>
  <w:style w:type="character" w:styleId="BookTitle">
    <w:name w:val="Book Title"/>
    <w:uiPriority w:val="33"/>
    <w:qFormat/>
    <w:rsid w:val="00B871A4"/>
    <w:rPr>
      <w:caps/>
      <w:color w:val="003BB3" w:themeColor="accent2" w:themeShade="7F"/>
      <w:spacing w:val="5"/>
      <w:u w:color="003BB3" w:themeColor="accent2" w:themeShade="7F"/>
    </w:rPr>
  </w:style>
  <w:style w:type="paragraph" w:styleId="Caption">
    <w:name w:val="caption"/>
    <w:basedOn w:val="Normal"/>
    <w:next w:val="Normal"/>
    <w:uiPriority w:val="35"/>
    <w:unhideWhenUsed/>
    <w:qFormat/>
    <w:rsid w:val="00B871A4"/>
    <w:rPr>
      <w:caps/>
      <w:spacing w:val="10"/>
      <w:sz w:val="18"/>
      <w:szCs w:val="18"/>
    </w:rPr>
  </w:style>
  <w:style w:type="character" w:styleId="Emphasis">
    <w:name w:val="Emphasis"/>
    <w:uiPriority w:val="20"/>
    <w:qFormat/>
    <w:rsid w:val="00B871A4"/>
    <w:rPr>
      <w:caps/>
      <w:spacing w:val="5"/>
      <w:sz w:val="20"/>
      <w:szCs w:val="20"/>
    </w:rPr>
  </w:style>
  <w:style w:type="character" w:customStyle="1" w:styleId="Heading4Char">
    <w:name w:val="Heading 4 Char"/>
    <w:basedOn w:val="DefaultParagraphFont"/>
    <w:link w:val="Heading4"/>
    <w:rsid w:val="0020586A"/>
    <w:rPr>
      <w:rFonts w:asciiTheme="minorHAnsi" w:hAnsiTheme="minorHAnsi"/>
      <w:caps/>
      <w:color w:val="003BB3" w:themeColor="accent2" w:themeShade="7F"/>
      <w:spacing w:val="10"/>
    </w:rPr>
  </w:style>
  <w:style w:type="character" w:customStyle="1" w:styleId="Heading5Char">
    <w:name w:val="Heading 5 Char"/>
    <w:basedOn w:val="DefaultParagraphFont"/>
    <w:link w:val="Heading5"/>
    <w:rsid w:val="009F1928"/>
    <w:rPr>
      <w:rFonts w:asciiTheme="minorHAnsi" w:hAnsiTheme="minorHAnsi"/>
      <w:caps/>
      <w:color w:val="003BB3" w:themeColor="accent2" w:themeShade="7F"/>
      <w:spacing w:val="10"/>
      <w:lang w:val="en"/>
    </w:rPr>
  </w:style>
  <w:style w:type="character" w:customStyle="1" w:styleId="Heading6Char">
    <w:name w:val="Heading 6 Char"/>
    <w:basedOn w:val="DefaultParagraphFont"/>
    <w:link w:val="Heading6"/>
    <w:rsid w:val="00B871A4"/>
    <w:rPr>
      <w:caps/>
      <w:color w:val="0E5EFF" w:themeColor="accent2" w:themeShade="BF"/>
      <w:spacing w:val="10"/>
    </w:rPr>
  </w:style>
  <w:style w:type="character" w:customStyle="1" w:styleId="Heading7Char">
    <w:name w:val="Heading 7 Char"/>
    <w:basedOn w:val="DefaultParagraphFont"/>
    <w:link w:val="Heading7"/>
    <w:rsid w:val="00B871A4"/>
    <w:rPr>
      <w:i/>
      <w:iCs/>
      <w:caps/>
      <w:color w:val="0E5EFF" w:themeColor="accent2" w:themeShade="BF"/>
      <w:spacing w:val="10"/>
    </w:rPr>
  </w:style>
  <w:style w:type="character" w:customStyle="1" w:styleId="Heading8Char">
    <w:name w:val="Heading 8 Char"/>
    <w:basedOn w:val="DefaultParagraphFont"/>
    <w:link w:val="Heading8"/>
    <w:rsid w:val="00B871A4"/>
    <w:rPr>
      <w:caps/>
      <w:spacing w:val="10"/>
      <w:sz w:val="20"/>
      <w:szCs w:val="20"/>
    </w:rPr>
  </w:style>
  <w:style w:type="character" w:customStyle="1" w:styleId="Heading9Char">
    <w:name w:val="Heading 9 Char"/>
    <w:basedOn w:val="DefaultParagraphFont"/>
    <w:link w:val="Heading9"/>
    <w:rsid w:val="00DF49F3"/>
    <w:rPr>
      <w:rFonts w:asciiTheme="minorHAnsi" w:hAnsiTheme="minorHAnsi"/>
      <w:i/>
      <w:iCs/>
      <w:caps/>
      <w:spacing w:val="10"/>
      <w:sz w:val="20"/>
      <w:szCs w:val="20"/>
    </w:rPr>
  </w:style>
  <w:style w:type="character" w:styleId="Hyperlink">
    <w:name w:val="Hyperlink"/>
    <w:basedOn w:val="DefaultParagraphFont"/>
    <w:uiPriority w:val="99"/>
    <w:unhideWhenUsed/>
    <w:rPr>
      <w:color w:val="003CB4" w:themeColor="hyperlink"/>
      <w:u w:val="single"/>
    </w:rPr>
  </w:style>
  <w:style w:type="character" w:styleId="IntenseEmphasis">
    <w:name w:val="Intense Emphasis"/>
    <w:uiPriority w:val="21"/>
    <w:qFormat/>
    <w:rsid w:val="00B871A4"/>
    <w:rPr>
      <w:i/>
      <w:iCs/>
      <w:caps/>
      <w:spacing w:val="10"/>
      <w:sz w:val="20"/>
      <w:szCs w:val="20"/>
    </w:rPr>
  </w:style>
  <w:style w:type="character" w:styleId="IntenseReference">
    <w:name w:val="Intense Reference"/>
    <w:uiPriority w:val="32"/>
    <w:qFormat/>
    <w:rsid w:val="00B871A4"/>
    <w:rPr>
      <w:rFonts w:asciiTheme="minorHAnsi" w:eastAsiaTheme="minorEastAsia" w:hAnsiTheme="minorHAnsi" w:cstheme="minorBidi"/>
      <w:b/>
      <w:bCs/>
      <w:i/>
      <w:iCs/>
      <w:color w:val="003BB3" w:themeColor="accent2" w:themeShade="7F"/>
    </w:rPr>
  </w:style>
  <w:style w:type="paragraph" w:styleId="List">
    <w:name w:val="List"/>
    <w:basedOn w:val="Normal"/>
    <w:uiPriority w:val="99"/>
    <w:semiHidden/>
    <w:unhideWhenUsed/>
    <w:pPr>
      <w:ind w:left="360" w:hanging="360"/>
    </w:pPr>
  </w:style>
  <w:style w:type="paragraph" w:styleId="List2">
    <w:name w:val="List 2"/>
    <w:basedOn w:val="Normal"/>
    <w:uiPriority w:val="99"/>
    <w:semiHidden/>
    <w:unhideWhenUsed/>
    <w:pPr>
      <w:ind w:left="720" w:hanging="360"/>
    </w:pPr>
  </w:style>
  <w:style w:type="paragraph" w:styleId="ListBullet">
    <w:name w:val="List Bullet"/>
    <w:basedOn w:val="Normal"/>
    <w:uiPriority w:val="36"/>
    <w:unhideWhenUsed/>
    <w:pPr>
      <w:numPr>
        <w:numId w:val="7"/>
      </w:numPr>
    </w:pPr>
    <w:rPr>
      <w:sz w:val="24"/>
    </w:rPr>
  </w:style>
  <w:style w:type="paragraph" w:styleId="ListBullet2">
    <w:name w:val="List Bullet 2"/>
    <w:basedOn w:val="Normal"/>
    <w:uiPriority w:val="36"/>
    <w:unhideWhenUsed/>
    <w:pPr>
      <w:numPr>
        <w:numId w:val="8"/>
      </w:numPr>
    </w:pPr>
    <w:rPr>
      <w:color w:val="69B220" w:themeColor="accent1"/>
    </w:rPr>
  </w:style>
  <w:style w:type="paragraph" w:styleId="ListBullet3">
    <w:name w:val="List Bullet 3"/>
    <w:basedOn w:val="Normal"/>
    <w:uiPriority w:val="36"/>
    <w:unhideWhenUsed/>
    <w:pPr>
      <w:numPr>
        <w:numId w:val="9"/>
      </w:numPr>
    </w:pPr>
    <w:rPr>
      <w:color w:val="699BFF" w:themeColor="accent2"/>
    </w:rPr>
  </w:style>
  <w:style w:type="paragraph" w:styleId="ListBullet4">
    <w:name w:val="List Bullet 4"/>
    <w:basedOn w:val="Normal"/>
    <w:uiPriority w:val="36"/>
    <w:unhideWhenUsed/>
    <w:pPr>
      <w:numPr>
        <w:numId w:val="10"/>
      </w:numPr>
    </w:pPr>
    <w:rPr>
      <w:caps/>
      <w:spacing w:val="4"/>
    </w:rPr>
  </w:style>
  <w:style w:type="paragraph" w:styleId="ListBullet5">
    <w:name w:val="List Bullet 5"/>
    <w:basedOn w:val="Normal"/>
    <w:uiPriority w:val="36"/>
    <w:unhideWhenUsed/>
    <w:pPr>
      <w:numPr>
        <w:numId w:val="11"/>
      </w:numPr>
    </w:pPr>
  </w:style>
  <w:style w:type="paragraph" w:styleId="ListParagraph">
    <w:name w:val="List Paragraph"/>
    <w:basedOn w:val="Normal"/>
    <w:uiPriority w:val="34"/>
    <w:qFormat/>
    <w:rsid w:val="00B871A4"/>
    <w:pPr>
      <w:ind w:left="720"/>
      <w:contextualSpacing/>
    </w:pPr>
  </w:style>
  <w:style w:type="numbering" w:customStyle="1" w:styleId="MedianListStyle">
    <w:name w:val="Median List Style"/>
    <w:uiPriority w:val="99"/>
    <w:pPr>
      <w:numPr>
        <w:numId w:val="6"/>
      </w:numPr>
    </w:pPr>
  </w:style>
  <w:style w:type="paragraph" w:styleId="NoSpacing">
    <w:name w:val="No Spacing"/>
    <w:basedOn w:val="Normal"/>
    <w:link w:val="NoSpacingChar"/>
    <w:uiPriority w:val="1"/>
    <w:qFormat/>
    <w:rsid w:val="00B871A4"/>
    <w:pPr>
      <w:spacing w:after="0" w:line="240" w:lineRule="auto"/>
    </w:pPr>
  </w:style>
  <w:style w:type="paragraph" w:styleId="Quote">
    <w:name w:val="Quote"/>
    <w:basedOn w:val="Normal"/>
    <w:next w:val="Normal"/>
    <w:link w:val="QuoteChar"/>
    <w:uiPriority w:val="29"/>
    <w:qFormat/>
    <w:rsid w:val="00B871A4"/>
    <w:rPr>
      <w:i/>
      <w:iCs/>
    </w:rPr>
  </w:style>
  <w:style w:type="character" w:customStyle="1" w:styleId="QuoteChar">
    <w:name w:val="Quote Char"/>
    <w:basedOn w:val="DefaultParagraphFont"/>
    <w:link w:val="Quote"/>
    <w:uiPriority w:val="29"/>
    <w:rsid w:val="00B871A4"/>
    <w:rPr>
      <w:i/>
      <w:iCs/>
    </w:rPr>
  </w:style>
  <w:style w:type="character" w:styleId="Strong">
    <w:name w:val="Strong"/>
    <w:uiPriority w:val="22"/>
    <w:qFormat/>
    <w:rsid w:val="00B871A4"/>
    <w:rPr>
      <w:b/>
      <w:bCs/>
      <w:color w:val="0E5EFF" w:themeColor="accent2" w:themeShade="BF"/>
      <w:spacing w:val="5"/>
    </w:rPr>
  </w:style>
  <w:style w:type="character" w:styleId="SubtleEmphasis">
    <w:name w:val="Subtle Emphasis"/>
    <w:uiPriority w:val="19"/>
    <w:qFormat/>
    <w:rsid w:val="00B871A4"/>
    <w:rPr>
      <w:i/>
      <w:iCs/>
    </w:rPr>
  </w:style>
  <w:style w:type="character" w:styleId="SubtleReference">
    <w:name w:val="Subtle Reference"/>
    <w:basedOn w:val="DefaultParagraphFont"/>
    <w:uiPriority w:val="31"/>
    <w:qFormat/>
    <w:rsid w:val="00B871A4"/>
    <w:rPr>
      <w:rFonts w:asciiTheme="minorHAnsi" w:eastAsiaTheme="minorEastAsia" w:hAnsiTheme="minorHAnsi" w:cstheme="minorBidi"/>
      <w:i/>
      <w:iCs/>
      <w:color w:val="003BB3" w:themeColor="accent2" w:themeShade="7F"/>
    </w:rPr>
  </w:style>
  <w:style w:type="table" w:styleId="TableGrid">
    <w:name w:val="Table Grid"/>
    <w:basedOn w:val="TableNormal"/>
    <w:pPr>
      <w:spacing w:after="0" w:line="240" w:lineRule="auto"/>
    </w:pPr>
    <w:rPr>
      <w:rFonts w:cs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Authorities">
    <w:name w:val="table of authorities"/>
    <w:basedOn w:val="Normal"/>
    <w:next w:val="Normal"/>
    <w:uiPriority w:val="99"/>
    <w:semiHidden/>
    <w:unhideWhenUsed/>
    <w:pPr>
      <w:ind w:left="220" w:hanging="220"/>
    </w:pPr>
  </w:style>
  <w:style w:type="paragraph" w:styleId="TOC1">
    <w:name w:val="toc 1"/>
    <w:basedOn w:val="Normal"/>
    <w:next w:val="Normal"/>
    <w:autoRedefine/>
    <w:uiPriority w:val="39"/>
    <w:unhideWhenUsed/>
    <w:rsid w:val="00736698"/>
    <w:pPr>
      <w:tabs>
        <w:tab w:val="right" w:leader="dot" w:pos="8630"/>
      </w:tabs>
      <w:spacing w:before="180" w:after="40" w:line="240" w:lineRule="auto"/>
    </w:pPr>
    <w:rPr>
      <w:b/>
      <w:caps/>
      <w:noProof/>
      <w:color w:val="003192" w:themeColor="text2"/>
    </w:rPr>
  </w:style>
  <w:style w:type="paragraph" w:styleId="TOC2">
    <w:name w:val="toc 2"/>
    <w:basedOn w:val="Normal"/>
    <w:next w:val="Normal"/>
    <w:autoRedefine/>
    <w:uiPriority w:val="39"/>
    <w:unhideWhenUsed/>
    <w:rsid w:val="00690857"/>
    <w:pPr>
      <w:tabs>
        <w:tab w:val="right" w:leader="dot" w:pos="8630"/>
      </w:tabs>
      <w:spacing w:after="40" w:line="240" w:lineRule="auto"/>
      <w:ind w:left="144"/>
    </w:pPr>
    <w:rPr>
      <w:noProof/>
    </w:rPr>
  </w:style>
  <w:style w:type="paragraph" w:styleId="TOC3">
    <w:name w:val="toc 3"/>
    <w:basedOn w:val="Normal"/>
    <w:next w:val="Normal"/>
    <w:autoRedefine/>
    <w:uiPriority w:val="39"/>
    <w:unhideWhenUsed/>
    <w:rsid w:val="00776D16"/>
    <w:pPr>
      <w:tabs>
        <w:tab w:val="right" w:leader="dot" w:pos="8630"/>
      </w:tabs>
      <w:spacing w:after="40" w:line="240" w:lineRule="auto"/>
      <w:ind w:left="288"/>
    </w:pPr>
    <w:rPr>
      <w:noProof/>
    </w:rPr>
  </w:style>
  <w:style w:type="paragraph" w:styleId="TOC4">
    <w:name w:val="toc 4"/>
    <w:basedOn w:val="Normal"/>
    <w:next w:val="Normal"/>
    <w:autoRedefine/>
    <w:uiPriority w:val="39"/>
    <w:unhideWhenUsed/>
    <w:pPr>
      <w:tabs>
        <w:tab w:val="right" w:leader="dot" w:pos="8630"/>
      </w:tabs>
      <w:spacing w:after="40" w:line="240" w:lineRule="auto"/>
      <w:ind w:left="432"/>
    </w:pPr>
    <w:rPr>
      <w:noProof/>
    </w:rPr>
  </w:style>
  <w:style w:type="paragraph" w:styleId="TOC5">
    <w:name w:val="toc 5"/>
    <w:basedOn w:val="Normal"/>
    <w:next w:val="Normal"/>
    <w:autoRedefine/>
    <w:uiPriority w:val="39"/>
    <w:unhideWhenUsed/>
    <w:pPr>
      <w:tabs>
        <w:tab w:val="right" w:leader="dot" w:pos="8630"/>
      </w:tabs>
      <w:spacing w:after="40" w:line="240" w:lineRule="auto"/>
      <w:ind w:left="576"/>
    </w:pPr>
    <w:rPr>
      <w:noProof/>
    </w:rPr>
  </w:style>
  <w:style w:type="paragraph" w:styleId="TOC6">
    <w:name w:val="toc 6"/>
    <w:basedOn w:val="Normal"/>
    <w:next w:val="Normal"/>
    <w:autoRedefine/>
    <w:uiPriority w:val="39"/>
    <w:unhideWhenUsed/>
    <w:pPr>
      <w:tabs>
        <w:tab w:val="right" w:leader="dot" w:pos="8630"/>
      </w:tabs>
      <w:spacing w:after="40" w:line="240" w:lineRule="auto"/>
      <w:ind w:left="720"/>
    </w:pPr>
    <w:rPr>
      <w:noProof/>
    </w:rPr>
  </w:style>
  <w:style w:type="paragraph" w:styleId="TOC7">
    <w:name w:val="toc 7"/>
    <w:basedOn w:val="Normal"/>
    <w:next w:val="Normal"/>
    <w:autoRedefine/>
    <w:uiPriority w:val="39"/>
    <w:unhideWhenUsed/>
    <w:pPr>
      <w:tabs>
        <w:tab w:val="right" w:leader="dot" w:pos="8630"/>
      </w:tabs>
      <w:spacing w:after="40" w:line="240" w:lineRule="auto"/>
      <w:ind w:left="864"/>
    </w:pPr>
    <w:rPr>
      <w:noProof/>
    </w:rPr>
  </w:style>
  <w:style w:type="paragraph" w:styleId="TOC8">
    <w:name w:val="toc 8"/>
    <w:basedOn w:val="Normal"/>
    <w:next w:val="Normal"/>
    <w:autoRedefine/>
    <w:uiPriority w:val="39"/>
    <w:unhideWhenUsed/>
    <w:pPr>
      <w:tabs>
        <w:tab w:val="right" w:leader="dot" w:pos="8630"/>
      </w:tabs>
      <w:spacing w:after="40" w:line="240" w:lineRule="auto"/>
      <w:ind w:left="1008"/>
    </w:pPr>
    <w:rPr>
      <w:noProof/>
    </w:rPr>
  </w:style>
  <w:style w:type="paragraph" w:styleId="TOC9">
    <w:name w:val="toc 9"/>
    <w:basedOn w:val="Normal"/>
    <w:next w:val="Normal"/>
    <w:autoRedefine/>
    <w:uiPriority w:val="39"/>
    <w:unhideWhenUsed/>
    <w:pPr>
      <w:tabs>
        <w:tab w:val="right" w:leader="dot" w:pos="8630"/>
      </w:tabs>
      <w:spacing w:after="40" w:line="240" w:lineRule="auto"/>
      <w:ind w:left="1152"/>
    </w:pPr>
    <w:rPr>
      <w:noProof/>
    </w:rPr>
  </w:style>
  <w:style w:type="character" w:customStyle="1" w:styleId="NoSpacingChar">
    <w:name w:val="No Spacing Char"/>
    <w:basedOn w:val="DefaultParagraphFont"/>
    <w:link w:val="NoSpacing"/>
    <w:uiPriority w:val="1"/>
    <w:rsid w:val="00B871A4"/>
  </w:style>
  <w:style w:type="paragraph" w:customStyle="1" w:styleId="HeaderEven">
    <w:name w:val="Header Even"/>
    <w:basedOn w:val="Normal"/>
    <w:uiPriority w:val="39"/>
    <w:semiHidden/>
    <w:unhideWhenUsed/>
    <w:pPr>
      <w:pBdr>
        <w:bottom w:val="single" w:sz="4" w:space="1" w:color="69B220" w:themeColor="accent1"/>
      </w:pBdr>
      <w:spacing w:after="0" w:line="240" w:lineRule="auto"/>
    </w:pPr>
    <w:rPr>
      <w:rFonts w:eastAsia="Times New Roman"/>
      <w:b/>
      <w:color w:val="003192" w:themeColor="text2"/>
      <w:sz w:val="20"/>
      <w:szCs w:val="24"/>
      <w:lang w:eastAsia="ko-KR"/>
    </w:rPr>
  </w:style>
  <w:style w:type="paragraph" w:customStyle="1" w:styleId="FooterEven">
    <w:name w:val="Footer Even"/>
    <w:basedOn w:val="Normal"/>
    <w:uiPriority w:val="49"/>
    <w:semiHidden/>
    <w:unhideWhenUsed/>
    <w:pPr>
      <w:pBdr>
        <w:top w:val="single" w:sz="4" w:space="1" w:color="69B220" w:themeColor="accent1"/>
      </w:pBdr>
    </w:pPr>
    <w:rPr>
      <w:color w:val="003192" w:themeColor="text2"/>
      <w:sz w:val="20"/>
    </w:rPr>
  </w:style>
  <w:style w:type="paragraph" w:customStyle="1" w:styleId="HeaderOdd">
    <w:name w:val="Header Odd"/>
    <w:basedOn w:val="Normal"/>
    <w:uiPriority w:val="39"/>
    <w:semiHidden/>
    <w:unhideWhenUsed/>
    <w:pPr>
      <w:pBdr>
        <w:bottom w:val="single" w:sz="4" w:space="1" w:color="69B220" w:themeColor="accent1"/>
      </w:pBdr>
      <w:spacing w:after="0" w:line="240" w:lineRule="auto"/>
      <w:jc w:val="right"/>
    </w:pPr>
    <w:rPr>
      <w:rFonts w:eastAsia="Times New Roman"/>
      <w:b/>
      <w:color w:val="003192" w:themeColor="text2"/>
      <w:sz w:val="20"/>
      <w:szCs w:val="24"/>
      <w:lang w:eastAsia="ko-KR"/>
    </w:rPr>
  </w:style>
  <w:style w:type="paragraph" w:customStyle="1" w:styleId="FooterOdd">
    <w:name w:val="Footer Odd"/>
    <w:basedOn w:val="Normal"/>
    <w:uiPriority w:val="39"/>
    <w:semiHidden/>
    <w:unhideWhenUsed/>
    <w:pPr>
      <w:pBdr>
        <w:top w:val="single" w:sz="4" w:space="1" w:color="69B220" w:themeColor="accent1"/>
      </w:pBdr>
      <w:jc w:val="right"/>
    </w:pPr>
    <w:rPr>
      <w:color w:val="003192" w:themeColor="text2"/>
      <w:sz w:val="20"/>
    </w:rPr>
  </w:style>
  <w:style w:type="paragraph" w:styleId="FootnoteText">
    <w:name w:val="footnote text"/>
    <w:basedOn w:val="Normal"/>
    <w:link w:val="FootnoteTextChar"/>
    <w:unhideWhenUsed/>
    <w:rsid w:val="00A57EB8"/>
    <w:pPr>
      <w:spacing w:after="0" w:line="240" w:lineRule="auto"/>
    </w:pPr>
    <w:rPr>
      <w:sz w:val="20"/>
    </w:rPr>
  </w:style>
  <w:style w:type="character" w:customStyle="1" w:styleId="FootnoteTextChar">
    <w:name w:val="Footnote Text Char"/>
    <w:basedOn w:val="DefaultParagraphFont"/>
    <w:link w:val="FootnoteText"/>
    <w:rsid w:val="00A57EB8"/>
    <w:rPr>
      <w:rFonts w:cs="Times New Roman"/>
      <w:sz w:val="20"/>
      <w:szCs w:val="20"/>
      <w:lang w:eastAsia="ja-JP"/>
    </w:rPr>
  </w:style>
  <w:style w:type="character" w:styleId="FootnoteReference">
    <w:name w:val="footnote reference"/>
    <w:basedOn w:val="DefaultParagraphFont"/>
    <w:uiPriority w:val="99"/>
    <w:semiHidden/>
    <w:unhideWhenUsed/>
    <w:rsid w:val="00A57EB8"/>
    <w:rPr>
      <w:vertAlign w:val="superscript"/>
    </w:rPr>
  </w:style>
  <w:style w:type="paragraph" w:styleId="TOCHeading">
    <w:name w:val="TOC Heading"/>
    <w:basedOn w:val="Heading1"/>
    <w:next w:val="Normal"/>
    <w:uiPriority w:val="39"/>
    <w:unhideWhenUsed/>
    <w:qFormat/>
    <w:rsid w:val="00B871A4"/>
    <w:pPr>
      <w:outlineLvl w:val="9"/>
    </w:pPr>
    <w:rPr>
      <w:lang w:bidi="en-US"/>
    </w:rPr>
  </w:style>
  <w:style w:type="character" w:styleId="CommentReference">
    <w:name w:val="annotation reference"/>
    <w:basedOn w:val="DefaultParagraphFont"/>
    <w:uiPriority w:val="99"/>
    <w:semiHidden/>
    <w:unhideWhenUsed/>
    <w:rsid w:val="00DD40B1"/>
    <w:rPr>
      <w:sz w:val="16"/>
      <w:szCs w:val="16"/>
    </w:rPr>
  </w:style>
  <w:style w:type="paragraph" w:styleId="CommentText">
    <w:name w:val="annotation text"/>
    <w:basedOn w:val="Normal"/>
    <w:link w:val="CommentTextChar"/>
    <w:uiPriority w:val="99"/>
    <w:unhideWhenUsed/>
    <w:rsid w:val="00DD40B1"/>
    <w:pPr>
      <w:spacing w:line="240" w:lineRule="auto"/>
    </w:pPr>
    <w:rPr>
      <w:sz w:val="20"/>
    </w:rPr>
  </w:style>
  <w:style w:type="character" w:customStyle="1" w:styleId="CommentTextChar">
    <w:name w:val="Comment Text Char"/>
    <w:basedOn w:val="DefaultParagraphFont"/>
    <w:link w:val="CommentText"/>
    <w:uiPriority w:val="99"/>
    <w:rsid w:val="00DD40B1"/>
    <w:rPr>
      <w:rFonts w:cs="Times New Roman"/>
      <w:sz w:val="20"/>
      <w:szCs w:val="20"/>
      <w:lang w:eastAsia="ja-JP"/>
    </w:rPr>
  </w:style>
  <w:style w:type="paragraph" w:styleId="CommentSubject">
    <w:name w:val="annotation subject"/>
    <w:basedOn w:val="CommentText"/>
    <w:next w:val="CommentText"/>
    <w:link w:val="CommentSubjectChar"/>
    <w:semiHidden/>
    <w:unhideWhenUsed/>
    <w:rsid w:val="00DD40B1"/>
    <w:rPr>
      <w:b/>
      <w:bCs/>
    </w:rPr>
  </w:style>
  <w:style w:type="character" w:customStyle="1" w:styleId="CommentSubjectChar">
    <w:name w:val="Comment Subject Char"/>
    <w:basedOn w:val="CommentTextChar"/>
    <w:link w:val="CommentSubject"/>
    <w:semiHidden/>
    <w:rsid w:val="00DD40B1"/>
    <w:rPr>
      <w:rFonts w:cs="Times New Roman"/>
      <w:b/>
      <w:bCs/>
      <w:sz w:val="20"/>
      <w:szCs w:val="20"/>
      <w:lang w:eastAsia="ja-JP"/>
    </w:rPr>
  </w:style>
  <w:style w:type="paragraph" w:styleId="ListNumber">
    <w:name w:val="List Number"/>
    <w:basedOn w:val="Normal"/>
    <w:uiPriority w:val="99"/>
    <w:unhideWhenUsed/>
    <w:rsid w:val="00F01FE9"/>
    <w:pPr>
      <w:numPr>
        <w:numId w:val="12"/>
      </w:numPr>
      <w:spacing w:before="200" w:line="276" w:lineRule="auto"/>
      <w:contextualSpacing/>
    </w:pPr>
    <w:rPr>
      <w:rFonts w:eastAsiaTheme="minorEastAsia" w:cstheme="minorBidi"/>
      <w:sz w:val="20"/>
    </w:rPr>
  </w:style>
  <w:style w:type="paragraph" w:styleId="TableofFigures">
    <w:name w:val="table of figures"/>
    <w:basedOn w:val="Normal"/>
    <w:next w:val="Normal"/>
    <w:uiPriority w:val="99"/>
    <w:unhideWhenUsed/>
    <w:rsid w:val="00F01FE9"/>
    <w:pPr>
      <w:tabs>
        <w:tab w:val="right" w:leader="dot" w:pos="9350"/>
      </w:tabs>
      <w:spacing w:before="200" w:line="276" w:lineRule="auto"/>
    </w:pPr>
    <w:rPr>
      <w:rFonts w:eastAsiaTheme="minorEastAsia" w:cstheme="minorBidi"/>
      <w:noProof/>
      <w:sz w:val="20"/>
    </w:rPr>
  </w:style>
  <w:style w:type="paragraph" w:customStyle="1" w:styleId="NormalCitation">
    <w:name w:val="Normal Citation"/>
    <w:basedOn w:val="Normal"/>
    <w:rsid w:val="00F01FE9"/>
    <w:pPr>
      <w:spacing w:before="200" w:line="276" w:lineRule="auto"/>
      <w:ind w:left="720" w:hanging="720"/>
    </w:pPr>
    <w:rPr>
      <w:rFonts w:eastAsiaTheme="minorEastAsia" w:cstheme="minorBidi"/>
      <w:sz w:val="20"/>
    </w:rPr>
  </w:style>
  <w:style w:type="table" w:styleId="MediumGrid3-Accent1">
    <w:name w:val="Medium Grid 3 Accent 1"/>
    <w:basedOn w:val="TableNormal"/>
    <w:uiPriority w:val="69"/>
    <w:rsid w:val="00F01FE9"/>
    <w:pPr>
      <w:spacing w:after="0" w:line="240" w:lineRule="auto"/>
    </w:pPr>
    <w:rPr>
      <w:rFonts w:eastAsiaTheme="minorEastAsi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F3C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9B22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9B22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9B22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9B22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3E880"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3E880" w:themeFill="accent1" w:themeFillTint="7F"/>
      </w:tcPr>
    </w:tblStylePr>
  </w:style>
  <w:style w:type="paragraph" w:styleId="BodyText">
    <w:name w:val="Body Text"/>
    <w:basedOn w:val="Normal"/>
    <w:link w:val="BodyTextChar"/>
    <w:rsid w:val="00600B3C"/>
    <w:pPr>
      <w:spacing w:after="0" w:line="240" w:lineRule="auto"/>
    </w:pPr>
    <w:rPr>
      <w:rFonts w:ascii="Times New Roman" w:eastAsia="Times New Roman" w:hAnsi="Times New Roman" w:cs="Times New Roman"/>
      <w:sz w:val="20"/>
      <w:szCs w:val="24"/>
    </w:rPr>
  </w:style>
  <w:style w:type="character" w:customStyle="1" w:styleId="BodyTextChar">
    <w:name w:val="Body Text Char"/>
    <w:basedOn w:val="DefaultParagraphFont"/>
    <w:link w:val="BodyText"/>
    <w:rsid w:val="00600B3C"/>
    <w:rPr>
      <w:rFonts w:ascii="Times New Roman" w:eastAsia="Times New Roman" w:hAnsi="Times New Roman" w:cs="Times New Roman"/>
      <w:sz w:val="20"/>
      <w:szCs w:val="24"/>
    </w:rPr>
  </w:style>
  <w:style w:type="paragraph" w:customStyle="1" w:styleId="xl31">
    <w:name w:val="xl31"/>
    <w:basedOn w:val="Normal"/>
    <w:rsid w:val="00600B3C"/>
    <w:pPr>
      <w:pBdr>
        <w:left w:val="doub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rPr>
  </w:style>
  <w:style w:type="paragraph" w:customStyle="1" w:styleId="xl28">
    <w:name w:val="xl28"/>
    <w:basedOn w:val="Normal"/>
    <w:rsid w:val="00600B3C"/>
    <w:pPr>
      <w:pBdr>
        <w:left w:val="doub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styleId="BodyText3">
    <w:name w:val="Body Text 3"/>
    <w:basedOn w:val="Normal"/>
    <w:link w:val="BodyText3Char"/>
    <w:rsid w:val="00600B3C"/>
    <w:pPr>
      <w:spacing w:after="0" w:line="240" w:lineRule="auto"/>
      <w:jc w:val="center"/>
    </w:pPr>
    <w:rPr>
      <w:rFonts w:ascii="Times New Roman" w:eastAsia="Times New Roman" w:hAnsi="Times New Roman" w:cs="Times New Roman"/>
      <w:b/>
      <w:bCs/>
      <w:sz w:val="20"/>
      <w:szCs w:val="24"/>
    </w:rPr>
  </w:style>
  <w:style w:type="character" w:customStyle="1" w:styleId="BodyText3Char">
    <w:name w:val="Body Text 3 Char"/>
    <w:basedOn w:val="DefaultParagraphFont"/>
    <w:link w:val="BodyText3"/>
    <w:rsid w:val="00600B3C"/>
    <w:rPr>
      <w:rFonts w:ascii="Times New Roman" w:eastAsia="Times New Roman" w:hAnsi="Times New Roman" w:cs="Times New Roman"/>
      <w:b/>
      <w:bCs/>
      <w:sz w:val="20"/>
      <w:szCs w:val="24"/>
    </w:rPr>
  </w:style>
  <w:style w:type="paragraph" w:styleId="BodyText2">
    <w:name w:val="Body Text 2"/>
    <w:basedOn w:val="Normal"/>
    <w:link w:val="BodyText2Char"/>
    <w:rsid w:val="00600B3C"/>
    <w:pPr>
      <w:spacing w:after="0" w:line="240" w:lineRule="auto"/>
    </w:pPr>
    <w:rPr>
      <w:rFonts w:ascii="Times New Roman" w:eastAsia="Times New Roman" w:hAnsi="Times New Roman" w:cs="Times New Roman"/>
      <w:sz w:val="20"/>
      <w:szCs w:val="24"/>
    </w:rPr>
  </w:style>
  <w:style w:type="character" w:customStyle="1" w:styleId="BodyText2Char">
    <w:name w:val="Body Text 2 Char"/>
    <w:basedOn w:val="DefaultParagraphFont"/>
    <w:link w:val="BodyText2"/>
    <w:rsid w:val="00600B3C"/>
    <w:rPr>
      <w:rFonts w:ascii="Times New Roman" w:eastAsia="Times New Roman" w:hAnsi="Times New Roman" w:cs="Times New Roman"/>
      <w:sz w:val="20"/>
      <w:szCs w:val="24"/>
    </w:rPr>
  </w:style>
  <w:style w:type="paragraph" w:styleId="BodyTextIndent">
    <w:name w:val="Body Text Indent"/>
    <w:basedOn w:val="Normal"/>
    <w:link w:val="BodyTextIndentChar"/>
    <w:rsid w:val="00600B3C"/>
    <w:pPr>
      <w:spacing w:after="0" w:line="240" w:lineRule="auto"/>
      <w:ind w:firstLine="720"/>
    </w:pPr>
    <w:rPr>
      <w:rFonts w:ascii="Times New Roman" w:eastAsia="Times New Roman" w:hAnsi="Times New Roman" w:cs="Times New Roman"/>
      <w:sz w:val="20"/>
      <w:szCs w:val="24"/>
    </w:rPr>
  </w:style>
  <w:style w:type="character" w:customStyle="1" w:styleId="BodyTextIndentChar">
    <w:name w:val="Body Text Indent Char"/>
    <w:basedOn w:val="DefaultParagraphFont"/>
    <w:link w:val="BodyTextIndent"/>
    <w:rsid w:val="00600B3C"/>
    <w:rPr>
      <w:rFonts w:ascii="Times New Roman" w:eastAsia="Times New Roman" w:hAnsi="Times New Roman" w:cs="Times New Roman"/>
      <w:sz w:val="20"/>
      <w:szCs w:val="24"/>
    </w:rPr>
  </w:style>
  <w:style w:type="character" w:styleId="PageNumber">
    <w:name w:val="page number"/>
    <w:basedOn w:val="DefaultParagraphFont"/>
    <w:rsid w:val="00600B3C"/>
  </w:style>
  <w:style w:type="paragraph" w:styleId="BodyTextIndent2">
    <w:name w:val="Body Text Indent 2"/>
    <w:basedOn w:val="Normal"/>
    <w:link w:val="BodyTextIndent2Char"/>
    <w:rsid w:val="00600B3C"/>
    <w:pPr>
      <w:spacing w:after="0" w:line="240" w:lineRule="auto"/>
      <w:ind w:firstLine="360"/>
    </w:pPr>
    <w:rPr>
      <w:rFonts w:ascii="Times New Roman" w:eastAsia="Times New Roman" w:hAnsi="Times New Roman" w:cs="Times New Roman"/>
      <w:sz w:val="20"/>
      <w:szCs w:val="24"/>
    </w:rPr>
  </w:style>
  <w:style w:type="character" w:customStyle="1" w:styleId="BodyTextIndent2Char">
    <w:name w:val="Body Text Indent 2 Char"/>
    <w:basedOn w:val="DefaultParagraphFont"/>
    <w:link w:val="BodyTextIndent2"/>
    <w:rsid w:val="00600B3C"/>
    <w:rPr>
      <w:rFonts w:ascii="Times New Roman" w:eastAsia="Times New Roman" w:hAnsi="Times New Roman" w:cs="Times New Roman"/>
      <w:sz w:val="20"/>
      <w:szCs w:val="24"/>
    </w:rPr>
  </w:style>
  <w:style w:type="paragraph" w:styleId="BodyTextIndent3">
    <w:name w:val="Body Text Indent 3"/>
    <w:basedOn w:val="Normal"/>
    <w:link w:val="BodyTextIndent3Char"/>
    <w:rsid w:val="00600B3C"/>
    <w:pPr>
      <w:spacing w:after="0" w:line="240" w:lineRule="auto"/>
      <w:ind w:firstLine="720"/>
    </w:pPr>
    <w:rPr>
      <w:rFonts w:ascii="Times New Roman" w:eastAsia="Times New Roman" w:hAnsi="Times New Roman" w:cs="Times New Roman"/>
      <w:sz w:val="24"/>
      <w:szCs w:val="24"/>
    </w:rPr>
  </w:style>
  <w:style w:type="character" w:customStyle="1" w:styleId="BodyTextIndent3Char">
    <w:name w:val="Body Text Indent 3 Char"/>
    <w:basedOn w:val="DefaultParagraphFont"/>
    <w:link w:val="BodyTextIndent3"/>
    <w:rsid w:val="00600B3C"/>
    <w:rPr>
      <w:rFonts w:ascii="Times New Roman" w:eastAsia="Times New Roman" w:hAnsi="Times New Roman" w:cs="Times New Roman"/>
      <w:sz w:val="24"/>
      <w:szCs w:val="24"/>
    </w:rPr>
  </w:style>
  <w:style w:type="paragraph" w:customStyle="1" w:styleId="xl26">
    <w:name w:val="xl26"/>
    <w:basedOn w:val="Normal"/>
    <w:rsid w:val="00600B3C"/>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7">
    <w:name w:val="xl27"/>
    <w:basedOn w:val="Normal"/>
    <w:rsid w:val="00600B3C"/>
    <w:pPr>
      <w:pBdr>
        <w:left w:val="double" w:sz="6" w:space="0" w:color="auto"/>
        <w:right w:val="single" w:sz="4" w:space="0" w:color="auto"/>
      </w:pBdr>
      <w:shd w:val="clear" w:color="auto" w:fill="FFF4C8"/>
      <w:spacing w:before="100" w:beforeAutospacing="1" w:after="100" w:afterAutospacing="1" w:line="240" w:lineRule="auto"/>
      <w:textAlignment w:val="top"/>
    </w:pPr>
    <w:rPr>
      <w:rFonts w:ascii="Garamond" w:eastAsia="Times New Roman" w:hAnsi="Garamond" w:cs="Times New Roman"/>
      <w:sz w:val="24"/>
      <w:szCs w:val="24"/>
    </w:rPr>
  </w:style>
  <w:style w:type="paragraph" w:customStyle="1" w:styleId="xl29">
    <w:name w:val="xl29"/>
    <w:basedOn w:val="Normal"/>
    <w:rsid w:val="00600B3C"/>
    <w:pPr>
      <w:pBdr>
        <w:top w:val="single" w:sz="4" w:space="0" w:color="auto"/>
        <w:left w:val="single" w:sz="4" w:space="0" w:color="auto"/>
        <w:right w:val="single" w:sz="4" w:space="0" w:color="auto"/>
      </w:pBdr>
      <w:shd w:val="clear" w:color="auto" w:fill="FFF4C8"/>
      <w:spacing w:before="100" w:beforeAutospacing="1" w:after="100" w:afterAutospacing="1" w:line="240" w:lineRule="auto"/>
      <w:jc w:val="right"/>
    </w:pPr>
    <w:rPr>
      <w:rFonts w:ascii="Garamond" w:eastAsia="Times New Roman" w:hAnsi="Garamond" w:cs="Times New Roman"/>
      <w:sz w:val="24"/>
      <w:szCs w:val="24"/>
    </w:rPr>
  </w:style>
  <w:style w:type="paragraph" w:customStyle="1" w:styleId="xl30">
    <w:name w:val="xl30"/>
    <w:basedOn w:val="Normal"/>
    <w:rsid w:val="00600B3C"/>
    <w:pPr>
      <w:pBdr>
        <w:top w:val="double" w:sz="6" w:space="0" w:color="auto"/>
        <w:left w:val="single" w:sz="4" w:space="0" w:color="auto"/>
        <w:right w:val="single" w:sz="4" w:space="0" w:color="auto"/>
      </w:pBdr>
      <w:shd w:val="clear" w:color="auto" w:fill="FFF4C8"/>
      <w:spacing w:before="100" w:beforeAutospacing="1" w:after="100" w:afterAutospacing="1" w:line="240" w:lineRule="auto"/>
      <w:jc w:val="right"/>
      <w:textAlignment w:val="top"/>
    </w:pPr>
    <w:rPr>
      <w:rFonts w:ascii="Garamond" w:eastAsia="Times New Roman" w:hAnsi="Garamond" w:cs="Times New Roman"/>
      <w:sz w:val="24"/>
      <w:szCs w:val="24"/>
    </w:rPr>
  </w:style>
  <w:style w:type="paragraph" w:customStyle="1" w:styleId="xl32">
    <w:name w:val="xl32"/>
    <w:basedOn w:val="Normal"/>
    <w:rsid w:val="00600B3C"/>
    <w:pPr>
      <w:pBdr>
        <w:right w:val="double" w:sz="6" w:space="0" w:color="auto"/>
      </w:pBdr>
      <w:shd w:val="clear" w:color="auto" w:fill="FFF4C8"/>
      <w:spacing w:before="100" w:beforeAutospacing="1" w:after="100" w:afterAutospacing="1" w:line="240" w:lineRule="auto"/>
      <w:jc w:val="right"/>
      <w:textAlignment w:val="top"/>
    </w:pPr>
    <w:rPr>
      <w:rFonts w:ascii="Garamond" w:eastAsia="Times New Roman" w:hAnsi="Garamond" w:cs="Times New Roman"/>
      <w:sz w:val="24"/>
      <w:szCs w:val="24"/>
    </w:rPr>
  </w:style>
  <w:style w:type="paragraph" w:customStyle="1" w:styleId="xl33">
    <w:name w:val="xl33"/>
    <w:basedOn w:val="Normal"/>
    <w:rsid w:val="00600B3C"/>
    <w:pPr>
      <w:pBdr>
        <w:left w:val="double" w:sz="6" w:space="0" w:color="auto"/>
        <w:right w:val="single" w:sz="4" w:space="0" w:color="auto"/>
      </w:pBdr>
      <w:shd w:val="clear" w:color="auto" w:fill="FFFFFF"/>
      <w:spacing w:before="100" w:beforeAutospacing="1" w:after="100" w:afterAutospacing="1" w:line="240" w:lineRule="auto"/>
      <w:textAlignment w:val="top"/>
    </w:pPr>
    <w:rPr>
      <w:rFonts w:ascii="Garamond" w:eastAsia="Times New Roman" w:hAnsi="Garamond" w:cs="Times New Roman"/>
      <w:sz w:val="24"/>
      <w:szCs w:val="24"/>
    </w:rPr>
  </w:style>
  <w:style w:type="paragraph" w:customStyle="1" w:styleId="xl34">
    <w:name w:val="xl34"/>
    <w:basedOn w:val="Normal"/>
    <w:rsid w:val="00600B3C"/>
    <w:pPr>
      <w:pBdr>
        <w:right w:val="single" w:sz="4" w:space="0" w:color="auto"/>
      </w:pBdr>
      <w:shd w:val="clear" w:color="auto" w:fill="FFFFFF"/>
      <w:spacing w:before="100" w:beforeAutospacing="1" w:after="100" w:afterAutospacing="1" w:line="240" w:lineRule="auto"/>
      <w:jc w:val="right"/>
      <w:textAlignment w:val="top"/>
    </w:pPr>
    <w:rPr>
      <w:rFonts w:ascii="Garamond" w:eastAsia="Times New Roman" w:hAnsi="Garamond" w:cs="Times New Roman"/>
      <w:sz w:val="24"/>
      <w:szCs w:val="24"/>
    </w:rPr>
  </w:style>
  <w:style w:type="paragraph" w:customStyle="1" w:styleId="xl35">
    <w:name w:val="xl35"/>
    <w:basedOn w:val="Normal"/>
    <w:rsid w:val="00600B3C"/>
    <w:pPr>
      <w:pBdr>
        <w:left w:val="single" w:sz="4" w:space="0" w:color="auto"/>
        <w:right w:val="single" w:sz="4" w:space="0" w:color="auto"/>
      </w:pBdr>
      <w:shd w:val="clear" w:color="auto" w:fill="FFFFFF"/>
      <w:spacing w:before="100" w:beforeAutospacing="1" w:after="100" w:afterAutospacing="1" w:line="240" w:lineRule="auto"/>
      <w:jc w:val="right"/>
    </w:pPr>
    <w:rPr>
      <w:rFonts w:ascii="Garamond" w:eastAsia="Times New Roman" w:hAnsi="Garamond" w:cs="Times New Roman"/>
      <w:sz w:val="24"/>
      <w:szCs w:val="24"/>
    </w:rPr>
  </w:style>
  <w:style w:type="paragraph" w:customStyle="1" w:styleId="xl36">
    <w:name w:val="xl36"/>
    <w:basedOn w:val="Normal"/>
    <w:rsid w:val="00600B3C"/>
    <w:pPr>
      <w:pBdr>
        <w:left w:val="single" w:sz="4" w:space="0" w:color="auto"/>
        <w:right w:val="single" w:sz="4" w:space="0" w:color="auto"/>
      </w:pBdr>
      <w:shd w:val="clear" w:color="auto" w:fill="FFFFFF"/>
      <w:spacing w:before="100" w:beforeAutospacing="1" w:after="100" w:afterAutospacing="1" w:line="240" w:lineRule="auto"/>
      <w:jc w:val="right"/>
      <w:textAlignment w:val="top"/>
    </w:pPr>
    <w:rPr>
      <w:rFonts w:ascii="Garamond" w:eastAsia="Times New Roman" w:hAnsi="Garamond" w:cs="Times New Roman"/>
      <w:sz w:val="24"/>
      <w:szCs w:val="24"/>
    </w:rPr>
  </w:style>
  <w:style w:type="paragraph" w:customStyle="1" w:styleId="xl37">
    <w:name w:val="xl37"/>
    <w:basedOn w:val="Normal"/>
    <w:rsid w:val="00600B3C"/>
    <w:pPr>
      <w:pBdr>
        <w:left w:val="single" w:sz="4" w:space="0" w:color="auto"/>
        <w:right w:val="single" w:sz="4" w:space="0" w:color="auto"/>
      </w:pBdr>
      <w:shd w:val="clear" w:color="auto" w:fill="FFFFFF"/>
      <w:spacing w:before="100" w:beforeAutospacing="1" w:after="100" w:afterAutospacing="1" w:line="240" w:lineRule="auto"/>
      <w:jc w:val="right"/>
      <w:textAlignment w:val="top"/>
    </w:pPr>
    <w:rPr>
      <w:rFonts w:ascii="Garamond" w:eastAsia="Times New Roman" w:hAnsi="Garamond" w:cs="Times New Roman"/>
      <w:sz w:val="24"/>
      <w:szCs w:val="24"/>
    </w:rPr>
  </w:style>
  <w:style w:type="paragraph" w:customStyle="1" w:styleId="xl38">
    <w:name w:val="xl38"/>
    <w:basedOn w:val="Normal"/>
    <w:rsid w:val="00600B3C"/>
    <w:pPr>
      <w:pBdr>
        <w:right w:val="double" w:sz="6" w:space="0" w:color="auto"/>
      </w:pBdr>
      <w:shd w:val="clear" w:color="auto" w:fill="FFFFFF"/>
      <w:spacing w:before="100" w:beforeAutospacing="1" w:after="100" w:afterAutospacing="1" w:line="240" w:lineRule="auto"/>
      <w:jc w:val="right"/>
      <w:textAlignment w:val="top"/>
    </w:pPr>
    <w:rPr>
      <w:rFonts w:ascii="Garamond" w:eastAsia="Times New Roman" w:hAnsi="Garamond" w:cs="Times New Roman"/>
      <w:sz w:val="24"/>
      <w:szCs w:val="24"/>
    </w:rPr>
  </w:style>
  <w:style w:type="paragraph" w:customStyle="1" w:styleId="xl39">
    <w:name w:val="xl39"/>
    <w:basedOn w:val="Normal"/>
    <w:rsid w:val="00600B3C"/>
    <w:pPr>
      <w:pBdr>
        <w:left w:val="single" w:sz="4" w:space="0" w:color="auto"/>
        <w:right w:val="single" w:sz="4" w:space="0" w:color="auto"/>
      </w:pBdr>
      <w:shd w:val="clear" w:color="auto" w:fill="FFF4C8"/>
      <w:spacing w:before="100" w:beforeAutospacing="1" w:after="100" w:afterAutospacing="1" w:line="240" w:lineRule="auto"/>
      <w:jc w:val="right"/>
    </w:pPr>
    <w:rPr>
      <w:rFonts w:ascii="Garamond" w:eastAsia="Times New Roman" w:hAnsi="Garamond" w:cs="Times New Roman"/>
      <w:sz w:val="24"/>
      <w:szCs w:val="24"/>
    </w:rPr>
  </w:style>
  <w:style w:type="paragraph" w:customStyle="1" w:styleId="xl40">
    <w:name w:val="xl40"/>
    <w:basedOn w:val="Normal"/>
    <w:rsid w:val="00600B3C"/>
    <w:pPr>
      <w:pBdr>
        <w:left w:val="single" w:sz="4" w:space="0" w:color="auto"/>
        <w:right w:val="single" w:sz="4" w:space="0" w:color="auto"/>
      </w:pBdr>
      <w:shd w:val="clear" w:color="auto" w:fill="FFF4C8"/>
      <w:spacing w:before="100" w:beforeAutospacing="1" w:after="100" w:afterAutospacing="1" w:line="240" w:lineRule="auto"/>
      <w:jc w:val="right"/>
      <w:textAlignment w:val="top"/>
    </w:pPr>
    <w:rPr>
      <w:rFonts w:ascii="Garamond" w:eastAsia="Times New Roman" w:hAnsi="Garamond" w:cs="Times New Roman"/>
      <w:sz w:val="24"/>
      <w:szCs w:val="24"/>
    </w:rPr>
  </w:style>
  <w:style w:type="paragraph" w:customStyle="1" w:styleId="xl41">
    <w:name w:val="xl41"/>
    <w:basedOn w:val="Normal"/>
    <w:rsid w:val="00600B3C"/>
    <w:pPr>
      <w:pBdr>
        <w:left w:val="single" w:sz="4" w:space="0" w:color="auto"/>
        <w:right w:val="single" w:sz="4" w:space="0" w:color="auto"/>
      </w:pBdr>
      <w:shd w:val="clear" w:color="auto" w:fill="FFF4C8"/>
      <w:spacing w:before="100" w:beforeAutospacing="1" w:after="100" w:afterAutospacing="1" w:line="240" w:lineRule="auto"/>
      <w:jc w:val="right"/>
      <w:textAlignment w:val="top"/>
    </w:pPr>
    <w:rPr>
      <w:rFonts w:ascii="Garamond" w:eastAsia="Times New Roman" w:hAnsi="Garamond" w:cs="Times New Roman"/>
      <w:sz w:val="24"/>
      <w:szCs w:val="24"/>
    </w:rPr>
  </w:style>
  <w:style w:type="paragraph" w:customStyle="1" w:styleId="xl42">
    <w:name w:val="xl42"/>
    <w:basedOn w:val="Normal"/>
    <w:rsid w:val="00600B3C"/>
    <w:pPr>
      <w:pBdr>
        <w:right w:val="single" w:sz="4" w:space="0" w:color="auto"/>
      </w:pBdr>
      <w:shd w:val="clear" w:color="auto" w:fill="FFFFFF"/>
      <w:spacing w:before="100" w:beforeAutospacing="1" w:after="100" w:afterAutospacing="1" w:line="240" w:lineRule="auto"/>
      <w:jc w:val="right"/>
      <w:textAlignment w:val="top"/>
    </w:pPr>
    <w:rPr>
      <w:rFonts w:ascii="Garamond" w:eastAsia="Times New Roman" w:hAnsi="Garamond" w:cs="Times New Roman"/>
      <w:sz w:val="24"/>
      <w:szCs w:val="24"/>
    </w:rPr>
  </w:style>
  <w:style w:type="paragraph" w:customStyle="1" w:styleId="xl43">
    <w:name w:val="xl43"/>
    <w:basedOn w:val="Normal"/>
    <w:rsid w:val="00600B3C"/>
    <w:pPr>
      <w:pBdr>
        <w:left w:val="double" w:sz="6" w:space="0" w:color="auto"/>
        <w:right w:val="single" w:sz="4" w:space="0" w:color="auto"/>
      </w:pBdr>
      <w:shd w:val="clear" w:color="auto" w:fill="FFFFFF"/>
      <w:spacing w:before="100" w:beforeAutospacing="1" w:after="100" w:afterAutospacing="1" w:line="240" w:lineRule="auto"/>
      <w:textAlignment w:val="top"/>
    </w:pPr>
    <w:rPr>
      <w:rFonts w:ascii="Garamond" w:eastAsia="Times New Roman" w:hAnsi="Garamond" w:cs="Times New Roman"/>
      <w:sz w:val="24"/>
      <w:szCs w:val="24"/>
    </w:rPr>
  </w:style>
  <w:style w:type="paragraph" w:customStyle="1" w:styleId="xl44">
    <w:name w:val="xl44"/>
    <w:basedOn w:val="Normal"/>
    <w:rsid w:val="00600B3C"/>
    <w:pPr>
      <w:pBdr>
        <w:right w:val="single" w:sz="4" w:space="0" w:color="auto"/>
      </w:pBdr>
      <w:shd w:val="clear" w:color="auto" w:fill="FFFFFF"/>
      <w:spacing w:before="100" w:beforeAutospacing="1" w:after="100" w:afterAutospacing="1" w:line="240" w:lineRule="auto"/>
      <w:jc w:val="center"/>
      <w:textAlignment w:val="top"/>
    </w:pPr>
    <w:rPr>
      <w:rFonts w:ascii="Garamond" w:eastAsia="Times New Roman" w:hAnsi="Garamond" w:cs="Times New Roman"/>
      <w:sz w:val="24"/>
      <w:szCs w:val="24"/>
    </w:rPr>
  </w:style>
  <w:style w:type="paragraph" w:customStyle="1" w:styleId="xl45">
    <w:name w:val="xl45"/>
    <w:basedOn w:val="Normal"/>
    <w:rsid w:val="00600B3C"/>
    <w:pPr>
      <w:pBdr>
        <w:left w:val="single" w:sz="4" w:space="0" w:color="auto"/>
        <w:right w:val="single" w:sz="4" w:space="0" w:color="auto"/>
      </w:pBdr>
      <w:shd w:val="clear" w:color="auto" w:fill="FFFFFF"/>
      <w:spacing w:before="100" w:beforeAutospacing="1" w:after="100" w:afterAutospacing="1" w:line="240" w:lineRule="auto"/>
      <w:jc w:val="center"/>
      <w:textAlignment w:val="top"/>
    </w:pPr>
    <w:rPr>
      <w:rFonts w:ascii="Garamond" w:eastAsia="Times New Roman" w:hAnsi="Garamond" w:cs="Times New Roman"/>
      <w:sz w:val="24"/>
      <w:szCs w:val="24"/>
    </w:rPr>
  </w:style>
  <w:style w:type="paragraph" w:customStyle="1" w:styleId="xl46">
    <w:name w:val="xl46"/>
    <w:basedOn w:val="Normal"/>
    <w:rsid w:val="00600B3C"/>
    <w:pPr>
      <w:pBdr>
        <w:left w:val="single" w:sz="4" w:space="0" w:color="auto"/>
        <w:right w:val="single" w:sz="4" w:space="0" w:color="auto"/>
      </w:pBdr>
      <w:shd w:val="clear" w:color="auto" w:fill="FFFFFF"/>
      <w:spacing w:before="100" w:beforeAutospacing="1" w:after="100" w:afterAutospacing="1" w:line="240" w:lineRule="auto"/>
      <w:jc w:val="center"/>
      <w:textAlignment w:val="top"/>
    </w:pPr>
    <w:rPr>
      <w:rFonts w:ascii="Garamond" w:eastAsia="Times New Roman" w:hAnsi="Garamond" w:cs="Times New Roman"/>
      <w:sz w:val="24"/>
      <w:szCs w:val="24"/>
    </w:rPr>
  </w:style>
  <w:style w:type="paragraph" w:customStyle="1" w:styleId="xl47">
    <w:name w:val="xl47"/>
    <w:basedOn w:val="Normal"/>
    <w:rsid w:val="00600B3C"/>
    <w:pPr>
      <w:pBdr>
        <w:right w:val="double" w:sz="6" w:space="0" w:color="auto"/>
      </w:pBdr>
      <w:shd w:val="clear" w:color="auto" w:fill="FFFFFF"/>
      <w:spacing w:before="100" w:beforeAutospacing="1" w:after="100" w:afterAutospacing="1" w:line="240" w:lineRule="auto"/>
      <w:jc w:val="center"/>
      <w:textAlignment w:val="top"/>
    </w:pPr>
    <w:rPr>
      <w:rFonts w:ascii="Garamond" w:eastAsia="Times New Roman" w:hAnsi="Garamond" w:cs="Times New Roman"/>
      <w:sz w:val="24"/>
      <w:szCs w:val="24"/>
    </w:rPr>
  </w:style>
  <w:style w:type="paragraph" w:customStyle="1" w:styleId="xl48">
    <w:name w:val="xl48"/>
    <w:basedOn w:val="Normal"/>
    <w:rsid w:val="00600B3C"/>
    <w:pPr>
      <w:pBdr>
        <w:left w:val="double" w:sz="6" w:space="0" w:color="auto"/>
        <w:bottom w:val="double" w:sz="6" w:space="0" w:color="auto"/>
        <w:right w:val="single" w:sz="4" w:space="0" w:color="auto"/>
      </w:pBdr>
      <w:shd w:val="clear" w:color="auto" w:fill="FFFFFF"/>
      <w:spacing w:before="100" w:beforeAutospacing="1" w:after="100" w:afterAutospacing="1" w:line="240" w:lineRule="auto"/>
      <w:textAlignment w:val="top"/>
    </w:pPr>
    <w:rPr>
      <w:rFonts w:ascii="Garamond" w:eastAsia="Times New Roman" w:hAnsi="Garamond" w:cs="Times New Roman"/>
      <w:b/>
      <w:bCs/>
      <w:sz w:val="24"/>
      <w:szCs w:val="24"/>
    </w:rPr>
  </w:style>
  <w:style w:type="paragraph" w:customStyle="1" w:styleId="xl49">
    <w:name w:val="xl49"/>
    <w:basedOn w:val="Normal"/>
    <w:rsid w:val="00600B3C"/>
    <w:pPr>
      <w:pBdr>
        <w:bottom w:val="double" w:sz="6" w:space="0" w:color="auto"/>
        <w:right w:val="single" w:sz="4" w:space="0" w:color="auto"/>
      </w:pBdr>
      <w:shd w:val="clear" w:color="auto" w:fill="FFFFFF"/>
      <w:spacing w:before="100" w:beforeAutospacing="1" w:after="100" w:afterAutospacing="1" w:line="240" w:lineRule="auto"/>
      <w:jc w:val="center"/>
      <w:textAlignment w:val="top"/>
    </w:pPr>
    <w:rPr>
      <w:rFonts w:ascii="Garamond" w:eastAsia="Times New Roman" w:hAnsi="Garamond" w:cs="Times New Roman"/>
      <w:b/>
      <w:bCs/>
      <w:sz w:val="24"/>
      <w:szCs w:val="24"/>
    </w:rPr>
  </w:style>
  <w:style w:type="paragraph" w:customStyle="1" w:styleId="xl50">
    <w:name w:val="xl50"/>
    <w:basedOn w:val="Normal"/>
    <w:rsid w:val="00600B3C"/>
    <w:pPr>
      <w:pBdr>
        <w:left w:val="single" w:sz="4" w:space="0" w:color="auto"/>
        <w:bottom w:val="double" w:sz="6" w:space="0" w:color="auto"/>
        <w:right w:val="single" w:sz="4" w:space="0" w:color="auto"/>
      </w:pBdr>
      <w:shd w:val="clear" w:color="auto" w:fill="FFFFFF"/>
      <w:spacing w:before="100" w:beforeAutospacing="1" w:after="100" w:afterAutospacing="1" w:line="240" w:lineRule="auto"/>
      <w:jc w:val="center"/>
      <w:textAlignment w:val="top"/>
    </w:pPr>
    <w:rPr>
      <w:rFonts w:ascii="Garamond" w:eastAsia="Times New Roman" w:hAnsi="Garamond" w:cs="Times New Roman"/>
      <w:b/>
      <w:bCs/>
      <w:sz w:val="24"/>
      <w:szCs w:val="24"/>
    </w:rPr>
  </w:style>
  <w:style w:type="paragraph" w:customStyle="1" w:styleId="xl51">
    <w:name w:val="xl51"/>
    <w:basedOn w:val="Normal"/>
    <w:rsid w:val="00600B3C"/>
    <w:pPr>
      <w:pBdr>
        <w:left w:val="single" w:sz="4" w:space="0" w:color="auto"/>
        <w:bottom w:val="double" w:sz="6" w:space="0" w:color="auto"/>
        <w:right w:val="double" w:sz="6" w:space="0" w:color="auto"/>
      </w:pBdr>
      <w:shd w:val="clear" w:color="auto" w:fill="FFFFFF"/>
      <w:spacing w:before="100" w:beforeAutospacing="1" w:after="100" w:afterAutospacing="1" w:line="240" w:lineRule="auto"/>
      <w:jc w:val="center"/>
      <w:textAlignment w:val="top"/>
    </w:pPr>
    <w:rPr>
      <w:rFonts w:ascii="Garamond" w:eastAsia="Times New Roman" w:hAnsi="Garamond" w:cs="Times New Roman"/>
      <w:b/>
      <w:bCs/>
      <w:sz w:val="24"/>
      <w:szCs w:val="24"/>
    </w:rPr>
  </w:style>
  <w:style w:type="paragraph" w:customStyle="1" w:styleId="xl52">
    <w:name w:val="xl52"/>
    <w:basedOn w:val="Normal"/>
    <w:rsid w:val="00600B3C"/>
    <w:pPr>
      <w:pBdr>
        <w:top w:val="double" w:sz="6" w:space="0" w:color="auto"/>
      </w:pBdr>
      <w:shd w:val="clear" w:color="auto" w:fill="FFFFFF"/>
      <w:spacing w:before="100" w:beforeAutospacing="1" w:after="100" w:afterAutospacing="1" w:line="240" w:lineRule="auto"/>
      <w:textAlignment w:val="top"/>
    </w:pPr>
    <w:rPr>
      <w:rFonts w:ascii="Garamond" w:eastAsia="Times New Roman" w:hAnsi="Garamond" w:cs="Times New Roman"/>
      <w:sz w:val="24"/>
      <w:szCs w:val="24"/>
    </w:rPr>
  </w:style>
  <w:style w:type="paragraph" w:customStyle="1" w:styleId="xl53">
    <w:name w:val="xl53"/>
    <w:basedOn w:val="Normal"/>
    <w:rsid w:val="00600B3C"/>
    <w:pPr>
      <w:shd w:val="clear" w:color="auto" w:fill="FFFFFF"/>
      <w:spacing w:before="100" w:beforeAutospacing="1" w:after="100" w:afterAutospacing="1" w:line="240" w:lineRule="auto"/>
    </w:pPr>
    <w:rPr>
      <w:rFonts w:ascii="Garamond" w:eastAsia="Times New Roman" w:hAnsi="Garamond" w:cs="Times New Roman"/>
      <w:sz w:val="24"/>
      <w:szCs w:val="24"/>
    </w:rPr>
  </w:style>
  <w:style w:type="paragraph" w:customStyle="1" w:styleId="xl54">
    <w:name w:val="xl54"/>
    <w:basedOn w:val="Normal"/>
    <w:rsid w:val="00600B3C"/>
    <w:pPr>
      <w:shd w:val="clear" w:color="auto" w:fill="FFFFFF"/>
      <w:spacing w:before="100" w:beforeAutospacing="1" w:after="100" w:afterAutospacing="1" w:line="240" w:lineRule="auto"/>
      <w:textAlignment w:val="top"/>
    </w:pPr>
    <w:rPr>
      <w:rFonts w:ascii="Garamond" w:eastAsia="Times New Roman" w:hAnsi="Garamond" w:cs="Times New Roman"/>
      <w:sz w:val="24"/>
      <w:szCs w:val="24"/>
    </w:rPr>
  </w:style>
  <w:style w:type="paragraph" w:customStyle="1" w:styleId="xl55">
    <w:name w:val="xl55"/>
    <w:basedOn w:val="Normal"/>
    <w:rsid w:val="00600B3C"/>
    <w:pPr>
      <w:shd w:val="clear" w:color="auto" w:fill="FFFFFF"/>
      <w:spacing w:before="100" w:beforeAutospacing="1" w:after="100" w:afterAutospacing="1" w:line="240" w:lineRule="auto"/>
      <w:jc w:val="center"/>
    </w:pPr>
    <w:rPr>
      <w:rFonts w:ascii="Tahoma" w:eastAsia="Times New Roman" w:hAnsi="Tahoma" w:cs="Tahoma"/>
      <w:b/>
      <w:bCs/>
      <w:sz w:val="24"/>
      <w:szCs w:val="24"/>
    </w:rPr>
  </w:style>
  <w:style w:type="paragraph" w:customStyle="1" w:styleId="xl56">
    <w:name w:val="xl56"/>
    <w:basedOn w:val="Normal"/>
    <w:rsid w:val="00600B3C"/>
    <w:pPr>
      <w:pBdr>
        <w:top w:val="double" w:sz="6" w:space="0" w:color="auto"/>
        <w:left w:val="double" w:sz="6" w:space="0" w:color="auto"/>
        <w:bottom w:val="single" w:sz="4" w:space="0" w:color="auto"/>
        <w:right w:val="single" w:sz="4" w:space="0" w:color="auto"/>
      </w:pBdr>
      <w:shd w:val="clear" w:color="auto" w:fill="E5ECD6"/>
      <w:spacing w:before="100" w:beforeAutospacing="1" w:after="100" w:afterAutospacing="1" w:line="240" w:lineRule="auto"/>
    </w:pPr>
    <w:rPr>
      <w:rFonts w:ascii="Tahoma" w:eastAsia="Times New Roman" w:hAnsi="Tahoma" w:cs="Tahoma"/>
      <w:b/>
      <w:bCs/>
      <w:sz w:val="24"/>
      <w:szCs w:val="24"/>
    </w:rPr>
  </w:style>
  <w:style w:type="paragraph" w:customStyle="1" w:styleId="xl57">
    <w:name w:val="xl57"/>
    <w:basedOn w:val="Normal"/>
    <w:rsid w:val="00600B3C"/>
    <w:pPr>
      <w:pBdr>
        <w:top w:val="double" w:sz="6" w:space="0" w:color="auto"/>
        <w:left w:val="single" w:sz="4" w:space="0" w:color="auto"/>
        <w:bottom w:val="single" w:sz="4" w:space="0" w:color="auto"/>
        <w:right w:val="single" w:sz="4" w:space="0" w:color="auto"/>
      </w:pBdr>
      <w:shd w:val="clear" w:color="auto" w:fill="E5ECD6"/>
      <w:spacing w:before="100" w:beforeAutospacing="1" w:after="100" w:afterAutospacing="1" w:line="240" w:lineRule="auto"/>
      <w:jc w:val="center"/>
      <w:textAlignment w:val="top"/>
    </w:pPr>
    <w:rPr>
      <w:rFonts w:ascii="Tahoma" w:eastAsia="Times New Roman" w:hAnsi="Tahoma" w:cs="Tahoma"/>
      <w:b/>
      <w:bCs/>
      <w:sz w:val="24"/>
      <w:szCs w:val="24"/>
    </w:rPr>
  </w:style>
  <w:style w:type="paragraph" w:customStyle="1" w:styleId="xl58">
    <w:name w:val="xl58"/>
    <w:basedOn w:val="Normal"/>
    <w:rsid w:val="00600B3C"/>
    <w:pPr>
      <w:pBdr>
        <w:top w:val="double" w:sz="6" w:space="0" w:color="auto"/>
        <w:left w:val="single" w:sz="4" w:space="0" w:color="auto"/>
        <w:bottom w:val="single" w:sz="4" w:space="0" w:color="auto"/>
        <w:right w:val="double" w:sz="6" w:space="0" w:color="auto"/>
      </w:pBdr>
      <w:shd w:val="clear" w:color="auto" w:fill="E5ECD6"/>
      <w:spacing w:before="100" w:beforeAutospacing="1" w:after="100" w:afterAutospacing="1" w:line="240" w:lineRule="auto"/>
      <w:jc w:val="center"/>
      <w:textAlignment w:val="top"/>
    </w:pPr>
    <w:rPr>
      <w:rFonts w:ascii="Tahoma" w:eastAsia="Times New Roman" w:hAnsi="Tahoma" w:cs="Tahoma"/>
      <w:b/>
      <w:bCs/>
      <w:sz w:val="24"/>
      <w:szCs w:val="24"/>
    </w:rPr>
  </w:style>
  <w:style w:type="paragraph" w:customStyle="1" w:styleId="xl59">
    <w:name w:val="xl59"/>
    <w:basedOn w:val="Normal"/>
    <w:rsid w:val="00600B3C"/>
    <w:pPr>
      <w:pBdr>
        <w:top w:val="single" w:sz="4" w:space="0" w:color="auto"/>
        <w:left w:val="double" w:sz="6" w:space="0" w:color="auto"/>
        <w:bottom w:val="double" w:sz="6" w:space="0" w:color="auto"/>
        <w:right w:val="single" w:sz="4" w:space="0" w:color="auto"/>
      </w:pBdr>
      <w:shd w:val="clear" w:color="auto" w:fill="E5ECD6"/>
      <w:spacing w:before="100" w:beforeAutospacing="1" w:after="100" w:afterAutospacing="1" w:line="240" w:lineRule="auto"/>
    </w:pPr>
    <w:rPr>
      <w:rFonts w:ascii="Tahoma" w:eastAsia="Times New Roman" w:hAnsi="Tahoma" w:cs="Tahoma"/>
      <w:b/>
      <w:bCs/>
      <w:sz w:val="24"/>
      <w:szCs w:val="24"/>
    </w:rPr>
  </w:style>
  <w:style w:type="paragraph" w:customStyle="1" w:styleId="xl60">
    <w:name w:val="xl60"/>
    <w:basedOn w:val="Normal"/>
    <w:rsid w:val="00600B3C"/>
    <w:pPr>
      <w:pBdr>
        <w:top w:val="single" w:sz="4" w:space="0" w:color="auto"/>
        <w:left w:val="single" w:sz="4" w:space="0" w:color="auto"/>
        <w:bottom w:val="double" w:sz="6" w:space="0" w:color="auto"/>
        <w:right w:val="single" w:sz="4" w:space="0" w:color="auto"/>
      </w:pBdr>
      <w:shd w:val="clear" w:color="auto" w:fill="E5ECD6"/>
      <w:spacing w:before="100" w:beforeAutospacing="1" w:after="100" w:afterAutospacing="1" w:line="240" w:lineRule="auto"/>
      <w:jc w:val="center"/>
      <w:textAlignment w:val="top"/>
    </w:pPr>
    <w:rPr>
      <w:rFonts w:ascii="Tahoma" w:eastAsia="Times New Roman" w:hAnsi="Tahoma" w:cs="Tahoma"/>
      <w:b/>
      <w:bCs/>
      <w:sz w:val="24"/>
      <w:szCs w:val="24"/>
    </w:rPr>
  </w:style>
  <w:style w:type="paragraph" w:customStyle="1" w:styleId="xl61">
    <w:name w:val="xl61"/>
    <w:basedOn w:val="Normal"/>
    <w:rsid w:val="00600B3C"/>
    <w:pPr>
      <w:pBdr>
        <w:top w:val="single" w:sz="4" w:space="0" w:color="auto"/>
        <w:left w:val="single" w:sz="4" w:space="0" w:color="auto"/>
        <w:bottom w:val="double" w:sz="6" w:space="0" w:color="auto"/>
        <w:right w:val="double" w:sz="6" w:space="0" w:color="auto"/>
      </w:pBdr>
      <w:shd w:val="clear" w:color="auto" w:fill="E5ECD6"/>
      <w:spacing w:before="100" w:beforeAutospacing="1" w:after="100" w:afterAutospacing="1" w:line="240" w:lineRule="auto"/>
      <w:jc w:val="center"/>
      <w:textAlignment w:val="top"/>
    </w:pPr>
    <w:rPr>
      <w:rFonts w:ascii="Tahoma" w:eastAsia="Times New Roman" w:hAnsi="Tahoma" w:cs="Tahoma"/>
      <w:b/>
      <w:bCs/>
      <w:sz w:val="24"/>
      <w:szCs w:val="24"/>
    </w:rPr>
  </w:style>
  <w:style w:type="paragraph" w:customStyle="1" w:styleId="xl62">
    <w:name w:val="xl62"/>
    <w:basedOn w:val="Normal"/>
    <w:rsid w:val="00600B3C"/>
    <w:pPr>
      <w:pBdr>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4"/>
      <w:szCs w:val="4"/>
    </w:rPr>
  </w:style>
  <w:style w:type="paragraph" w:customStyle="1" w:styleId="xl63">
    <w:name w:val="xl63"/>
    <w:basedOn w:val="Normal"/>
    <w:rsid w:val="00600B3C"/>
    <w:pPr>
      <w:pBdr>
        <w:left w:val="single" w:sz="4" w:space="0" w:color="auto"/>
        <w:right w:val="double" w:sz="6" w:space="0" w:color="auto"/>
      </w:pBdr>
      <w:shd w:val="clear" w:color="auto" w:fill="FFFFFF"/>
      <w:spacing w:before="100" w:beforeAutospacing="1" w:after="100" w:afterAutospacing="1" w:line="240" w:lineRule="auto"/>
    </w:pPr>
    <w:rPr>
      <w:rFonts w:ascii="Times New Roman" w:eastAsia="Times New Roman" w:hAnsi="Times New Roman" w:cs="Times New Roman"/>
      <w:sz w:val="4"/>
      <w:szCs w:val="4"/>
    </w:rPr>
  </w:style>
  <w:style w:type="paragraph" w:customStyle="1" w:styleId="xl64">
    <w:name w:val="xl64"/>
    <w:basedOn w:val="Normal"/>
    <w:rsid w:val="00600B3C"/>
    <w:pPr>
      <w:pBdr>
        <w:left w:val="single" w:sz="4" w:space="0" w:color="auto"/>
        <w:bottom w:val="double" w:sz="6" w:space="0" w:color="auto"/>
        <w:right w:val="single" w:sz="4" w:space="0" w:color="auto"/>
      </w:pBdr>
      <w:shd w:val="clear" w:color="000000" w:fill="FFF4C8"/>
      <w:spacing w:before="100" w:beforeAutospacing="1" w:after="100" w:afterAutospacing="1" w:line="240" w:lineRule="auto"/>
      <w:jc w:val="center"/>
      <w:textAlignment w:val="top"/>
    </w:pPr>
    <w:rPr>
      <w:rFonts w:ascii="Book Antiqua" w:eastAsia="Times New Roman" w:hAnsi="Book Antiqua" w:cs="Times New Roman"/>
      <w:color w:val="000000"/>
      <w:sz w:val="24"/>
      <w:szCs w:val="24"/>
    </w:rPr>
  </w:style>
  <w:style w:type="paragraph" w:customStyle="1" w:styleId="xl65">
    <w:name w:val="xl65"/>
    <w:basedOn w:val="Normal"/>
    <w:rsid w:val="00600B3C"/>
    <w:pPr>
      <w:pBdr>
        <w:left w:val="single" w:sz="4" w:space="0" w:color="auto"/>
        <w:bottom w:val="double" w:sz="6" w:space="0" w:color="auto"/>
        <w:right w:val="double" w:sz="6" w:space="0" w:color="auto"/>
      </w:pBdr>
      <w:shd w:val="clear" w:color="000000" w:fill="FFF4C8"/>
      <w:spacing w:before="100" w:beforeAutospacing="1" w:after="100" w:afterAutospacing="1" w:line="240" w:lineRule="auto"/>
      <w:textAlignment w:val="top"/>
    </w:pPr>
    <w:rPr>
      <w:rFonts w:ascii="Book Antiqua" w:eastAsia="Times New Roman" w:hAnsi="Book Antiqua" w:cs="Times New Roman"/>
      <w:color w:val="000000"/>
      <w:sz w:val="24"/>
      <w:szCs w:val="24"/>
    </w:rPr>
  </w:style>
  <w:style w:type="paragraph" w:customStyle="1" w:styleId="xl66">
    <w:name w:val="xl66"/>
    <w:basedOn w:val="Normal"/>
    <w:rsid w:val="00600B3C"/>
    <w:pPr>
      <w:pBdr>
        <w:top w:val="double" w:sz="6" w:space="0" w:color="auto"/>
        <w:left w:val="double" w:sz="6" w:space="0" w:color="auto"/>
        <w:right w:val="single" w:sz="4" w:space="0" w:color="auto"/>
      </w:pBdr>
      <w:shd w:val="clear" w:color="000000" w:fill="FFF4C8"/>
      <w:spacing w:before="100" w:beforeAutospacing="1" w:after="100" w:afterAutospacing="1" w:line="240" w:lineRule="auto"/>
      <w:textAlignment w:val="top"/>
    </w:pPr>
    <w:rPr>
      <w:rFonts w:ascii="Book Antiqua" w:eastAsia="Times New Roman" w:hAnsi="Book Antiqua" w:cs="Times New Roman"/>
      <w:color w:val="000000"/>
      <w:sz w:val="24"/>
      <w:szCs w:val="24"/>
    </w:rPr>
  </w:style>
  <w:style w:type="paragraph" w:customStyle="1" w:styleId="xl67">
    <w:name w:val="xl67"/>
    <w:basedOn w:val="Normal"/>
    <w:rsid w:val="00600B3C"/>
    <w:pPr>
      <w:pBdr>
        <w:top w:val="double" w:sz="6" w:space="0" w:color="auto"/>
        <w:left w:val="single" w:sz="4" w:space="0" w:color="auto"/>
        <w:right w:val="single" w:sz="4" w:space="0" w:color="auto"/>
      </w:pBdr>
      <w:shd w:val="clear" w:color="000000" w:fill="FFF4C8"/>
      <w:spacing w:before="100" w:beforeAutospacing="1" w:after="100" w:afterAutospacing="1" w:line="240" w:lineRule="auto"/>
      <w:textAlignment w:val="top"/>
    </w:pPr>
    <w:rPr>
      <w:rFonts w:ascii="Book Antiqua" w:eastAsia="Times New Roman" w:hAnsi="Book Antiqua" w:cs="Times New Roman"/>
      <w:color w:val="000000"/>
      <w:sz w:val="24"/>
      <w:szCs w:val="24"/>
    </w:rPr>
  </w:style>
  <w:style w:type="paragraph" w:customStyle="1" w:styleId="xl68">
    <w:name w:val="xl68"/>
    <w:basedOn w:val="Normal"/>
    <w:rsid w:val="00600B3C"/>
    <w:pPr>
      <w:pBdr>
        <w:top w:val="double" w:sz="6" w:space="0" w:color="auto"/>
        <w:left w:val="single" w:sz="4" w:space="0" w:color="auto"/>
        <w:right w:val="single" w:sz="4" w:space="0" w:color="auto"/>
      </w:pBdr>
      <w:shd w:val="clear" w:color="000000" w:fill="FFF4C8"/>
      <w:spacing w:before="100" w:beforeAutospacing="1" w:after="100" w:afterAutospacing="1" w:line="240" w:lineRule="auto"/>
      <w:jc w:val="center"/>
      <w:textAlignment w:val="top"/>
    </w:pPr>
    <w:rPr>
      <w:rFonts w:ascii="Book Antiqua" w:eastAsia="Times New Roman" w:hAnsi="Book Antiqua" w:cs="Times New Roman"/>
      <w:color w:val="000000"/>
      <w:sz w:val="24"/>
      <w:szCs w:val="24"/>
    </w:rPr>
  </w:style>
  <w:style w:type="paragraph" w:customStyle="1" w:styleId="xl69">
    <w:name w:val="xl69"/>
    <w:basedOn w:val="Normal"/>
    <w:rsid w:val="00600B3C"/>
    <w:pPr>
      <w:pBdr>
        <w:top w:val="double" w:sz="6" w:space="0" w:color="auto"/>
        <w:left w:val="single" w:sz="4" w:space="0" w:color="auto"/>
        <w:right w:val="double" w:sz="6" w:space="0" w:color="auto"/>
      </w:pBdr>
      <w:shd w:val="clear" w:color="000000" w:fill="FFF4C8"/>
      <w:spacing w:before="100" w:beforeAutospacing="1" w:after="100" w:afterAutospacing="1" w:line="240" w:lineRule="auto"/>
      <w:textAlignment w:val="top"/>
    </w:pPr>
    <w:rPr>
      <w:rFonts w:ascii="Book Antiqua" w:eastAsia="Times New Roman" w:hAnsi="Book Antiqua" w:cs="Times New Roman"/>
      <w:color w:val="000000"/>
      <w:sz w:val="24"/>
      <w:szCs w:val="24"/>
    </w:rPr>
  </w:style>
  <w:style w:type="paragraph" w:customStyle="1" w:styleId="xl70">
    <w:name w:val="xl70"/>
    <w:basedOn w:val="Normal"/>
    <w:rsid w:val="00600B3C"/>
    <w:pPr>
      <w:pBdr>
        <w:left w:val="double" w:sz="6" w:space="0" w:color="auto"/>
        <w:bottom w:val="single" w:sz="4" w:space="0" w:color="auto"/>
        <w:right w:val="single" w:sz="4" w:space="0" w:color="auto"/>
      </w:pBdr>
      <w:shd w:val="clear" w:color="000000" w:fill="FFF4C8"/>
      <w:spacing w:before="100" w:beforeAutospacing="1" w:after="100" w:afterAutospacing="1" w:line="240" w:lineRule="auto"/>
      <w:textAlignment w:val="top"/>
    </w:pPr>
    <w:rPr>
      <w:rFonts w:ascii="Book Antiqua" w:eastAsia="Times New Roman" w:hAnsi="Book Antiqua" w:cs="Times New Roman"/>
      <w:color w:val="000000"/>
      <w:sz w:val="24"/>
      <w:szCs w:val="24"/>
    </w:rPr>
  </w:style>
  <w:style w:type="paragraph" w:customStyle="1" w:styleId="xl71">
    <w:name w:val="xl71"/>
    <w:basedOn w:val="Normal"/>
    <w:rsid w:val="00600B3C"/>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line="240" w:lineRule="auto"/>
    </w:pPr>
    <w:rPr>
      <w:rFonts w:ascii="Book Antiqua" w:eastAsia="Times New Roman" w:hAnsi="Book Antiqua" w:cs="Times New Roman"/>
      <w:sz w:val="24"/>
      <w:szCs w:val="24"/>
    </w:rPr>
  </w:style>
  <w:style w:type="paragraph" w:customStyle="1" w:styleId="xl72">
    <w:name w:val="xl72"/>
    <w:basedOn w:val="Normal"/>
    <w:rsid w:val="00600B3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Book Antiqua" w:eastAsia="Times New Roman" w:hAnsi="Book Antiqua" w:cs="Times New Roman"/>
      <w:sz w:val="24"/>
      <w:szCs w:val="24"/>
    </w:rPr>
  </w:style>
  <w:style w:type="paragraph" w:customStyle="1" w:styleId="xl73">
    <w:name w:val="xl73"/>
    <w:basedOn w:val="Normal"/>
    <w:rsid w:val="00600B3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Book Antiqua" w:eastAsia="Times New Roman" w:hAnsi="Book Antiqua" w:cs="Times New Roman"/>
      <w:sz w:val="24"/>
      <w:szCs w:val="24"/>
    </w:rPr>
  </w:style>
  <w:style w:type="paragraph" w:customStyle="1" w:styleId="xl74">
    <w:name w:val="xl74"/>
    <w:basedOn w:val="Normal"/>
    <w:rsid w:val="00600B3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 Antiqua" w:eastAsia="Times New Roman" w:hAnsi="Book Antiqua" w:cs="Times New Roman"/>
      <w:sz w:val="24"/>
      <w:szCs w:val="24"/>
    </w:rPr>
  </w:style>
  <w:style w:type="paragraph" w:customStyle="1" w:styleId="xl75">
    <w:name w:val="xl75"/>
    <w:basedOn w:val="Normal"/>
    <w:rsid w:val="00600B3C"/>
    <w:pPr>
      <w:pBdr>
        <w:top w:val="single" w:sz="4" w:space="0" w:color="auto"/>
        <w:left w:val="single" w:sz="4" w:space="0" w:color="auto"/>
        <w:bottom w:val="single" w:sz="4" w:space="0" w:color="auto"/>
        <w:right w:val="double" w:sz="6" w:space="0" w:color="auto"/>
      </w:pBdr>
      <w:shd w:val="clear" w:color="auto" w:fill="FFFFFF"/>
      <w:spacing w:before="100" w:beforeAutospacing="1" w:after="100" w:afterAutospacing="1" w:line="240" w:lineRule="auto"/>
    </w:pPr>
    <w:rPr>
      <w:rFonts w:ascii="Book Antiqua" w:eastAsia="Times New Roman" w:hAnsi="Book Antiqua" w:cs="Times New Roman"/>
      <w:sz w:val="24"/>
      <w:szCs w:val="24"/>
    </w:rPr>
  </w:style>
  <w:style w:type="paragraph" w:customStyle="1" w:styleId="xl76">
    <w:name w:val="xl76"/>
    <w:basedOn w:val="Normal"/>
    <w:rsid w:val="00600B3C"/>
    <w:pPr>
      <w:pBdr>
        <w:left w:val="double" w:sz="6" w:space="0" w:color="auto"/>
        <w:right w:val="single" w:sz="4" w:space="0" w:color="auto"/>
      </w:pBdr>
      <w:shd w:val="clear" w:color="000000" w:fill="FFF4C8"/>
      <w:spacing w:before="100" w:beforeAutospacing="1" w:after="100" w:afterAutospacing="1" w:line="240" w:lineRule="auto"/>
      <w:textAlignment w:val="top"/>
    </w:pPr>
    <w:rPr>
      <w:rFonts w:ascii="Book Antiqua" w:eastAsia="Times New Roman" w:hAnsi="Book Antiqua" w:cs="Times New Roman"/>
      <w:color w:val="000000"/>
      <w:sz w:val="24"/>
      <w:szCs w:val="24"/>
    </w:rPr>
  </w:style>
  <w:style w:type="paragraph" w:customStyle="1" w:styleId="xl77">
    <w:name w:val="xl77"/>
    <w:basedOn w:val="Normal"/>
    <w:rsid w:val="00600B3C"/>
    <w:pPr>
      <w:pBdr>
        <w:top w:val="single" w:sz="4" w:space="0" w:color="auto"/>
        <w:left w:val="double" w:sz="6" w:space="0" w:color="auto"/>
        <w:right w:val="single" w:sz="4" w:space="0" w:color="auto"/>
      </w:pBdr>
      <w:shd w:val="clear" w:color="000000" w:fill="FFFFFF"/>
      <w:spacing w:before="100" w:beforeAutospacing="1" w:after="100" w:afterAutospacing="1" w:line="240" w:lineRule="auto"/>
      <w:textAlignment w:val="top"/>
    </w:pPr>
    <w:rPr>
      <w:rFonts w:ascii="Book Antiqua" w:eastAsia="Times New Roman" w:hAnsi="Book Antiqua" w:cs="Times New Roman"/>
      <w:color w:val="000000"/>
      <w:sz w:val="24"/>
      <w:szCs w:val="24"/>
    </w:rPr>
  </w:style>
  <w:style w:type="paragraph" w:customStyle="1" w:styleId="xl78">
    <w:name w:val="xl78"/>
    <w:basedOn w:val="Normal"/>
    <w:rsid w:val="00600B3C"/>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top"/>
    </w:pPr>
    <w:rPr>
      <w:rFonts w:ascii="Book Antiqua" w:eastAsia="Times New Roman" w:hAnsi="Book Antiqua" w:cs="Times New Roman"/>
      <w:color w:val="000000"/>
      <w:sz w:val="24"/>
      <w:szCs w:val="24"/>
    </w:rPr>
  </w:style>
  <w:style w:type="paragraph" w:customStyle="1" w:styleId="xl79">
    <w:name w:val="xl79"/>
    <w:basedOn w:val="Normal"/>
    <w:rsid w:val="00600B3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Book Antiqua" w:eastAsia="Times New Roman" w:hAnsi="Book Antiqua" w:cs="Times New Roman"/>
      <w:color w:val="000000"/>
      <w:sz w:val="24"/>
      <w:szCs w:val="24"/>
    </w:rPr>
  </w:style>
  <w:style w:type="paragraph" w:customStyle="1" w:styleId="xl80">
    <w:name w:val="xl80"/>
    <w:basedOn w:val="Normal"/>
    <w:rsid w:val="00600B3C"/>
    <w:pPr>
      <w:pBdr>
        <w:top w:val="single" w:sz="4" w:space="0" w:color="auto"/>
        <w:left w:val="single" w:sz="4" w:space="0" w:color="auto"/>
        <w:right w:val="double" w:sz="6" w:space="0" w:color="auto"/>
      </w:pBdr>
      <w:shd w:val="clear" w:color="000000" w:fill="FFFFFF"/>
      <w:spacing w:before="100" w:beforeAutospacing="1" w:after="100" w:afterAutospacing="1" w:line="240" w:lineRule="auto"/>
      <w:textAlignment w:val="top"/>
    </w:pPr>
    <w:rPr>
      <w:rFonts w:ascii="Book Antiqua" w:eastAsia="Times New Roman" w:hAnsi="Book Antiqua" w:cs="Times New Roman"/>
      <w:color w:val="000000"/>
      <w:sz w:val="24"/>
      <w:szCs w:val="24"/>
    </w:rPr>
  </w:style>
  <w:style w:type="paragraph" w:customStyle="1" w:styleId="xl81">
    <w:name w:val="xl81"/>
    <w:basedOn w:val="Normal"/>
    <w:rsid w:val="00600B3C"/>
    <w:pPr>
      <w:shd w:val="clear" w:color="auto" w:fill="FFFFFF"/>
      <w:spacing w:before="100" w:beforeAutospacing="1" w:after="100" w:afterAutospacing="1" w:line="240" w:lineRule="auto"/>
      <w:jc w:val="center"/>
    </w:pPr>
    <w:rPr>
      <w:rFonts w:ascii="Tahoma" w:eastAsia="Times New Roman" w:hAnsi="Tahoma" w:cs="Tahoma"/>
      <w:sz w:val="4"/>
      <w:szCs w:val="4"/>
    </w:rPr>
  </w:style>
  <w:style w:type="paragraph" w:customStyle="1" w:styleId="xl82">
    <w:name w:val="xl82"/>
    <w:basedOn w:val="Normal"/>
    <w:rsid w:val="00600B3C"/>
    <w:pPr>
      <w:pBdr>
        <w:top w:val="double" w:sz="6" w:space="0" w:color="auto"/>
        <w:left w:val="double" w:sz="6" w:space="0" w:color="auto"/>
        <w:bottom w:val="double" w:sz="6" w:space="0" w:color="auto"/>
        <w:right w:val="single" w:sz="4" w:space="0" w:color="auto"/>
      </w:pBdr>
      <w:shd w:val="clear" w:color="auto" w:fill="E5ECD6"/>
      <w:spacing w:before="100" w:beforeAutospacing="1" w:after="100" w:afterAutospacing="1" w:line="240" w:lineRule="auto"/>
    </w:pPr>
    <w:rPr>
      <w:rFonts w:ascii="Tahoma" w:eastAsia="Times New Roman" w:hAnsi="Tahoma" w:cs="Tahoma"/>
      <w:b/>
      <w:bCs/>
      <w:color w:val="000000"/>
      <w:sz w:val="24"/>
      <w:szCs w:val="24"/>
    </w:rPr>
  </w:style>
  <w:style w:type="paragraph" w:customStyle="1" w:styleId="xl83">
    <w:name w:val="xl83"/>
    <w:basedOn w:val="Normal"/>
    <w:rsid w:val="00600B3C"/>
    <w:pPr>
      <w:pBdr>
        <w:top w:val="double" w:sz="6" w:space="0" w:color="auto"/>
        <w:left w:val="single" w:sz="4" w:space="0" w:color="auto"/>
        <w:bottom w:val="double" w:sz="6" w:space="0" w:color="auto"/>
        <w:right w:val="single" w:sz="4" w:space="0" w:color="auto"/>
      </w:pBdr>
      <w:shd w:val="clear" w:color="auto" w:fill="E5ECD6"/>
      <w:spacing w:before="100" w:beforeAutospacing="1" w:after="100" w:afterAutospacing="1" w:line="240" w:lineRule="auto"/>
      <w:jc w:val="center"/>
    </w:pPr>
    <w:rPr>
      <w:rFonts w:ascii="Tahoma" w:eastAsia="Times New Roman" w:hAnsi="Tahoma" w:cs="Tahoma"/>
      <w:b/>
      <w:bCs/>
      <w:color w:val="000000"/>
      <w:sz w:val="24"/>
      <w:szCs w:val="24"/>
    </w:rPr>
  </w:style>
  <w:style w:type="paragraph" w:customStyle="1" w:styleId="xl84">
    <w:name w:val="xl84"/>
    <w:basedOn w:val="Normal"/>
    <w:rsid w:val="00600B3C"/>
    <w:pPr>
      <w:shd w:val="clear" w:color="auto" w:fill="FFFFFF"/>
      <w:spacing w:before="100" w:beforeAutospacing="1" w:after="100" w:afterAutospacing="1" w:line="240" w:lineRule="auto"/>
    </w:pPr>
    <w:rPr>
      <w:rFonts w:ascii="Tahoma" w:eastAsia="Times New Roman" w:hAnsi="Tahoma" w:cs="Tahoma"/>
      <w:sz w:val="4"/>
      <w:szCs w:val="4"/>
    </w:rPr>
  </w:style>
  <w:style w:type="paragraph" w:customStyle="1" w:styleId="xl85">
    <w:name w:val="xl85"/>
    <w:basedOn w:val="Normal"/>
    <w:rsid w:val="00600B3C"/>
    <w:pPr>
      <w:pBdr>
        <w:top w:val="double" w:sz="6" w:space="0" w:color="auto"/>
        <w:left w:val="single" w:sz="4" w:space="0" w:color="auto"/>
        <w:bottom w:val="double" w:sz="6" w:space="0" w:color="auto"/>
        <w:right w:val="single" w:sz="4" w:space="0" w:color="auto"/>
      </w:pBdr>
      <w:shd w:val="clear" w:color="auto" w:fill="E5ECD6"/>
      <w:spacing w:before="100" w:beforeAutospacing="1" w:after="100" w:afterAutospacing="1" w:line="240" w:lineRule="auto"/>
    </w:pPr>
    <w:rPr>
      <w:rFonts w:ascii="Tahoma" w:eastAsia="Times New Roman" w:hAnsi="Tahoma" w:cs="Tahoma"/>
      <w:b/>
      <w:bCs/>
      <w:color w:val="000000"/>
      <w:sz w:val="24"/>
      <w:szCs w:val="24"/>
    </w:rPr>
  </w:style>
  <w:style w:type="paragraph" w:customStyle="1" w:styleId="xl86">
    <w:name w:val="xl86"/>
    <w:basedOn w:val="Normal"/>
    <w:rsid w:val="00600B3C"/>
    <w:pPr>
      <w:pBdr>
        <w:top w:val="double" w:sz="6" w:space="0" w:color="auto"/>
        <w:left w:val="single" w:sz="4" w:space="0" w:color="auto"/>
        <w:bottom w:val="double" w:sz="6" w:space="0" w:color="auto"/>
        <w:right w:val="double" w:sz="6" w:space="0" w:color="auto"/>
      </w:pBdr>
      <w:shd w:val="clear" w:color="auto" w:fill="E5ECD6"/>
      <w:spacing w:before="100" w:beforeAutospacing="1" w:after="100" w:afterAutospacing="1" w:line="240" w:lineRule="auto"/>
    </w:pPr>
    <w:rPr>
      <w:rFonts w:ascii="Tahoma" w:eastAsia="Times New Roman" w:hAnsi="Tahoma" w:cs="Tahoma"/>
      <w:b/>
      <w:bCs/>
      <w:color w:val="000000"/>
      <w:sz w:val="24"/>
      <w:szCs w:val="24"/>
    </w:rPr>
  </w:style>
  <w:style w:type="paragraph" w:customStyle="1" w:styleId="OtherHeading">
    <w:name w:val="Other Heading"/>
    <w:basedOn w:val="Normal"/>
    <w:rsid w:val="00600B3C"/>
    <w:pPr>
      <w:tabs>
        <w:tab w:val="left" w:pos="7680"/>
        <w:tab w:val="left" w:pos="7920"/>
      </w:tabs>
      <w:spacing w:after="0" w:line="240" w:lineRule="auto"/>
      <w:ind w:right="-360"/>
      <w:jc w:val="both"/>
    </w:pPr>
    <w:rPr>
      <w:rFonts w:ascii="Tahoma" w:eastAsia="Times New Roman" w:hAnsi="Tahoma" w:cs="Times New Roman"/>
      <w:b/>
      <w:color w:val="008000"/>
      <w:sz w:val="28"/>
      <w:szCs w:val="20"/>
    </w:rPr>
  </w:style>
  <w:style w:type="paragraph" w:customStyle="1" w:styleId="tableheading">
    <w:name w:val="table heading"/>
    <w:basedOn w:val="Heading8"/>
    <w:rsid w:val="00600B3C"/>
    <w:pPr>
      <w:keepNext/>
      <w:spacing w:after="0" w:line="240" w:lineRule="auto"/>
    </w:pPr>
    <w:rPr>
      <w:rFonts w:ascii="Tahoma" w:eastAsia="Times New Roman" w:hAnsi="Tahoma" w:cs="Tahoma"/>
      <w:b/>
      <w:bCs/>
      <w:caps w:val="0"/>
      <w:color w:val="031E51"/>
      <w:spacing w:val="0"/>
    </w:rPr>
  </w:style>
  <w:style w:type="paragraph" w:customStyle="1" w:styleId="sources">
    <w:name w:val="sources"/>
    <w:basedOn w:val="FootnoteText"/>
    <w:rsid w:val="00600B3C"/>
    <w:rPr>
      <w:rFonts w:ascii="Tahoma" w:eastAsia="Times New Roman" w:hAnsi="Tahoma" w:cs="Tahoma"/>
      <w:color w:val="031E51"/>
      <w:sz w:val="16"/>
      <w:szCs w:val="20"/>
    </w:rPr>
  </w:style>
  <w:style w:type="character" w:styleId="FollowedHyperlink">
    <w:name w:val="FollowedHyperlink"/>
    <w:rsid w:val="00600B3C"/>
    <w:rPr>
      <w:color w:val="800080"/>
      <w:u w:val="single"/>
    </w:rPr>
  </w:style>
  <w:style w:type="paragraph" w:customStyle="1" w:styleId="xl24">
    <w:name w:val="xl24"/>
    <w:basedOn w:val="Normal"/>
    <w:rsid w:val="00600B3C"/>
    <w:pPr>
      <w:shd w:val="clear" w:color="auto"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5">
    <w:name w:val="xl25"/>
    <w:basedOn w:val="Normal"/>
    <w:rsid w:val="00600B3C"/>
    <w:pPr>
      <w:shd w:val="clear" w:color="auto" w:fill="FFFFFF"/>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Default">
    <w:name w:val="Default"/>
    <w:rsid w:val="00600B3C"/>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QuickFormat1">
    <w:name w:val="QuickFormat1"/>
    <w:rsid w:val="00600B3C"/>
    <w:rPr>
      <w:rFonts w:ascii="Times New Roman" w:hAnsi="Times New Roman" w:cs="Times New Roman"/>
      <w:sz w:val="20"/>
      <w:szCs w:val="20"/>
    </w:rPr>
  </w:style>
  <w:style w:type="character" w:customStyle="1" w:styleId="maintable1">
    <w:name w:val="main_table1"/>
    <w:rsid w:val="00DC1DA9"/>
    <w:rPr>
      <w:rFonts w:ascii="Verdana" w:hAnsi="Verdana" w:hint="default"/>
      <w:strike w:val="0"/>
      <w:dstrike w:val="0"/>
      <w:color w:val="333333"/>
      <w:sz w:val="15"/>
      <w:szCs w:val="15"/>
      <w:u w:val="none"/>
      <w:effect w:val="none"/>
    </w:rPr>
  </w:style>
  <w:style w:type="paragraph" w:styleId="NormalWeb">
    <w:name w:val="Normal (Web)"/>
    <w:basedOn w:val="Normal"/>
    <w:uiPriority w:val="99"/>
    <w:rsid w:val="00DC1DA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select">
    <w:name w:val="listselect"/>
    <w:basedOn w:val="DefaultParagraphFont"/>
    <w:rsid w:val="00DC1DA9"/>
  </w:style>
  <w:style w:type="table" w:styleId="LightShading-Accent1">
    <w:name w:val="Light Shading Accent 1"/>
    <w:basedOn w:val="TableNormal"/>
    <w:uiPriority w:val="41"/>
    <w:rsid w:val="00C124B8"/>
    <w:pPr>
      <w:spacing w:after="0" w:line="240" w:lineRule="auto"/>
    </w:pPr>
    <w:rPr>
      <w:color w:val="4E8518" w:themeColor="accent1" w:themeShade="BF"/>
    </w:rPr>
    <w:tblPr>
      <w:tblStyleRowBandSize w:val="1"/>
      <w:tblStyleColBandSize w:val="1"/>
      <w:tblBorders>
        <w:top w:val="single" w:sz="8" w:space="0" w:color="69B220" w:themeColor="accent1"/>
        <w:bottom w:val="single" w:sz="8" w:space="0" w:color="69B220" w:themeColor="accent1"/>
      </w:tblBorders>
    </w:tblPr>
    <w:tblStylePr w:type="firstRow">
      <w:pPr>
        <w:spacing w:before="0" w:after="0" w:line="240" w:lineRule="auto"/>
      </w:pPr>
      <w:rPr>
        <w:b/>
        <w:bCs/>
      </w:rPr>
      <w:tblPr/>
      <w:tcPr>
        <w:tcBorders>
          <w:top w:val="single" w:sz="8" w:space="0" w:color="69B220" w:themeColor="accent1"/>
          <w:left w:val="nil"/>
          <w:bottom w:val="single" w:sz="8" w:space="0" w:color="69B220" w:themeColor="accent1"/>
          <w:right w:val="nil"/>
          <w:insideH w:val="nil"/>
          <w:insideV w:val="nil"/>
        </w:tcBorders>
      </w:tcPr>
    </w:tblStylePr>
    <w:tblStylePr w:type="lastRow">
      <w:pPr>
        <w:spacing w:before="0" w:after="0" w:line="240" w:lineRule="auto"/>
      </w:pPr>
      <w:rPr>
        <w:b/>
        <w:bCs/>
      </w:rPr>
      <w:tblPr/>
      <w:tcPr>
        <w:tcBorders>
          <w:top w:val="single" w:sz="8" w:space="0" w:color="69B220" w:themeColor="accent1"/>
          <w:left w:val="nil"/>
          <w:bottom w:val="single" w:sz="8" w:space="0" w:color="69B22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F3C0" w:themeFill="accent1" w:themeFillTint="3F"/>
      </w:tcPr>
    </w:tblStylePr>
    <w:tblStylePr w:type="band1Horz">
      <w:tblPr/>
      <w:tcPr>
        <w:tcBorders>
          <w:left w:val="nil"/>
          <w:right w:val="nil"/>
          <w:insideH w:val="nil"/>
          <w:insideV w:val="nil"/>
        </w:tcBorders>
        <w:shd w:val="clear" w:color="auto" w:fill="D9F3C0" w:themeFill="accent1" w:themeFillTint="3F"/>
      </w:tcPr>
    </w:tblStylePr>
  </w:style>
  <w:style w:type="table" w:styleId="MediumShading1-Accent1">
    <w:name w:val="Medium Shading 1 Accent 1"/>
    <w:basedOn w:val="TableNormal"/>
    <w:uiPriority w:val="41"/>
    <w:rsid w:val="00C124B8"/>
    <w:pPr>
      <w:spacing w:after="0" w:line="240" w:lineRule="auto"/>
    </w:pPr>
    <w:tblPr>
      <w:tblStyleRowBandSize w:val="1"/>
      <w:tblStyleColBandSize w:val="1"/>
      <w:tblBorders>
        <w:top w:val="single" w:sz="8" w:space="0" w:color="8EDC40" w:themeColor="accent1" w:themeTint="BF"/>
        <w:left w:val="single" w:sz="8" w:space="0" w:color="8EDC40" w:themeColor="accent1" w:themeTint="BF"/>
        <w:bottom w:val="single" w:sz="8" w:space="0" w:color="8EDC40" w:themeColor="accent1" w:themeTint="BF"/>
        <w:right w:val="single" w:sz="8" w:space="0" w:color="8EDC40" w:themeColor="accent1" w:themeTint="BF"/>
        <w:insideH w:val="single" w:sz="8" w:space="0" w:color="8EDC40" w:themeColor="accent1" w:themeTint="BF"/>
      </w:tblBorders>
    </w:tblPr>
    <w:tblStylePr w:type="firstRow">
      <w:pPr>
        <w:spacing w:before="0" w:after="0" w:line="240" w:lineRule="auto"/>
      </w:pPr>
      <w:rPr>
        <w:b/>
        <w:bCs/>
        <w:color w:val="FFFFFF" w:themeColor="background1"/>
      </w:rPr>
      <w:tblPr/>
      <w:tcPr>
        <w:tcBorders>
          <w:top w:val="single" w:sz="8" w:space="0" w:color="8EDC40" w:themeColor="accent1" w:themeTint="BF"/>
          <w:left w:val="single" w:sz="8" w:space="0" w:color="8EDC40" w:themeColor="accent1" w:themeTint="BF"/>
          <w:bottom w:val="single" w:sz="8" w:space="0" w:color="8EDC40" w:themeColor="accent1" w:themeTint="BF"/>
          <w:right w:val="single" w:sz="8" w:space="0" w:color="8EDC40" w:themeColor="accent1" w:themeTint="BF"/>
          <w:insideH w:val="nil"/>
          <w:insideV w:val="nil"/>
        </w:tcBorders>
        <w:shd w:val="clear" w:color="auto" w:fill="69B220" w:themeFill="accent1"/>
      </w:tcPr>
    </w:tblStylePr>
    <w:tblStylePr w:type="lastRow">
      <w:pPr>
        <w:spacing w:before="0" w:after="0" w:line="240" w:lineRule="auto"/>
      </w:pPr>
      <w:rPr>
        <w:b/>
        <w:bCs/>
      </w:rPr>
      <w:tblPr/>
      <w:tcPr>
        <w:tcBorders>
          <w:top w:val="double" w:sz="6" w:space="0" w:color="8EDC40" w:themeColor="accent1" w:themeTint="BF"/>
          <w:left w:val="single" w:sz="8" w:space="0" w:color="8EDC40" w:themeColor="accent1" w:themeTint="BF"/>
          <w:bottom w:val="single" w:sz="8" w:space="0" w:color="8EDC40" w:themeColor="accent1" w:themeTint="BF"/>
          <w:right w:val="single" w:sz="8" w:space="0" w:color="8EDC40" w:themeColor="accent1" w:themeTint="BF"/>
          <w:insideH w:val="nil"/>
          <w:insideV w:val="nil"/>
        </w:tcBorders>
      </w:tcPr>
    </w:tblStylePr>
    <w:tblStylePr w:type="firstCol">
      <w:rPr>
        <w:b/>
        <w:bCs/>
      </w:rPr>
    </w:tblStylePr>
    <w:tblStylePr w:type="lastCol">
      <w:rPr>
        <w:b/>
        <w:bCs/>
      </w:rPr>
    </w:tblStylePr>
    <w:tblStylePr w:type="band1Vert">
      <w:tblPr/>
      <w:tcPr>
        <w:shd w:val="clear" w:color="auto" w:fill="D9F3C0" w:themeFill="accent1" w:themeFillTint="3F"/>
      </w:tcPr>
    </w:tblStylePr>
    <w:tblStylePr w:type="band1Horz">
      <w:tblPr/>
      <w:tcPr>
        <w:tcBorders>
          <w:insideH w:val="nil"/>
          <w:insideV w:val="nil"/>
        </w:tcBorders>
        <w:shd w:val="clear" w:color="auto" w:fill="D9F3C0" w:themeFill="accent1" w:themeFillTint="3F"/>
      </w:tcPr>
    </w:tblStylePr>
    <w:tblStylePr w:type="band2Horz">
      <w:tblPr/>
      <w:tcPr>
        <w:tcBorders>
          <w:insideH w:val="nil"/>
          <w:insideV w:val="nil"/>
        </w:tcBorders>
      </w:tcPr>
    </w:tblStylePr>
  </w:style>
  <w:style w:type="table" w:styleId="MediumGrid1-Accent1">
    <w:name w:val="Medium Grid 1 Accent 1"/>
    <w:basedOn w:val="TableNormal"/>
    <w:uiPriority w:val="41"/>
    <w:rsid w:val="00C124B8"/>
    <w:pPr>
      <w:spacing w:after="0" w:line="240" w:lineRule="auto"/>
    </w:pPr>
    <w:tblPr>
      <w:tblStyleRowBandSize w:val="1"/>
      <w:tblStyleColBandSize w:val="1"/>
      <w:tblBorders>
        <w:top w:val="single" w:sz="8" w:space="0" w:color="8EDC40" w:themeColor="accent1" w:themeTint="BF"/>
        <w:left w:val="single" w:sz="8" w:space="0" w:color="8EDC40" w:themeColor="accent1" w:themeTint="BF"/>
        <w:bottom w:val="single" w:sz="8" w:space="0" w:color="8EDC40" w:themeColor="accent1" w:themeTint="BF"/>
        <w:right w:val="single" w:sz="8" w:space="0" w:color="8EDC40" w:themeColor="accent1" w:themeTint="BF"/>
        <w:insideH w:val="single" w:sz="8" w:space="0" w:color="8EDC40" w:themeColor="accent1" w:themeTint="BF"/>
        <w:insideV w:val="single" w:sz="8" w:space="0" w:color="8EDC40" w:themeColor="accent1" w:themeTint="BF"/>
      </w:tblBorders>
    </w:tblPr>
    <w:tcPr>
      <w:shd w:val="clear" w:color="auto" w:fill="D9F3C0" w:themeFill="accent1" w:themeFillTint="3F"/>
    </w:tcPr>
    <w:tblStylePr w:type="firstRow">
      <w:rPr>
        <w:b/>
        <w:bCs/>
      </w:rPr>
    </w:tblStylePr>
    <w:tblStylePr w:type="lastRow">
      <w:rPr>
        <w:b/>
        <w:bCs/>
      </w:rPr>
      <w:tblPr/>
      <w:tcPr>
        <w:tcBorders>
          <w:top w:val="single" w:sz="18" w:space="0" w:color="8EDC40" w:themeColor="accent1" w:themeTint="BF"/>
        </w:tcBorders>
      </w:tcPr>
    </w:tblStylePr>
    <w:tblStylePr w:type="firstCol">
      <w:rPr>
        <w:b/>
        <w:bCs/>
      </w:rPr>
    </w:tblStylePr>
    <w:tblStylePr w:type="lastCol">
      <w:rPr>
        <w:b/>
        <w:bCs/>
      </w:rPr>
    </w:tblStylePr>
    <w:tblStylePr w:type="band1Vert">
      <w:tblPr/>
      <w:tcPr>
        <w:shd w:val="clear" w:color="auto" w:fill="B3E880" w:themeFill="accent1" w:themeFillTint="7F"/>
      </w:tcPr>
    </w:tblStylePr>
    <w:tblStylePr w:type="band1Horz">
      <w:tblPr/>
      <w:tcPr>
        <w:shd w:val="clear" w:color="auto" w:fill="B3E880" w:themeFill="accent1" w:themeFillTint="7F"/>
      </w:tcPr>
    </w:tblStylePr>
  </w:style>
  <w:style w:type="table" w:styleId="ColorfulGrid-Accent1">
    <w:name w:val="Colorful Grid Accent 1"/>
    <w:basedOn w:val="TableNormal"/>
    <w:uiPriority w:val="41"/>
    <w:rsid w:val="001E41B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0F6CC" w:themeFill="accent1" w:themeFillTint="33"/>
    </w:tcPr>
    <w:tblStylePr w:type="firstRow">
      <w:rPr>
        <w:b/>
        <w:bCs/>
      </w:rPr>
      <w:tblPr/>
      <w:tcPr>
        <w:shd w:val="clear" w:color="auto" w:fill="C2EC99" w:themeFill="accent1" w:themeFillTint="66"/>
      </w:tcPr>
    </w:tblStylePr>
    <w:tblStylePr w:type="lastRow">
      <w:rPr>
        <w:b/>
        <w:bCs/>
        <w:color w:val="000000" w:themeColor="text1"/>
      </w:rPr>
      <w:tblPr/>
      <w:tcPr>
        <w:shd w:val="clear" w:color="auto" w:fill="C2EC99" w:themeFill="accent1" w:themeFillTint="66"/>
      </w:tcPr>
    </w:tblStylePr>
    <w:tblStylePr w:type="firstCol">
      <w:rPr>
        <w:color w:val="FFFFFF" w:themeColor="background1"/>
      </w:rPr>
      <w:tblPr/>
      <w:tcPr>
        <w:shd w:val="clear" w:color="auto" w:fill="4E8518" w:themeFill="accent1" w:themeFillShade="BF"/>
      </w:tcPr>
    </w:tblStylePr>
    <w:tblStylePr w:type="lastCol">
      <w:rPr>
        <w:color w:val="FFFFFF" w:themeColor="background1"/>
      </w:rPr>
      <w:tblPr/>
      <w:tcPr>
        <w:shd w:val="clear" w:color="auto" w:fill="4E8518" w:themeFill="accent1" w:themeFillShade="BF"/>
      </w:tcPr>
    </w:tblStylePr>
    <w:tblStylePr w:type="band1Vert">
      <w:tblPr/>
      <w:tcPr>
        <w:shd w:val="clear" w:color="auto" w:fill="B3E880" w:themeFill="accent1" w:themeFillTint="7F"/>
      </w:tcPr>
    </w:tblStylePr>
    <w:tblStylePr w:type="band1Horz">
      <w:tblPr/>
      <w:tcPr>
        <w:shd w:val="clear" w:color="auto" w:fill="B3E880" w:themeFill="accent1" w:themeFillTint="7F"/>
      </w:tcPr>
    </w:tblStylePr>
  </w:style>
  <w:style w:type="table" w:styleId="LightGrid-Accent1">
    <w:name w:val="Light Grid Accent 1"/>
    <w:basedOn w:val="TableNormal"/>
    <w:uiPriority w:val="41"/>
    <w:rsid w:val="001E41BE"/>
    <w:pPr>
      <w:spacing w:after="0" w:line="240" w:lineRule="auto"/>
    </w:pPr>
    <w:tblPr>
      <w:tblStyleRowBandSize w:val="1"/>
      <w:tblStyleColBandSize w:val="1"/>
      <w:tblBorders>
        <w:top w:val="single" w:sz="8" w:space="0" w:color="69B220" w:themeColor="accent1"/>
        <w:left w:val="single" w:sz="8" w:space="0" w:color="69B220" w:themeColor="accent1"/>
        <w:bottom w:val="single" w:sz="8" w:space="0" w:color="69B220" w:themeColor="accent1"/>
        <w:right w:val="single" w:sz="8" w:space="0" w:color="69B220" w:themeColor="accent1"/>
        <w:insideH w:val="single" w:sz="8" w:space="0" w:color="69B220" w:themeColor="accent1"/>
        <w:insideV w:val="single" w:sz="8" w:space="0" w:color="69B22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9B220" w:themeColor="accent1"/>
          <w:left w:val="single" w:sz="8" w:space="0" w:color="69B220" w:themeColor="accent1"/>
          <w:bottom w:val="single" w:sz="18" w:space="0" w:color="69B220" w:themeColor="accent1"/>
          <w:right w:val="single" w:sz="8" w:space="0" w:color="69B220" w:themeColor="accent1"/>
          <w:insideH w:val="nil"/>
          <w:insideV w:val="single" w:sz="8" w:space="0" w:color="69B22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9B220" w:themeColor="accent1"/>
          <w:left w:val="single" w:sz="8" w:space="0" w:color="69B220" w:themeColor="accent1"/>
          <w:bottom w:val="single" w:sz="8" w:space="0" w:color="69B220" w:themeColor="accent1"/>
          <w:right w:val="single" w:sz="8" w:space="0" w:color="69B220" w:themeColor="accent1"/>
          <w:insideH w:val="nil"/>
          <w:insideV w:val="single" w:sz="8" w:space="0" w:color="69B22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9B220" w:themeColor="accent1"/>
          <w:left w:val="single" w:sz="8" w:space="0" w:color="69B220" w:themeColor="accent1"/>
          <w:bottom w:val="single" w:sz="8" w:space="0" w:color="69B220" w:themeColor="accent1"/>
          <w:right w:val="single" w:sz="8" w:space="0" w:color="69B220" w:themeColor="accent1"/>
        </w:tcBorders>
      </w:tcPr>
    </w:tblStylePr>
    <w:tblStylePr w:type="band1Vert">
      <w:tblPr/>
      <w:tcPr>
        <w:tcBorders>
          <w:top w:val="single" w:sz="8" w:space="0" w:color="69B220" w:themeColor="accent1"/>
          <w:left w:val="single" w:sz="8" w:space="0" w:color="69B220" w:themeColor="accent1"/>
          <w:bottom w:val="single" w:sz="8" w:space="0" w:color="69B220" w:themeColor="accent1"/>
          <w:right w:val="single" w:sz="8" w:space="0" w:color="69B220" w:themeColor="accent1"/>
        </w:tcBorders>
        <w:shd w:val="clear" w:color="auto" w:fill="D9F3C0" w:themeFill="accent1" w:themeFillTint="3F"/>
      </w:tcPr>
    </w:tblStylePr>
    <w:tblStylePr w:type="band1Horz">
      <w:tblPr/>
      <w:tcPr>
        <w:tcBorders>
          <w:top w:val="single" w:sz="8" w:space="0" w:color="69B220" w:themeColor="accent1"/>
          <w:left w:val="single" w:sz="8" w:space="0" w:color="69B220" w:themeColor="accent1"/>
          <w:bottom w:val="single" w:sz="8" w:space="0" w:color="69B220" w:themeColor="accent1"/>
          <w:right w:val="single" w:sz="8" w:space="0" w:color="69B220" w:themeColor="accent1"/>
          <w:insideV w:val="single" w:sz="8" w:space="0" w:color="69B220" w:themeColor="accent1"/>
        </w:tcBorders>
        <w:shd w:val="clear" w:color="auto" w:fill="D9F3C0" w:themeFill="accent1" w:themeFillTint="3F"/>
      </w:tcPr>
    </w:tblStylePr>
    <w:tblStylePr w:type="band2Horz">
      <w:tblPr/>
      <w:tcPr>
        <w:tcBorders>
          <w:top w:val="single" w:sz="8" w:space="0" w:color="69B220" w:themeColor="accent1"/>
          <w:left w:val="single" w:sz="8" w:space="0" w:color="69B220" w:themeColor="accent1"/>
          <w:bottom w:val="single" w:sz="8" w:space="0" w:color="69B220" w:themeColor="accent1"/>
          <w:right w:val="single" w:sz="8" w:space="0" w:color="69B220" w:themeColor="accent1"/>
          <w:insideV w:val="single" w:sz="8" w:space="0" w:color="69B220" w:themeColor="accent1"/>
        </w:tcBorders>
      </w:tcPr>
    </w:tblStylePr>
  </w:style>
  <w:style w:type="paragraph" w:styleId="Revision">
    <w:name w:val="Revision"/>
    <w:hidden/>
    <w:uiPriority w:val="99"/>
    <w:semiHidden/>
    <w:rsid w:val="00C02BCC"/>
    <w:pPr>
      <w:spacing w:after="0" w:line="240" w:lineRule="auto"/>
    </w:pPr>
    <w:rPr>
      <w:rFonts w:asciiTheme="minorHAnsi" w:hAnsiTheme="minorHAnsi"/>
    </w:rPr>
  </w:style>
  <w:style w:type="table" w:customStyle="1" w:styleId="TableGrid1">
    <w:name w:val="Table Grid1"/>
    <w:basedOn w:val="TableNormal"/>
    <w:next w:val="TableGrid"/>
    <w:uiPriority w:val="59"/>
    <w:rsid w:val="00B80FFF"/>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B80FFF"/>
    <w:pPr>
      <w:spacing w:after="0" w:line="240" w:lineRule="auto"/>
    </w:pPr>
    <w:rPr>
      <w:rFonts w:cs="Tw Cen MT"/>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basedOn w:val="Normal"/>
    <w:qFormat/>
    <w:rsid w:val="0035557A"/>
    <w:pPr>
      <w:jc w:val="both"/>
    </w:pPr>
  </w:style>
  <w:style w:type="character" w:styleId="UnresolvedMention">
    <w:name w:val="Unresolved Mention"/>
    <w:basedOn w:val="DefaultParagraphFont"/>
    <w:uiPriority w:val="99"/>
    <w:unhideWhenUsed/>
    <w:rsid w:val="003D50F2"/>
    <w:rPr>
      <w:color w:val="605E5C"/>
      <w:shd w:val="clear" w:color="auto" w:fill="E1DFDD"/>
    </w:rPr>
  </w:style>
  <w:style w:type="character" w:styleId="Mention">
    <w:name w:val="Mention"/>
    <w:basedOn w:val="DefaultParagraphFont"/>
    <w:uiPriority w:val="99"/>
    <w:unhideWhenUsed/>
    <w:rsid w:val="00CE0C35"/>
    <w:rPr>
      <w:color w:val="2B579A"/>
      <w:shd w:val="clear" w:color="auto" w:fill="E1DFDD"/>
    </w:rPr>
  </w:style>
  <w:style w:type="table" w:styleId="GridTable2-Accent4">
    <w:name w:val="Grid Table 2 Accent 4"/>
    <w:basedOn w:val="TableNormal"/>
    <w:uiPriority w:val="47"/>
    <w:rsid w:val="00712C83"/>
    <w:pPr>
      <w:spacing w:after="0" w:line="240" w:lineRule="auto"/>
    </w:pPr>
    <w:tblPr>
      <w:tblStyleRowBandSize w:val="1"/>
      <w:tblStyleColBandSize w:val="1"/>
      <w:tblBorders>
        <w:top w:val="single" w:sz="2" w:space="0" w:color="84DB2E" w:themeColor="accent4" w:themeTint="99"/>
        <w:bottom w:val="single" w:sz="2" w:space="0" w:color="84DB2E" w:themeColor="accent4" w:themeTint="99"/>
        <w:insideH w:val="single" w:sz="2" w:space="0" w:color="84DB2E" w:themeColor="accent4" w:themeTint="99"/>
        <w:insideV w:val="single" w:sz="2" w:space="0" w:color="84DB2E" w:themeColor="accent4" w:themeTint="99"/>
      </w:tblBorders>
    </w:tblPr>
    <w:tblStylePr w:type="firstRow">
      <w:rPr>
        <w:b/>
        <w:bCs/>
      </w:rPr>
      <w:tblPr/>
      <w:tcPr>
        <w:tcBorders>
          <w:top w:val="nil"/>
          <w:bottom w:val="single" w:sz="12" w:space="0" w:color="84DB2E" w:themeColor="accent4" w:themeTint="99"/>
          <w:insideH w:val="nil"/>
          <w:insideV w:val="nil"/>
        </w:tcBorders>
        <w:shd w:val="clear" w:color="auto" w:fill="FFFFFF" w:themeFill="background1"/>
      </w:tcPr>
    </w:tblStylePr>
    <w:tblStylePr w:type="lastRow">
      <w:rPr>
        <w:b/>
        <w:bCs/>
      </w:rPr>
      <w:tblPr/>
      <w:tcPr>
        <w:tcBorders>
          <w:top w:val="double" w:sz="2" w:space="0" w:color="84DB2E"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F3B9" w:themeFill="accent4" w:themeFillTint="33"/>
      </w:tcPr>
    </w:tblStylePr>
    <w:tblStylePr w:type="band1Horz">
      <w:tblPr/>
      <w:tcPr>
        <w:shd w:val="clear" w:color="auto" w:fill="D6F3B9" w:themeFill="accent4" w:themeFillTint="33"/>
      </w:tcPr>
    </w:tblStylePr>
  </w:style>
  <w:style w:type="table" w:styleId="GridTable3-Accent1">
    <w:name w:val="Grid Table 3 Accent 1"/>
    <w:basedOn w:val="TableNormal"/>
    <w:uiPriority w:val="48"/>
    <w:rsid w:val="00712C83"/>
    <w:pPr>
      <w:spacing w:after="0" w:line="240" w:lineRule="auto"/>
    </w:pPr>
    <w:tblPr>
      <w:tblStyleRowBandSize w:val="1"/>
      <w:tblStyleColBandSize w:val="1"/>
      <w:tblBorders>
        <w:top w:val="single" w:sz="4" w:space="0" w:color="A4E366" w:themeColor="accent1" w:themeTint="99"/>
        <w:left w:val="single" w:sz="4" w:space="0" w:color="A4E366" w:themeColor="accent1" w:themeTint="99"/>
        <w:bottom w:val="single" w:sz="4" w:space="0" w:color="A4E366" w:themeColor="accent1" w:themeTint="99"/>
        <w:right w:val="single" w:sz="4" w:space="0" w:color="A4E366" w:themeColor="accent1" w:themeTint="99"/>
        <w:insideH w:val="single" w:sz="4" w:space="0" w:color="A4E366" w:themeColor="accent1" w:themeTint="99"/>
        <w:insideV w:val="single" w:sz="4" w:space="0" w:color="A4E36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F6CC" w:themeFill="accent1" w:themeFillTint="33"/>
      </w:tcPr>
    </w:tblStylePr>
    <w:tblStylePr w:type="band1Horz">
      <w:tblPr/>
      <w:tcPr>
        <w:shd w:val="clear" w:color="auto" w:fill="E0F6CC" w:themeFill="accent1" w:themeFillTint="33"/>
      </w:tcPr>
    </w:tblStylePr>
    <w:tblStylePr w:type="neCell">
      <w:tblPr/>
      <w:tcPr>
        <w:tcBorders>
          <w:bottom w:val="single" w:sz="4" w:space="0" w:color="A4E366" w:themeColor="accent1" w:themeTint="99"/>
        </w:tcBorders>
      </w:tcPr>
    </w:tblStylePr>
    <w:tblStylePr w:type="nwCell">
      <w:tblPr/>
      <w:tcPr>
        <w:tcBorders>
          <w:bottom w:val="single" w:sz="4" w:space="0" w:color="A4E366" w:themeColor="accent1" w:themeTint="99"/>
        </w:tcBorders>
      </w:tcPr>
    </w:tblStylePr>
    <w:tblStylePr w:type="seCell">
      <w:tblPr/>
      <w:tcPr>
        <w:tcBorders>
          <w:top w:val="single" w:sz="4" w:space="0" w:color="A4E366" w:themeColor="accent1" w:themeTint="99"/>
        </w:tcBorders>
      </w:tcPr>
    </w:tblStylePr>
    <w:tblStylePr w:type="swCell">
      <w:tblPr/>
      <w:tcPr>
        <w:tcBorders>
          <w:top w:val="single" w:sz="4" w:space="0" w:color="A4E366" w:themeColor="accent1" w:themeTint="99"/>
        </w:tcBorders>
      </w:tcPr>
    </w:tblStylePr>
  </w:style>
  <w:style w:type="table" w:styleId="GridTable4-Accent1">
    <w:name w:val="Grid Table 4 Accent 1"/>
    <w:basedOn w:val="TableNormal"/>
    <w:uiPriority w:val="49"/>
    <w:rsid w:val="00712C83"/>
    <w:pPr>
      <w:spacing w:after="0" w:line="240" w:lineRule="auto"/>
    </w:pPr>
    <w:tblPr>
      <w:tblStyleRowBandSize w:val="1"/>
      <w:tblStyleColBandSize w:val="1"/>
      <w:tblBorders>
        <w:top w:val="single" w:sz="4" w:space="0" w:color="A4E366" w:themeColor="accent1" w:themeTint="99"/>
        <w:left w:val="single" w:sz="4" w:space="0" w:color="A4E366" w:themeColor="accent1" w:themeTint="99"/>
        <w:bottom w:val="single" w:sz="4" w:space="0" w:color="A4E366" w:themeColor="accent1" w:themeTint="99"/>
        <w:right w:val="single" w:sz="4" w:space="0" w:color="A4E366" w:themeColor="accent1" w:themeTint="99"/>
        <w:insideH w:val="single" w:sz="4" w:space="0" w:color="A4E366" w:themeColor="accent1" w:themeTint="99"/>
        <w:insideV w:val="single" w:sz="4" w:space="0" w:color="A4E366" w:themeColor="accent1" w:themeTint="99"/>
      </w:tblBorders>
    </w:tblPr>
    <w:tblStylePr w:type="firstRow">
      <w:rPr>
        <w:b/>
        <w:bCs/>
        <w:color w:val="FFFFFF" w:themeColor="background1"/>
      </w:rPr>
      <w:tblPr/>
      <w:tcPr>
        <w:tcBorders>
          <w:top w:val="single" w:sz="4" w:space="0" w:color="69B220" w:themeColor="accent1"/>
          <w:left w:val="single" w:sz="4" w:space="0" w:color="69B220" w:themeColor="accent1"/>
          <w:bottom w:val="single" w:sz="4" w:space="0" w:color="69B220" w:themeColor="accent1"/>
          <w:right w:val="single" w:sz="4" w:space="0" w:color="69B220" w:themeColor="accent1"/>
          <w:insideH w:val="nil"/>
          <w:insideV w:val="nil"/>
        </w:tcBorders>
        <w:shd w:val="clear" w:color="auto" w:fill="69B220" w:themeFill="accent1"/>
      </w:tcPr>
    </w:tblStylePr>
    <w:tblStylePr w:type="lastRow">
      <w:rPr>
        <w:b/>
        <w:bCs/>
      </w:rPr>
      <w:tblPr/>
      <w:tcPr>
        <w:tcBorders>
          <w:top w:val="double" w:sz="4" w:space="0" w:color="69B220" w:themeColor="accent1"/>
        </w:tcBorders>
      </w:tcPr>
    </w:tblStylePr>
    <w:tblStylePr w:type="firstCol">
      <w:rPr>
        <w:b/>
        <w:bCs/>
      </w:rPr>
    </w:tblStylePr>
    <w:tblStylePr w:type="lastCol">
      <w:rPr>
        <w:b/>
        <w:bCs/>
      </w:rPr>
    </w:tblStylePr>
    <w:tblStylePr w:type="band1Vert">
      <w:tblPr/>
      <w:tcPr>
        <w:shd w:val="clear" w:color="auto" w:fill="E0F6CC" w:themeFill="accent1" w:themeFillTint="33"/>
      </w:tcPr>
    </w:tblStylePr>
    <w:tblStylePr w:type="band1Horz">
      <w:tblPr/>
      <w:tcPr>
        <w:shd w:val="clear" w:color="auto" w:fill="E0F6CC" w:themeFill="accent1" w:themeFillTint="33"/>
      </w:tcPr>
    </w:tblStylePr>
  </w:style>
  <w:style w:type="table" w:styleId="GridTable1Light-Accent1">
    <w:name w:val="Grid Table 1 Light Accent 1"/>
    <w:basedOn w:val="TableNormal"/>
    <w:uiPriority w:val="46"/>
    <w:rsid w:val="0099105B"/>
    <w:pPr>
      <w:spacing w:after="0" w:line="240" w:lineRule="auto"/>
    </w:pPr>
    <w:tblPr>
      <w:tblStyleRowBandSize w:val="1"/>
      <w:tblStyleColBandSize w:val="1"/>
      <w:tblBorders>
        <w:top w:val="single" w:sz="4" w:space="0" w:color="C2EC99" w:themeColor="accent1" w:themeTint="66"/>
        <w:left w:val="single" w:sz="4" w:space="0" w:color="C2EC99" w:themeColor="accent1" w:themeTint="66"/>
        <w:bottom w:val="single" w:sz="4" w:space="0" w:color="C2EC99" w:themeColor="accent1" w:themeTint="66"/>
        <w:right w:val="single" w:sz="4" w:space="0" w:color="C2EC99" w:themeColor="accent1" w:themeTint="66"/>
        <w:insideH w:val="single" w:sz="4" w:space="0" w:color="C2EC99" w:themeColor="accent1" w:themeTint="66"/>
        <w:insideV w:val="single" w:sz="4" w:space="0" w:color="C2EC99" w:themeColor="accent1" w:themeTint="66"/>
      </w:tblBorders>
    </w:tblPr>
    <w:tblStylePr w:type="firstRow">
      <w:rPr>
        <w:b/>
        <w:bCs/>
      </w:rPr>
      <w:tblPr/>
      <w:tcPr>
        <w:tcBorders>
          <w:bottom w:val="single" w:sz="12" w:space="0" w:color="A4E366" w:themeColor="accent1" w:themeTint="99"/>
        </w:tcBorders>
      </w:tcPr>
    </w:tblStylePr>
    <w:tblStylePr w:type="lastRow">
      <w:rPr>
        <w:b/>
        <w:bCs/>
      </w:rPr>
      <w:tblPr/>
      <w:tcPr>
        <w:tcBorders>
          <w:top w:val="double" w:sz="2" w:space="0" w:color="A4E366"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99105B"/>
    <w:pPr>
      <w:spacing w:after="0" w:line="240" w:lineRule="auto"/>
    </w:pPr>
    <w:tblPr>
      <w:tblStyleRowBandSize w:val="1"/>
      <w:tblStyleColBandSize w:val="1"/>
      <w:tblBorders>
        <w:top w:val="single" w:sz="2" w:space="0" w:color="A4E366" w:themeColor="accent1" w:themeTint="99"/>
        <w:bottom w:val="single" w:sz="2" w:space="0" w:color="A4E366" w:themeColor="accent1" w:themeTint="99"/>
        <w:insideH w:val="single" w:sz="2" w:space="0" w:color="A4E366" w:themeColor="accent1" w:themeTint="99"/>
        <w:insideV w:val="single" w:sz="2" w:space="0" w:color="A4E366" w:themeColor="accent1" w:themeTint="99"/>
      </w:tblBorders>
    </w:tblPr>
    <w:tblStylePr w:type="firstRow">
      <w:rPr>
        <w:b/>
        <w:bCs/>
      </w:rPr>
      <w:tblPr/>
      <w:tcPr>
        <w:tcBorders>
          <w:top w:val="nil"/>
          <w:bottom w:val="single" w:sz="12" w:space="0" w:color="A4E366" w:themeColor="accent1" w:themeTint="99"/>
          <w:insideH w:val="nil"/>
          <w:insideV w:val="nil"/>
        </w:tcBorders>
        <w:shd w:val="clear" w:color="auto" w:fill="FFFFFF" w:themeFill="background1"/>
      </w:tcPr>
    </w:tblStylePr>
    <w:tblStylePr w:type="lastRow">
      <w:rPr>
        <w:b/>
        <w:bCs/>
      </w:rPr>
      <w:tblPr/>
      <w:tcPr>
        <w:tcBorders>
          <w:top w:val="double" w:sz="2" w:space="0" w:color="A4E366"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F6CC" w:themeFill="accent1" w:themeFillTint="33"/>
      </w:tcPr>
    </w:tblStylePr>
    <w:tblStylePr w:type="band1Horz">
      <w:tblPr/>
      <w:tcPr>
        <w:shd w:val="clear" w:color="auto" w:fill="E0F6CC" w:themeFill="accent1" w:themeFillTint="33"/>
      </w:tcPr>
    </w:tblStylePr>
  </w:style>
  <w:style w:type="character" w:customStyle="1" w:styleId="cf01">
    <w:name w:val="cf01"/>
    <w:basedOn w:val="DefaultParagraphFont"/>
    <w:rsid w:val="006A23CB"/>
    <w:rPr>
      <w:rFonts w:ascii="Segoe UI" w:hAnsi="Segoe UI" w:cs="Segoe UI" w:hint="default"/>
      <w:sz w:val="18"/>
      <w:szCs w:val="18"/>
    </w:rPr>
  </w:style>
  <w:style w:type="table" w:styleId="ListTable5Dark-Accent1">
    <w:name w:val="List Table 5 Dark Accent 1"/>
    <w:basedOn w:val="TableNormal"/>
    <w:uiPriority w:val="50"/>
    <w:rsid w:val="006A23CB"/>
    <w:pPr>
      <w:spacing w:after="0" w:line="240" w:lineRule="auto"/>
    </w:pPr>
    <w:rPr>
      <w:color w:val="FFFFFF" w:themeColor="background1"/>
    </w:rPr>
    <w:tblPr>
      <w:tblStyleRowBandSize w:val="1"/>
      <w:tblStyleColBandSize w:val="1"/>
      <w:tblBorders>
        <w:top w:val="single" w:sz="24" w:space="0" w:color="69B220" w:themeColor="accent1"/>
        <w:left w:val="single" w:sz="24" w:space="0" w:color="69B220" w:themeColor="accent1"/>
        <w:bottom w:val="single" w:sz="24" w:space="0" w:color="69B220" w:themeColor="accent1"/>
        <w:right w:val="single" w:sz="24" w:space="0" w:color="69B220" w:themeColor="accent1"/>
      </w:tblBorders>
    </w:tblPr>
    <w:tcPr>
      <w:shd w:val="clear" w:color="auto" w:fill="69B220"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normaltextrun">
    <w:name w:val="normaltextrun"/>
    <w:basedOn w:val="DefaultParagraphFont"/>
    <w:rsid w:val="7D79BFBF"/>
  </w:style>
  <w:style w:type="paragraph" w:customStyle="1" w:styleId="BodyTextAfterFigure">
    <w:name w:val="Body Text After Figure"/>
    <w:basedOn w:val="Normal"/>
    <w:link w:val="BodyTextAfterFigureChar"/>
    <w:uiPriority w:val="1"/>
    <w:qFormat/>
    <w:rsid w:val="3D6C7777"/>
    <w:pPr>
      <w:spacing w:before="240" w:after="240" w:line="280" w:lineRule="exact"/>
    </w:pPr>
    <w:rPr>
      <w:rFonts w:ascii="Open Sans" w:eastAsia="Times New Roman" w:hAnsi="Open Sans" w:cs="Times New Roman"/>
      <w:color w:val="53575A"/>
      <w:sz w:val="21"/>
      <w:szCs w:val="21"/>
    </w:rPr>
  </w:style>
  <w:style w:type="character" w:customStyle="1" w:styleId="BodyTextAfterFigureChar">
    <w:name w:val="Body Text After Figure Char"/>
    <w:basedOn w:val="DefaultParagraphFont"/>
    <w:link w:val="BodyTextAfterFigure"/>
    <w:uiPriority w:val="1"/>
    <w:rsid w:val="3D6C7777"/>
    <w:rPr>
      <w:rFonts w:ascii="Open Sans" w:eastAsia="Times New Roman" w:hAnsi="Open Sans" w:cs="Times New Roman"/>
      <w:color w:val="53575A"/>
      <w:sz w:val="21"/>
      <w:szCs w:val="21"/>
    </w:rPr>
  </w:style>
  <w:style w:type="table" w:styleId="GridTable4-Accent2">
    <w:name w:val="Grid Table 4 Accent 2"/>
    <w:basedOn w:val="TableNormal"/>
    <w:uiPriority w:val="49"/>
    <w:pPr>
      <w:spacing w:after="0" w:line="240" w:lineRule="auto"/>
    </w:pPr>
    <w:tblPr>
      <w:tblStyleRowBandSize w:val="1"/>
      <w:tblStyleColBandSize w:val="1"/>
      <w:tblBorders>
        <w:top w:val="single" w:sz="4" w:space="0" w:color="A5C3FF" w:themeColor="accent2" w:themeTint="99"/>
        <w:left w:val="single" w:sz="4" w:space="0" w:color="A5C3FF" w:themeColor="accent2" w:themeTint="99"/>
        <w:bottom w:val="single" w:sz="4" w:space="0" w:color="A5C3FF" w:themeColor="accent2" w:themeTint="99"/>
        <w:right w:val="single" w:sz="4" w:space="0" w:color="A5C3FF" w:themeColor="accent2" w:themeTint="99"/>
        <w:insideH w:val="single" w:sz="4" w:space="0" w:color="A5C3FF" w:themeColor="accent2" w:themeTint="99"/>
        <w:insideV w:val="single" w:sz="4" w:space="0" w:color="A5C3FF" w:themeColor="accent2" w:themeTint="99"/>
      </w:tblBorders>
    </w:tblPr>
    <w:tblStylePr w:type="firstRow">
      <w:rPr>
        <w:b/>
        <w:bCs/>
        <w:color w:val="FFFFFF" w:themeColor="background1"/>
      </w:rPr>
      <w:tblPr/>
      <w:tcPr>
        <w:tcBorders>
          <w:top w:val="single" w:sz="4" w:space="0" w:color="699BFF" w:themeColor="accent2"/>
          <w:left w:val="single" w:sz="4" w:space="0" w:color="699BFF" w:themeColor="accent2"/>
          <w:bottom w:val="single" w:sz="4" w:space="0" w:color="699BFF" w:themeColor="accent2"/>
          <w:right w:val="single" w:sz="4" w:space="0" w:color="699BFF" w:themeColor="accent2"/>
          <w:insideH w:val="nil"/>
          <w:insideV w:val="nil"/>
        </w:tcBorders>
        <w:shd w:val="clear" w:color="auto" w:fill="699BFF" w:themeFill="accent2"/>
      </w:tcPr>
    </w:tblStylePr>
    <w:tblStylePr w:type="lastRow">
      <w:rPr>
        <w:b/>
        <w:bCs/>
      </w:rPr>
      <w:tblPr/>
      <w:tcPr>
        <w:tcBorders>
          <w:top w:val="double" w:sz="4" w:space="0" w:color="699BFF" w:themeColor="accent2"/>
        </w:tcBorders>
      </w:tcPr>
    </w:tblStylePr>
    <w:tblStylePr w:type="firstCol">
      <w:rPr>
        <w:b/>
        <w:bCs/>
      </w:rPr>
    </w:tblStylePr>
    <w:tblStylePr w:type="lastCol">
      <w:rPr>
        <w:b/>
        <w:bCs/>
      </w:rPr>
    </w:tblStylePr>
    <w:tblStylePr w:type="band1Vert">
      <w:tblPr/>
      <w:tcPr>
        <w:shd w:val="clear" w:color="auto" w:fill="E1EBFF" w:themeFill="accent2" w:themeFillTint="33"/>
      </w:tcPr>
    </w:tblStylePr>
    <w:tblStylePr w:type="band1Horz">
      <w:tblPr/>
      <w:tcPr>
        <w:shd w:val="clear" w:color="auto" w:fill="E1EBFF" w:themeFill="accent2" w:themeFillTint="33"/>
      </w:tcPr>
    </w:tblStylePr>
  </w:style>
  <w:style w:type="table" w:styleId="ListTable4-Accent2">
    <w:name w:val="List Table 4 Accent 2"/>
    <w:basedOn w:val="TableNormal"/>
    <w:uiPriority w:val="49"/>
    <w:pPr>
      <w:spacing w:after="0" w:line="240" w:lineRule="auto"/>
    </w:pPr>
    <w:tblPr>
      <w:tblStyleRowBandSize w:val="1"/>
      <w:tblStyleColBandSize w:val="1"/>
      <w:tblBorders>
        <w:top w:val="single" w:sz="4" w:space="0" w:color="A5C3FF" w:themeColor="accent2" w:themeTint="99"/>
        <w:left w:val="single" w:sz="4" w:space="0" w:color="A5C3FF" w:themeColor="accent2" w:themeTint="99"/>
        <w:bottom w:val="single" w:sz="4" w:space="0" w:color="A5C3FF" w:themeColor="accent2" w:themeTint="99"/>
        <w:right w:val="single" w:sz="4" w:space="0" w:color="A5C3FF" w:themeColor="accent2" w:themeTint="99"/>
        <w:insideH w:val="single" w:sz="4" w:space="0" w:color="A5C3FF" w:themeColor="accent2" w:themeTint="99"/>
      </w:tblBorders>
    </w:tblPr>
    <w:tblStylePr w:type="firstRow">
      <w:rPr>
        <w:b/>
        <w:bCs/>
        <w:color w:val="FFFFFF" w:themeColor="background1"/>
      </w:rPr>
      <w:tblPr/>
      <w:tcPr>
        <w:tcBorders>
          <w:top w:val="single" w:sz="4" w:space="0" w:color="699BFF" w:themeColor="accent2"/>
          <w:left w:val="single" w:sz="4" w:space="0" w:color="699BFF" w:themeColor="accent2"/>
          <w:bottom w:val="single" w:sz="4" w:space="0" w:color="699BFF" w:themeColor="accent2"/>
          <w:right w:val="single" w:sz="4" w:space="0" w:color="699BFF" w:themeColor="accent2"/>
          <w:insideH w:val="nil"/>
        </w:tcBorders>
        <w:shd w:val="clear" w:color="auto" w:fill="699BFF" w:themeFill="accent2"/>
      </w:tcPr>
    </w:tblStylePr>
    <w:tblStylePr w:type="lastRow">
      <w:rPr>
        <w:b/>
        <w:bCs/>
      </w:rPr>
      <w:tblPr/>
      <w:tcPr>
        <w:tcBorders>
          <w:top w:val="double" w:sz="4" w:space="0" w:color="A5C3FF" w:themeColor="accent2" w:themeTint="99"/>
        </w:tcBorders>
      </w:tcPr>
    </w:tblStylePr>
    <w:tblStylePr w:type="firstCol">
      <w:rPr>
        <w:b/>
        <w:bCs/>
      </w:rPr>
    </w:tblStylePr>
    <w:tblStylePr w:type="lastCol">
      <w:rPr>
        <w:b/>
        <w:bCs/>
      </w:rPr>
    </w:tblStylePr>
    <w:tblStylePr w:type="band1Vert">
      <w:tblPr/>
      <w:tcPr>
        <w:shd w:val="clear" w:color="auto" w:fill="E1EBFF" w:themeFill="accent2" w:themeFillTint="33"/>
      </w:tcPr>
    </w:tblStylePr>
    <w:tblStylePr w:type="band1Horz">
      <w:tblPr/>
      <w:tcPr>
        <w:shd w:val="clear" w:color="auto" w:fill="E1EBFF" w:themeFill="accent2" w:themeFillTint="33"/>
      </w:tcPr>
    </w:tblStylePr>
  </w:style>
  <w:style w:type="paragraph" w:customStyle="1" w:styleId="paragraph">
    <w:name w:val="paragraph"/>
    <w:basedOn w:val="Normal"/>
    <w:rsid w:val="004B1FE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4B1FE1"/>
  </w:style>
  <w:style w:type="paragraph" w:customStyle="1" w:styleId="pf0">
    <w:name w:val="pf0"/>
    <w:basedOn w:val="Normal"/>
    <w:rsid w:val="00570980"/>
    <w:pPr>
      <w:spacing w:before="100" w:beforeAutospacing="1" w:after="100" w:afterAutospacing="1" w:line="240" w:lineRule="auto"/>
    </w:pPr>
    <w:rPr>
      <w:rFonts w:ascii="Times New Roman" w:eastAsia="Times New Roman" w:hAnsi="Times New Roman" w:cs="Times New Roman"/>
      <w:sz w:val="24"/>
      <w:szCs w:val="24"/>
    </w:rPr>
  </w:style>
  <w:style w:type="paragraph" w:styleId="EndnoteText">
    <w:name w:val="endnote text"/>
    <w:basedOn w:val="Normal"/>
    <w:link w:val="EndnoteTextChar"/>
    <w:uiPriority w:val="99"/>
    <w:semiHidden/>
    <w:unhideWhenUsed/>
    <w:rsid w:val="007D63C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D63C9"/>
    <w:rPr>
      <w:rFonts w:asciiTheme="minorHAnsi" w:hAnsiTheme="minorHAnsi"/>
      <w:sz w:val="20"/>
      <w:szCs w:val="20"/>
    </w:rPr>
  </w:style>
  <w:style w:type="character" w:styleId="EndnoteReference">
    <w:name w:val="endnote reference"/>
    <w:basedOn w:val="DefaultParagraphFont"/>
    <w:uiPriority w:val="99"/>
    <w:semiHidden/>
    <w:unhideWhenUsed/>
    <w:rsid w:val="007D63C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0830">
      <w:bodyDiv w:val="1"/>
      <w:marLeft w:val="0"/>
      <w:marRight w:val="0"/>
      <w:marTop w:val="0"/>
      <w:marBottom w:val="0"/>
      <w:divBdr>
        <w:top w:val="none" w:sz="0" w:space="0" w:color="auto"/>
        <w:left w:val="none" w:sz="0" w:space="0" w:color="auto"/>
        <w:bottom w:val="none" w:sz="0" w:space="0" w:color="auto"/>
        <w:right w:val="none" w:sz="0" w:space="0" w:color="auto"/>
      </w:divBdr>
    </w:div>
    <w:div w:id="23555667">
      <w:bodyDiv w:val="1"/>
      <w:marLeft w:val="0"/>
      <w:marRight w:val="0"/>
      <w:marTop w:val="0"/>
      <w:marBottom w:val="0"/>
      <w:divBdr>
        <w:top w:val="none" w:sz="0" w:space="0" w:color="auto"/>
        <w:left w:val="none" w:sz="0" w:space="0" w:color="auto"/>
        <w:bottom w:val="none" w:sz="0" w:space="0" w:color="auto"/>
        <w:right w:val="none" w:sz="0" w:space="0" w:color="auto"/>
      </w:divBdr>
    </w:div>
    <w:div w:id="25181674">
      <w:bodyDiv w:val="1"/>
      <w:marLeft w:val="0"/>
      <w:marRight w:val="0"/>
      <w:marTop w:val="0"/>
      <w:marBottom w:val="0"/>
      <w:divBdr>
        <w:top w:val="none" w:sz="0" w:space="0" w:color="auto"/>
        <w:left w:val="none" w:sz="0" w:space="0" w:color="auto"/>
        <w:bottom w:val="none" w:sz="0" w:space="0" w:color="auto"/>
        <w:right w:val="none" w:sz="0" w:space="0" w:color="auto"/>
      </w:divBdr>
    </w:div>
    <w:div w:id="26294248">
      <w:bodyDiv w:val="1"/>
      <w:marLeft w:val="0"/>
      <w:marRight w:val="0"/>
      <w:marTop w:val="0"/>
      <w:marBottom w:val="0"/>
      <w:divBdr>
        <w:top w:val="none" w:sz="0" w:space="0" w:color="auto"/>
        <w:left w:val="none" w:sz="0" w:space="0" w:color="auto"/>
        <w:bottom w:val="none" w:sz="0" w:space="0" w:color="auto"/>
        <w:right w:val="none" w:sz="0" w:space="0" w:color="auto"/>
      </w:divBdr>
    </w:div>
    <w:div w:id="26610198">
      <w:bodyDiv w:val="1"/>
      <w:marLeft w:val="0"/>
      <w:marRight w:val="0"/>
      <w:marTop w:val="0"/>
      <w:marBottom w:val="0"/>
      <w:divBdr>
        <w:top w:val="none" w:sz="0" w:space="0" w:color="auto"/>
        <w:left w:val="none" w:sz="0" w:space="0" w:color="auto"/>
        <w:bottom w:val="none" w:sz="0" w:space="0" w:color="auto"/>
        <w:right w:val="none" w:sz="0" w:space="0" w:color="auto"/>
      </w:divBdr>
    </w:div>
    <w:div w:id="64299910">
      <w:bodyDiv w:val="1"/>
      <w:marLeft w:val="0"/>
      <w:marRight w:val="0"/>
      <w:marTop w:val="0"/>
      <w:marBottom w:val="0"/>
      <w:divBdr>
        <w:top w:val="none" w:sz="0" w:space="0" w:color="auto"/>
        <w:left w:val="none" w:sz="0" w:space="0" w:color="auto"/>
        <w:bottom w:val="none" w:sz="0" w:space="0" w:color="auto"/>
        <w:right w:val="none" w:sz="0" w:space="0" w:color="auto"/>
      </w:divBdr>
    </w:div>
    <w:div w:id="137112634">
      <w:bodyDiv w:val="1"/>
      <w:marLeft w:val="0"/>
      <w:marRight w:val="0"/>
      <w:marTop w:val="0"/>
      <w:marBottom w:val="0"/>
      <w:divBdr>
        <w:top w:val="none" w:sz="0" w:space="0" w:color="auto"/>
        <w:left w:val="none" w:sz="0" w:space="0" w:color="auto"/>
        <w:bottom w:val="none" w:sz="0" w:space="0" w:color="auto"/>
        <w:right w:val="none" w:sz="0" w:space="0" w:color="auto"/>
      </w:divBdr>
    </w:div>
    <w:div w:id="141118225">
      <w:bodyDiv w:val="1"/>
      <w:marLeft w:val="0"/>
      <w:marRight w:val="0"/>
      <w:marTop w:val="0"/>
      <w:marBottom w:val="0"/>
      <w:divBdr>
        <w:top w:val="none" w:sz="0" w:space="0" w:color="auto"/>
        <w:left w:val="none" w:sz="0" w:space="0" w:color="auto"/>
        <w:bottom w:val="none" w:sz="0" w:space="0" w:color="auto"/>
        <w:right w:val="none" w:sz="0" w:space="0" w:color="auto"/>
      </w:divBdr>
      <w:divsChild>
        <w:div w:id="213350831">
          <w:marLeft w:val="0"/>
          <w:marRight w:val="0"/>
          <w:marTop w:val="0"/>
          <w:marBottom w:val="0"/>
          <w:divBdr>
            <w:top w:val="none" w:sz="0" w:space="0" w:color="auto"/>
            <w:left w:val="none" w:sz="0" w:space="0" w:color="auto"/>
            <w:bottom w:val="none" w:sz="0" w:space="0" w:color="auto"/>
            <w:right w:val="none" w:sz="0" w:space="0" w:color="auto"/>
          </w:divBdr>
        </w:div>
        <w:div w:id="485704701">
          <w:marLeft w:val="0"/>
          <w:marRight w:val="0"/>
          <w:marTop w:val="0"/>
          <w:marBottom w:val="0"/>
          <w:divBdr>
            <w:top w:val="none" w:sz="0" w:space="0" w:color="auto"/>
            <w:left w:val="none" w:sz="0" w:space="0" w:color="auto"/>
            <w:bottom w:val="none" w:sz="0" w:space="0" w:color="auto"/>
            <w:right w:val="none" w:sz="0" w:space="0" w:color="auto"/>
          </w:divBdr>
        </w:div>
        <w:div w:id="502286120">
          <w:marLeft w:val="0"/>
          <w:marRight w:val="0"/>
          <w:marTop w:val="0"/>
          <w:marBottom w:val="0"/>
          <w:divBdr>
            <w:top w:val="none" w:sz="0" w:space="0" w:color="auto"/>
            <w:left w:val="none" w:sz="0" w:space="0" w:color="auto"/>
            <w:bottom w:val="none" w:sz="0" w:space="0" w:color="auto"/>
            <w:right w:val="none" w:sz="0" w:space="0" w:color="auto"/>
          </w:divBdr>
        </w:div>
        <w:div w:id="907420459">
          <w:marLeft w:val="0"/>
          <w:marRight w:val="0"/>
          <w:marTop w:val="0"/>
          <w:marBottom w:val="0"/>
          <w:divBdr>
            <w:top w:val="none" w:sz="0" w:space="0" w:color="auto"/>
            <w:left w:val="none" w:sz="0" w:space="0" w:color="auto"/>
            <w:bottom w:val="none" w:sz="0" w:space="0" w:color="auto"/>
            <w:right w:val="none" w:sz="0" w:space="0" w:color="auto"/>
          </w:divBdr>
        </w:div>
        <w:div w:id="1397440025">
          <w:marLeft w:val="0"/>
          <w:marRight w:val="0"/>
          <w:marTop w:val="0"/>
          <w:marBottom w:val="0"/>
          <w:divBdr>
            <w:top w:val="none" w:sz="0" w:space="0" w:color="auto"/>
            <w:left w:val="none" w:sz="0" w:space="0" w:color="auto"/>
            <w:bottom w:val="none" w:sz="0" w:space="0" w:color="auto"/>
            <w:right w:val="none" w:sz="0" w:space="0" w:color="auto"/>
          </w:divBdr>
        </w:div>
        <w:div w:id="1723165633">
          <w:marLeft w:val="0"/>
          <w:marRight w:val="0"/>
          <w:marTop w:val="0"/>
          <w:marBottom w:val="0"/>
          <w:divBdr>
            <w:top w:val="none" w:sz="0" w:space="0" w:color="auto"/>
            <w:left w:val="none" w:sz="0" w:space="0" w:color="auto"/>
            <w:bottom w:val="none" w:sz="0" w:space="0" w:color="auto"/>
            <w:right w:val="none" w:sz="0" w:space="0" w:color="auto"/>
          </w:divBdr>
        </w:div>
        <w:div w:id="1733186910">
          <w:marLeft w:val="0"/>
          <w:marRight w:val="0"/>
          <w:marTop w:val="0"/>
          <w:marBottom w:val="0"/>
          <w:divBdr>
            <w:top w:val="none" w:sz="0" w:space="0" w:color="auto"/>
            <w:left w:val="none" w:sz="0" w:space="0" w:color="auto"/>
            <w:bottom w:val="none" w:sz="0" w:space="0" w:color="auto"/>
            <w:right w:val="none" w:sz="0" w:space="0" w:color="auto"/>
          </w:divBdr>
        </w:div>
        <w:div w:id="1816750584">
          <w:marLeft w:val="0"/>
          <w:marRight w:val="0"/>
          <w:marTop w:val="0"/>
          <w:marBottom w:val="0"/>
          <w:divBdr>
            <w:top w:val="none" w:sz="0" w:space="0" w:color="auto"/>
            <w:left w:val="none" w:sz="0" w:space="0" w:color="auto"/>
            <w:bottom w:val="none" w:sz="0" w:space="0" w:color="auto"/>
            <w:right w:val="none" w:sz="0" w:space="0" w:color="auto"/>
          </w:divBdr>
        </w:div>
        <w:div w:id="1888099965">
          <w:marLeft w:val="0"/>
          <w:marRight w:val="0"/>
          <w:marTop w:val="0"/>
          <w:marBottom w:val="0"/>
          <w:divBdr>
            <w:top w:val="none" w:sz="0" w:space="0" w:color="auto"/>
            <w:left w:val="none" w:sz="0" w:space="0" w:color="auto"/>
            <w:bottom w:val="none" w:sz="0" w:space="0" w:color="auto"/>
            <w:right w:val="none" w:sz="0" w:space="0" w:color="auto"/>
          </w:divBdr>
        </w:div>
      </w:divsChild>
    </w:div>
    <w:div w:id="164787100">
      <w:bodyDiv w:val="1"/>
      <w:marLeft w:val="0"/>
      <w:marRight w:val="0"/>
      <w:marTop w:val="0"/>
      <w:marBottom w:val="0"/>
      <w:divBdr>
        <w:top w:val="none" w:sz="0" w:space="0" w:color="auto"/>
        <w:left w:val="none" w:sz="0" w:space="0" w:color="auto"/>
        <w:bottom w:val="none" w:sz="0" w:space="0" w:color="auto"/>
        <w:right w:val="none" w:sz="0" w:space="0" w:color="auto"/>
      </w:divBdr>
    </w:div>
    <w:div w:id="170416227">
      <w:bodyDiv w:val="1"/>
      <w:marLeft w:val="0"/>
      <w:marRight w:val="0"/>
      <w:marTop w:val="0"/>
      <w:marBottom w:val="0"/>
      <w:divBdr>
        <w:top w:val="none" w:sz="0" w:space="0" w:color="auto"/>
        <w:left w:val="none" w:sz="0" w:space="0" w:color="auto"/>
        <w:bottom w:val="none" w:sz="0" w:space="0" w:color="auto"/>
        <w:right w:val="none" w:sz="0" w:space="0" w:color="auto"/>
      </w:divBdr>
    </w:div>
    <w:div w:id="204946360">
      <w:bodyDiv w:val="1"/>
      <w:marLeft w:val="0"/>
      <w:marRight w:val="0"/>
      <w:marTop w:val="0"/>
      <w:marBottom w:val="0"/>
      <w:divBdr>
        <w:top w:val="none" w:sz="0" w:space="0" w:color="auto"/>
        <w:left w:val="none" w:sz="0" w:space="0" w:color="auto"/>
        <w:bottom w:val="none" w:sz="0" w:space="0" w:color="auto"/>
        <w:right w:val="none" w:sz="0" w:space="0" w:color="auto"/>
      </w:divBdr>
    </w:div>
    <w:div w:id="227612856">
      <w:bodyDiv w:val="1"/>
      <w:marLeft w:val="0"/>
      <w:marRight w:val="0"/>
      <w:marTop w:val="0"/>
      <w:marBottom w:val="0"/>
      <w:divBdr>
        <w:top w:val="none" w:sz="0" w:space="0" w:color="auto"/>
        <w:left w:val="none" w:sz="0" w:space="0" w:color="auto"/>
        <w:bottom w:val="none" w:sz="0" w:space="0" w:color="auto"/>
        <w:right w:val="none" w:sz="0" w:space="0" w:color="auto"/>
      </w:divBdr>
    </w:div>
    <w:div w:id="235867232">
      <w:bodyDiv w:val="1"/>
      <w:marLeft w:val="0"/>
      <w:marRight w:val="0"/>
      <w:marTop w:val="0"/>
      <w:marBottom w:val="0"/>
      <w:divBdr>
        <w:top w:val="none" w:sz="0" w:space="0" w:color="auto"/>
        <w:left w:val="none" w:sz="0" w:space="0" w:color="auto"/>
        <w:bottom w:val="none" w:sz="0" w:space="0" w:color="auto"/>
        <w:right w:val="none" w:sz="0" w:space="0" w:color="auto"/>
      </w:divBdr>
    </w:div>
    <w:div w:id="261379523">
      <w:bodyDiv w:val="1"/>
      <w:marLeft w:val="0"/>
      <w:marRight w:val="0"/>
      <w:marTop w:val="0"/>
      <w:marBottom w:val="0"/>
      <w:divBdr>
        <w:top w:val="none" w:sz="0" w:space="0" w:color="auto"/>
        <w:left w:val="none" w:sz="0" w:space="0" w:color="auto"/>
        <w:bottom w:val="none" w:sz="0" w:space="0" w:color="auto"/>
        <w:right w:val="none" w:sz="0" w:space="0" w:color="auto"/>
      </w:divBdr>
    </w:div>
    <w:div w:id="301272498">
      <w:bodyDiv w:val="1"/>
      <w:marLeft w:val="0"/>
      <w:marRight w:val="0"/>
      <w:marTop w:val="0"/>
      <w:marBottom w:val="0"/>
      <w:divBdr>
        <w:top w:val="none" w:sz="0" w:space="0" w:color="auto"/>
        <w:left w:val="none" w:sz="0" w:space="0" w:color="auto"/>
        <w:bottom w:val="none" w:sz="0" w:space="0" w:color="auto"/>
        <w:right w:val="none" w:sz="0" w:space="0" w:color="auto"/>
      </w:divBdr>
    </w:div>
    <w:div w:id="310328143">
      <w:bodyDiv w:val="1"/>
      <w:marLeft w:val="0"/>
      <w:marRight w:val="0"/>
      <w:marTop w:val="0"/>
      <w:marBottom w:val="0"/>
      <w:divBdr>
        <w:top w:val="none" w:sz="0" w:space="0" w:color="auto"/>
        <w:left w:val="none" w:sz="0" w:space="0" w:color="auto"/>
        <w:bottom w:val="none" w:sz="0" w:space="0" w:color="auto"/>
        <w:right w:val="none" w:sz="0" w:space="0" w:color="auto"/>
      </w:divBdr>
    </w:div>
    <w:div w:id="311642757">
      <w:bodyDiv w:val="1"/>
      <w:marLeft w:val="0"/>
      <w:marRight w:val="0"/>
      <w:marTop w:val="0"/>
      <w:marBottom w:val="0"/>
      <w:divBdr>
        <w:top w:val="none" w:sz="0" w:space="0" w:color="auto"/>
        <w:left w:val="none" w:sz="0" w:space="0" w:color="auto"/>
        <w:bottom w:val="none" w:sz="0" w:space="0" w:color="auto"/>
        <w:right w:val="none" w:sz="0" w:space="0" w:color="auto"/>
      </w:divBdr>
      <w:divsChild>
        <w:div w:id="647704731">
          <w:marLeft w:val="0"/>
          <w:marRight w:val="0"/>
          <w:marTop w:val="0"/>
          <w:marBottom w:val="0"/>
          <w:divBdr>
            <w:top w:val="none" w:sz="0" w:space="0" w:color="auto"/>
            <w:left w:val="none" w:sz="0" w:space="0" w:color="auto"/>
            <w:bottom w:val="none" w:sz="0" w:space="0" w:color="auto"/>
            <w:right w:val="none" w:sz="0" w:space="0" w:color="auto"/>
          </w:divBdr>
        </w:div>
        <w:div w:id="1051466220">
          <w:marLeft w:val="0"/>
          <w:marRight w:val="0"/>
          <w:marTop w:val="0"/>
          <w:marBottom w:val="0"/>
          <w:divBdr>
            <w:top w:val="none" w:sz="0" w:space="0" w:color="auto"/>
            <w:left w:val="none" w:sz="0" w:space="0" w:color="auto"/>
            <w:bottom w:val="none" w:sz="0" w:space="0" w:color="auto"/>
            <w:right w:val="none" w:sz="0" w:space="0" w:color="auto"/>
          </w:divBdr>
        </w:div>
      </w:divsChild>
    </w:div>
    <w:div w:id="313682250">
      <w:bodyDiv w:val="1"/>
      <w:marLeft w:val="0"/>
      <w:marRight w:val="0"/>
      <w:marTop w:val="0"/>
      <w:marBottom w:val="0"/>
      <w:divBdr>
        <w:top w:val="none" w:sz="0" w:space="0" w:color="auto"/>
        <w:left w:val="none" w:sz="0" w:space="0" w:color="auto"/>
        <w:bottom w:val="none" w:sz="0" w:space="0" w:color="auto"/>
        <w:right w:val="none" w:sz="0" w:space="0" w:color="auto"/>
      </w:divBdr>
    </w:div>
    <w:div w:id="317423219">
      <w:bodyDiv w:val="1"/>
      <w:marLeft w:val="0"/>
      <w:marRight w:val="0"/>
      <w:marTop w:val="0"/>
      <w:marBottom w:val="0"/>
      <w:divBdr>
        <w:top w:val="none" w:sz="0" w:space="0" w:color="auto"/>
        <w:left w:val="none" w:sz="0" w:space="0" w:color="auto"/>
        <w:bottom w:val="none" w:sz="0" w:space="0" w:color="auto"/>
        <w:right w:val="none" w:sz="0" w:space="0" w:color="auto"/>
      </w:divBdr>
    </w:div>
    <w:div w:id="338968715">
      <w:bodyDiv w:val="1"/>
      <w:marLeft w:val="0"/>
      <w:marRight w:val="0"/>
      <w:marTop w:val="0"/>
      <w:marBottom w:val="0"/>
      <w:divBdr>
        <w:top w:val="none" w:sz="0" w:space="0" w:color="auto"/>
        <w:left w:val="none" w:sz="0" w:space="0" w:color="auto"/>
        <w:bottom w:val="none" w:sz="0" w:space="0" w:color="auto"/>
        <w:right w:val="none" w:sz="0" w:space="0" w:color="auto"/>
      </w:divBdr>
    </w:div>
    <w:div w:id="348987920">
      <w:bodyDiv w:val="1"/>
      <w:marLeft w:val="0"/>
      <w:marRight w:val="0"/>
      <w:marTop w:val="0"/>
      <w:marBottom w:val="0"/>
      <w:divBdr>
        <w:top w:val="none" w:sz="0" w:space="0" w:color="auto"/>
        <w:left w:val="none" w:sz="0" w:space="0" w:color="auto"/>
        <w:bottom w:val="none" w:sz="0" w:space="0" w:color="auto"/>
        <w:right w:val="none" w:sz="0" w:space="0" w:color="auto"/>
      </w:divBdr>
    </w:div>
    <w:div w:id="351959051">
      <w:bodyDiv w:val="1"/>
      <w:marLeft w:val="0"/>
      <w:marRight w:val="0"/>
      <w:marTop w:val="0"/>
      <w:marBottom w:val="0"/>
      <w:divBdr>
        <w:top w:val="none" w:sz="0" w:space="0" w:color="auto"/>
        <w:left w:val="none" w:sz="0" w:space="0" w:color="auto"/>
        <w:bottom w:val="none" w:sz="0" w:space="0" w:color="auto"/>
        <w:right w:val="none" w:sz="0" w:space="0" w:color="auto"/>
      </w:divBdr>
      <w:divsChild>
        <w:div w:id="961612687">
          <w:marLeft w:val="547"/>
          <w:marRight w:val="0"/>
          <w:marTop w:val="0"/>
          <w:marBottom w:val="120"/>
          <w:divBdr>
            <w:top w:val="none" w:sz="0" w:space="0" w:color="auto"/>
            <w:left w:val="none" w:sz="0" w:space="0" w:color="auto"/>
            <w:bottom w:val="none" w:sz="0" w:space="0" w:color="auto"/>
            <w:right w:val="none" w:sz="0" w:space="0" w:color="auto"/>
          </w:divBdr>
        </w:div>
        <w:div w:id="345644616">
          <w:marLeft w:val="547"/>
          <w:marRight w:val="0"/>
          <w:marTop w:val="0"/>
          <w:marBottom w:val="120"/>
          <w:divBdr>
            <w:top w:val="none" w:sz="0" w:space="0" w:color="auto"/>
            <w:left w:val="none" w:sz="0" w:space="0" w:color="auto"/>
            <w:bottom w:val="none" w:sz="0" w:space="0" w:color="auto"/>
            <w:right w:val="none" w:sz="0" w:space="0" w:color="auto"/>
          </w:divBdr>
        </w:div>
        <w:div w:id="1175076910">
          <w:marLeft w:val="547"/>
          <w:marRight w:val="0"/>
          <w:marTop w:val="0"/>
          <w:marBottom w:val="120"/>
          <w:divBdr>
            <w:top w:val="none" w:sz="0" w:space="0" w:color="auto"/>
            <w:left w:val="none" w:sz="0" w:space="0" w:color="auto"/>
            <w:bottom w:val="none" w:sz="0" w:space="0" w:color="auto"/>
            <w:right w:val="none" w:sz="0" w:space="0" w:color="auto"/>
          </w:divBdr>
        </w:div>
        <w:div w:id="1906599117">
          <w:marLeft w:val="547"/>
          <w:marRight w:val="0"/>
          <w:marTop w:val="0"/>
          <w:marBottom w:val="120"/>
          <w:divBdr>
            <w:top w:val="none" w:sz="0" w:space="0" w:color="auto"/>
            <w:left w:val="none" w:sz="0" w:space="0" w:color="auto"/>
            <w:bottom w:val="none" w:sz="0" w:space="0" w:color="auto"/>
            <w:right w:val="none" w:sz="0" w:space="0" w:color="auto"/>
          </w:divBdr>
        </w:div>
        <w:div w:id="1697652091">
          <w:marLeft w:val="547"/>
          <w:marRight w:val="0"/>
          <w:marTop w:val="0"/>
          <w:marBottom w:val="120"/>
          <w:divBdr>
            <w:top w:val="none" w:sz="0" w:space="0" w:color="auto"/>
            <w:left w:val="none" w:sz="0" w:space="0" w:color="auto"/>
            <w:bottom w:val="none" w:sz="0" w:space="0" w:color="auto"/>
            <w:right w:val="none" w:sz="0" w:space="0" w:color="auto"/>
          </w:divBdr>
        </w:div>
        <w:div w:id="824586263">
          <w:marLeft w:val="547"/>
          <w:marRight w:val="0"/>
          <w:marTop w:val="0"/>
          <w:marBottom w:val="120"/>
          <w:divBdr>
            <w:top w:val="none" w:sz="0" w:space="0" w:color="auto"/>
            <w:left w:val="none" w:sz="0" w:space="0" w:color="auto"/>
            <w:bottom w:val="none" w:sz="0" w:space="0" w:color="auto"/>
            <w:right w:val="none" w:sz="0" w:space="0" w:color="auto"/>
          </w:divBdr>
        </w:div>
        <w:div w:id="1179732749">
          <w:marLeft w:val="547"/>
          <w:marRight w:val="0"/>
          <w:marTop w:val="0"/>
          <w:marBottom w:val="120"/>
          <w:divBdr>
            <w:top w:val="none" w:sz="0" w:space="0" w:color="auto"/>
            <w:left w:val="none" w:sz="0" w:space="0" w:color="auto"/>
            <w:bottom w:val="none" w:sz="0" w:space="0" w:color="auto"/>
            <w:right w:val="none" w:sz="0" w:space="0" w:color="auto"/>
          </w:divBdr>
        </w:div>
        <w:div w:id="1535339610">
          <w:marLeft w:val="547"/>
          <w:marRight w:val="0"/>
          <w:marTop w:val="0"/>
          <w:marBottom w:val="120"/>
          <w:divBdr>
            <w:top w:val="none" w:sz="0" w:space="0" w:color="auto"/>
            <w:left w:val="none" w:sz="0" w:space="0" w:color="auto"/>
            <w:bottom w:val="none" w:sz="0" w:space="0" w:color="auto"/>
            <w:right w:val="none" w:sz="0" w:space="0" w:color="auto"/>
          </w:divBdr>
        </w:div>
        <w:div w:id="64230108">
          <w:marLeft w:val="547"/>
          <w:marRight w:val="0"/>
          <w:marTop w:val="0"/>
          <w:marBottom w:val="120"/>
          <w:divBdr>
            <w:top w:val="none" w:sz="0" w:space="0" w:color="auto"/>
            <w:left w:val="none" w:sz="0" w:space="0" w:color="auto"/>
            <w:bottom w:val="none" w:sz="0" w:space="0" w:color="auto"/>
            <w:right w:val="none" w:sz="0" w:space="0" w:color="auto"/>
          </w:divBdr>
        </w:div>
      </w:divsChild>
    </w:div>
    <w:div w:id="353657469">
      <w:bodyDiv w:val="1"/>
      <w:marLeft w:val="0"/>
      <w:marRight w:val="0"/>
      <w:marTop w:val="0"/>
      <w:marBottom w:val="0"/>
      <w:divBdr>
        <w:top w:val="none" w:sz="0" w:space="0" w:color="auto"/>
        <w:left w:val="none" w:sz="0" w:space="0" w:color="auto"/>
        <w:bottom w:val="none" w:sz="0" w:space="0" w:color="auto"/>
        <w:right w:val="none" w:sz="0" w:space="0" w:color="auto"/>
      </w:divBdr>
    </w:div>
    <w:div w:id="358169324">
      <w:bodyDiv w:val="1"/>
      <w:marLeft w:val="0"/>
      <w:marRight w:val="0"/>
      <w:marTop w:val="0"/>
      <w:marBottom w:val="0"/>
      <w:divBdr>
        <w:top w:val="none" w:sz="0" w:space="0" w:color="auto"/>
        <w:left w:val="none" w:sz="0" w:space="0" w:color="auto"/>
        <w:bottom w:val="none" w:sz="0" w:space="0" w:color="auto"/>
        <w:right w:val="none" w:sz="0" w:space="0" w:color="auto"/>
      </w:divBdr>
      <w:divsChild>
        <w:div w:id="130098317">
          <w:marLeft w:val="0"/>
          <w:marRight w:val="0"/>
          <w:marTop w:val="0"/>
          <w:marBottom w:val="0"/>
          <w:divBdr>
            <w:top w:val="none" w:sz="0" w:space="0" w:color="auto"/>
            <w:left w:val="none" w:sz="0" w:space="0" w:color="auto"/>
            <w:bottom w:val="none" w:sz="0" w:space="0" w:color="auto"/>
            <w:right w:val="none" w:sz="0" w:space="0" w:color="auto"/>
          </w:divBdr>
          <w:divsChild>
            <w:div w:id="304819973">
              <w:marLeft w:val="0"/>
              <w:marRight w:val="0"/>
              <w:marTop w:val="0"/>
              <w:marBottom w:val="0"/>
              <w:divBdr>
                <w:top w:val="none" w:sz="0" w:space="0" w:color="auto"/>
                <w:left w:val="none" w:sz="0" w:space="0" w:color="auto"/>
                <w:bottom w:val="none" w:sz="0" w:space="0" w:color="auto"/>
                <w:right w:val="none" w:sz="0" w:space="0" w:color="auto"/>
              </w:divBdr>
            </w:div>
            <w:div w:id="797840779">
              <w:marLeft w:val="0"/>
              <w:marRight w:val="0"/>
              <w:marTop w:val="0"/>
              <w:marBottom w:val="0"/>
              <w:divBdr>
                <w:top w:val="none" w:sz="0" w:space="0" w:color="auto"/>
                <w:left w:val="none" w:sz="0" w:space="0" w:color="auto"/>
                <w:bottom w:val="none" w:sz="0" w:space="0" w:color="auto"/>
                <w:right w:val="none" w:sz="0" w:space="0" w:color="auto"/>
              </w:divBdr>
            </w:div>
            <w:div w:id="1707102818">
              <w:marLeft w:val="0"/>
              <w:marRight w:val="0"/>
              <w:marTop w:val="0"/>
              <w:marBottom w:val="0"/>
              <w:divBdr>
                <w:top w:val="none" w:sz="0" w:space="0" w:color="auto"/>
                <w:left w:val="none" w:sz="0" w:space="0" w:color="auto"/>
                <w:bottom w:val="none" w:sz="0" w:space="0" w:color="auto"/>
                <w:right w:val="none" w:sz="0" w:space="0" w:color="auto"/>
              </w:divBdr>
            </w:div>
            <w:div w:id="1923487125">
              <w:marLeft w:val="0"/>
              <w:marRight w:val="0"/>
              <w:marTop w:val="0"/>
              <w:marBottom w:val="0"/>
              <w:divBdr>
                <w:top w:val="none" w:sz="0" w:space="0" w:color="auto"/>
                <w:left w:val="none" w:sz="0" w:space="0" w:color="auto"/>
                <w:bottom w:val="none" w:sz="0" w:space="0" w:color="auto"/>
                <w:right w:val="none" w:sz="0" w:space="0" w:color="auto"/>
              </w:divBdr>
            </w:div>
            <w:div w:id="2056855870">
              <w:marLeft w:val="0"/>
              <w:marRight w:val="0"/>
              <w:marTop w:val="0"/>
              <w:marBottom w:val="0"/>
              <w:divBdr>
                <w:top w:val="none" w:sz="0" w:space="0" w:color="auto"/>
                <w:left w:val="none" w:sz="0" w:space="0" w:color="auto"/>
                <w:bottom w:val="none" w:sz="0" w:space="0" w:color="auto"/>
                <w:right w:val="none" w:sz="0" w:space="0" w:color="auto"/>
              </w:divBdr>
            </w:div>
          </w:divsChild>
        </w:div>
        <w:div w:id="1157069313">
          <w:marLeft w:val="0"/>
          <w:marRight w:val="0"/>
          <w:marTop w:val="0"/>
          <w:marBottom w:val="0"/>
          <w:divBdr>
            <w:top w:val="none" w:sz="0" w:space="0" w:color="auto"/>
            <w:left w:val="none" w:sz="0" w:space="0" w:color="auto"/>
            <w:bottom w:val="none" w:sz="0" w:space="0" w:color="auto"/>
            <w:right w:val="none" w:sz="0" w:space="0" w:color="auto"/>
          </w:divBdr>
          <w:divsChild>
            <w:div w:id="1970629518">
              <w:marLeft w:val="0"/>
              <w:marRight w:val="0"/>
              <w:marTop w:val="0"/>
              <w:marBottom w:val="0"/>
              <w:divBdr>
                <w:top w:val="none" w:sz="0" w:space="0" w:color="auto"/>
                <w:left w:val="none" w:sz="0" w:space="0" w:color="auto"/>
                <w:bottom w:val="none" w:sz="0" w:space="0" w:color="auto"/>
                <w:right w:val="none" w:sz="0" w:space="0" w:color="auto"/>
              </w:divBdr>
            </w:div>
          </w:divsChild>
        </w:div>
        <w:div w:id="1964342329">
          <w:marLeft w:val="0"/>
          <w:marRight w:val="0"/>
          <w:marTop w:val="0"/>
          <w:marBottom w:val="0"/>
          <w:divBdr>
            <w:top w:val="none" w:sz="0" w:space="0" w:color="auto"/>
            <w:left w:val="none" w:sz="0" w:space="0" w:color="auto"/>
            <w:bottom w:val="none" w:sz="0" w:space="0" w:color="auto"/>
            <w:right w:val="none" w:sz="0" w:space="0" w:color="auto"/>
          </w:divBdr>
          <w:divsChild>
            <w:div w:id="40254101">
              <w:marLeft w:val="0"/>
              <w:marRight w:val="0"/>
              <w:marTop w:val="0"/>
              <w:marBottom w:val="0"/>
              <w:divBdr>
                <w:top w:val="none" w:sz="0" w:space="0" w:color="auto"/>
                <w:left w:val="none" w:sz="0" w:space="0" w:color="auto"/>
                <w:bottom w:val="none" w:sz="0" w:space="0" w:color="auto"/>
                <w:right w:val="none" w:sz="0" w:space="0" w:color="auto"/>
              </w:divBdr>
            </w:div>
            <w:div w:id="55859960">
              <w:marLeft w:val="0"/>
              <w:marRight w:val="0"/>
              <w:marTop w:val="0"/>
              <w:marBottom w:val="0"/>
              <w:divBdr>
                <w:top w:val="none" w:sz="0" w:space="0" w:color="auto"/>
                <w:left w:val="none" w:sz="0" w:space="0" w:color="auto"/>
                <w:bottom w:val="none" w:sz="0" w:space="0" w:color="auto"/>
                <w:right w:val="none" w:sz="0" w:space="0" w:color="auto"/>
              </w:divBdr>
            </w:div>
            <w:div w:id="168376672">
              <w:marLeft w:val="0"/>
              <w:marRight w:val="0"/>
              <w:marTop w:val="0"/>
              <w:marBottom w:val="0"/>
              <w:divBdr>
                <w:top w:val="none" w:sz="0" w:space="0" w:color="auto"/>
                <w:left w:val="none" w:sz="0" w:space="0" w:color="auto"/>
                <w:bottom w:val="none" w:sz="0" w:space="0" w:color="auto"/>
                <w:right w:val="none" w:sz="0" w:space="0" w:color="auto"/>
              </w:divBdr>
            </w:div>
            <w:div w:id="755590577">
              <w:marLeft w:val="0"/>
              <w:marRight w:val="0"/>
              <w:marTop w:val="0"/>
              <w:marBottom w:val="0"/>
              <w:divBdr>
                <w:top w:val="none" w:sz="0" w:space="0" w:color="auto"/>
                <w:left w:val="none" w:sz="0" w:space="0" w:color="auto"/>
                <w:bottom w:val="none" w:sz="0" w:space="0" w:color="auto"/>
                <w:right w:val="none" w:sz="0" w:space="0" w:color="auto"/>
              </w:divBdr>
            </w:div>
            <w:div w:id="125431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124483">
      <w:bodyDiv w:val="1"/>
      <w:marLeft w:val="0"/>
      <w:marRight w:val="0"/>
      <w:marTop w:val="0"/>
      <w:marBottom w:val="0"/>
      <w:divBdr>
        <w:top w:val="none" w:sz="0" w:space="0" w:color="auto"/>
        <w:left w:val="none" w:sz="0" w:space="0" w:color="auto"/>
        <w:bottom w:val="none" w:sz="0" w:space="0" w:color="auto"/>
        <w:right w:val="none" w:sz="0" w:space="0" w:color="auto"/>
      </w:divBdr>
    </w:div>
    <w:div w:id="400062248">
      <w:bodyDiv w:val="1"/>
      <w:marLeft w:val="0"/>
      <w:marRight w:val="0"/>
      <w:marTop w:val="0"/>
      <w:marBottom w:val="0"/>
      <w:divBdr>
        <w:top w:val="none" w:sz="0" w:space="0" w:color="auto"/>
        <w:left w:val="none" w:sz="0" w:space="0" w:color="auto"/>
        <w:bottom w:val="none" w:sz="0" w:space="0" w:color="auto"/>
        <w:right w:val="none" w:sz="0" w:space="0" w:color="auto"/>
      </w:divBdr>
    </w:div>
    <w:div w:id="437024061">
      <w:bodyDiv w:val="1"/>
      <w:marLeft w:val="0"/>
      <w:marRight w:val="0"/>
      <w:marTop w:val="0"/>
      <w:marBottom w:val="0"/>
      <w:divBdr>
        <w:top w:val="none" w:sz="0" w:space="0" w:color="auto"/>
        <w:left w:val="none" w:sz="0" w:space="0" w:color="auto"/>
        <w:bottom w:val="none" w:sz="0" w:space="0" w:color="auto"/>
        <w:right w:val="none" w:sz="0" w:space="0" w:color="auto"/>
      </w:divBdr>
    </w:div>
    <w:div w:id="497424679">
      <w:bodyDiv w:val="1"/>
      <w:marLeft w:val="0"/>
      <w:marRight w:val="0"/>
      <w:marTop w:val="0"/>
      <w:marBottom w:val="0"/>
      <w:divBdr>
        <w:top w:val="none" w:sz="0" w:space="0" w:color="auto"/>
        <w:left w:val="none" w:sz="0" w:space="0" w:color="auto"/>
        <w:bottom w:val="none" w:sz="0" w:space="0" w:color="auto"/>
        <w:right w:val="none" w:sz="0" w:space="0" w:color="auto"/>
      </w:divBdr>
    </w:div>
    <w:div w:id="511342046">
      <w:bodyDiv w:val="1"/>
      <w:marLeft w:val="0"/>
      <w:marRight w:val="0"/>
      <w:marTop w:val="0"/>
      <w:marBottom w:val="0"/>
      <w:divBdr>
        <w:top w:val="none" w:sz="0" w:space="0" w:color="auto"/>
        <w:left w:val="none" w:sz="0" w:space="0" w:color="auto"/>
        <w:bottom w:val="none" w:sz="0" w:space="0" w:color="auto"/>
        <w:right w:val="none" w:sz="0" w:space="0" w:color="auto"/>
      </w:divBdr>
    </w:div>
    <w:div w:id="520125540">
      <w:bodyDiv w:val="1"/>
      <w:marLeft w:val="0"/>
      <w:marRight w:val="0"/>
      <w:marTop w:val="0"/>
      <w:marBottom w:val="0"/>
      <w:divBdr>
        <w:top w:val="none" w:sz="0" w:space="0" w:color="auto"/>
        <w:left w:val="none" w:sz="0" w:space="0" w:color="auto"/>
        <w:bottom w:val="none" w:sz="0" w:space="0" w:color="auto"/>
        <w:right w:val="none" w:sz="0" w:space="0" w:color="auto"/>
      </w:divBdr>
      <w:divsChild>
        <w:div w:id="519465139">
          <w:marLeft w:val="0"/>
          <w:marRight w:val="0"/>
          <w:marTop w:val="0"/>
          <w:marBottom w:val="0"/>
          <w:divBdr>
            <w:top w:val="none" w:sz="0" w:space="0" w:color="auto"/>
            <w:left w:val="none" w:sz="0" w:space="0" w:color="auto"/>
            <w:bottom w:val="none" w:sz="0" w:space="0" w:color="auto"/>
            <w:right w:val="none" w:sz="0" w:space="0" w:color="auto"/>
          </w:divBdr>
        </w:div>
        <w:div w:id="556822376">
          <w:marLeft w:val="0"/>
          <w:marRight w:val="0"/>
          <w:marTop w:val="0"/>
          <w:marBottom w:val="0"/>
          <w:divBdr>
            <w:top w:val="none" w:sz="0" w:space="0" w:color="auto"/>
            <w:left w:val="none" w:sz="0" w:space="0" w:color="auto"/>
            <w:bottom w:val="none" w:sz="0" w:space="0" w:color="auto"/>
            <w:right w:val="none" w:sz="0" w:space="0" w:color="auto"/>
          </w:divBdr>
        </w:div>
        <w:div w:id="689724818">
          <w:marLeft w:val="0"/>
          <w:marRight w:val="0"/>
          <w:marTop w:val="0"/>
          <w:marBottom w:val="0"/>
          <w:divBdr>
            <w:top w:val="none" w:sz="0" w:space="0" w:color="auto"/>
            <w:left w:val="none" w:sz="0" w:space="0" w:color="auto"/>
            <w:bottom w:val="none" w:sz="0" w:space="0" w:color="auto"/>
            <w:right w:val="none" w:sz="0" w:space="0" w:color="auto"/>
          </w:divBdr>
        </w:div>
        <w:div w:id="709450816">
          <w:marLeft w:val="0"/>
          <w:marRight w:val="0"/>
          <w:marTop w:val="0"/>
          <w:marBottom w:val="0"/>
          <w:divBdr>
            <w:top w:val="none" w:sz="0" w:space="0" w:color="auto"/>
            <w:left w:val="none" w:sz="0" w:space="0" w:color="auto"/>
            <w:bottom w:val="none" w:sz="0" w:space="0" w:color="auto"/>
            <w:right w:val="none" w:sz="0" w:space="0" w:color="auto"/>
          </w:divBdr>
        </w:div>
        <w:div w:id="1177111805">
          <w:marLeft w:val="0"/>
          <w:marRight w:val="0"/>
          <w:marTop w:val="0"/>
          <w:marBottom w:val="0"/>
          <w:divBdr>
            <w:top w:val="none" w:sz="0" w:space="0" w:color="auto"/>
            <w:left w:val="none" w:sz="0" w:space="0" w:color="auto"/>
            <w:bottom w:val="none" w:sz="0" w:space="0" w:color="auto"/>
            <w:right w:val="none" w:sz="0" w:space="0" w:color="auto"/>
          </w:divBdr>
        </w:div>
        <w:div w:id="1199930631">
          <w:marLeft w:val="0"/>
          <w:marRight w:val="0"/>
          <w:marTop w:val="0"/>
          <w:marBottom w:val="0"/>
          <w:divBdr>
            <w:top w:val="none" w:sz="0" w:space="0" w:color="auto"/>
            <w:left w:val="none" w:sz="0" w:space="0" w:color="auto"/>
            <w:bottom w:val="none" w:sz="0" w:space="0" w:color="auto"/>
            <w:right w:val="none" w:sz="0" w:space="0" w:color="auto"/>
          </w:divBdr>
        </w:div>
        <w:div w:id="1490901654">
          <w:marLeft w:val="0"/>
          <w:marRight w:val="0"/>
          <w:marTop w:val="0"/>
          <w:marBottom w:val="0"/>
          <w:divBdr>
            <w:top w:val="none" w:sz="0" w:space="0" w:color="auto"/>
            <w:left w:val="none" w:sz="0" w:space="0" w:color="auto"/>
            <w:bottom w:val="none" w:sz="0" w:space="0" w:color="auto"/>
            <w:right w:val="none" w:sz="0" w:space="0" w:color="auto"/>
          </w:divBdr>
        </w:div>
        <w:div w:id="1688367266">
          <w:marLeft w:val="0"/>
          <w:marRight w:val="0"/>
          <w:marTop w:val="0"/>
          <w:marBottom w:val="0"/>
          <w:divBdr>
            <w:top w:val="none" w:sz="0" w:space="0" w:color="auto"/>
            <w:left w:val="none" w:sz="0" w:space="0" w:color="auto"/>
            <w:bottom w:val="none" w:sz="0" w:space="0" w:color="auto"/>
            <w:right w:val="none" w:sz="0" w:space="0" w:color="auto"/>
          </w:divBdr>
        </w:div>
        <w:div w:id="1932621826">
          <w:marLeft w:val="0"/>
          <w:marRight w:val="0"/>
          <w:marTop w:val="0"/>
          <w:marBottom w:val="0"/>
          <w:divBdr>
            <w:top w:val="none" w:sz="0" w:space="0" w:color="auto"/>
            <w:left w:val="none" w:sz="0" w:space="0" w:color="auto"/>
            <w:bottom w:val="none" w:sz="0" w:space="0" w:color="auto"/>
            <w:right w:val="none" w:sz="0" w:space="0" w:color="auto"/>
          </w:divBdr>
        </w:div>
      </w:divsChild>
    </w:div>
    <w:div w:id="520900072">
      <w:bodyDiv w:val="1"/>
      <w:marLeft w:val="0"/>
      <w:marRight w:val="0"/>
      <w:marTop w:val="0"/>
      <w:marBottom w:val="0"/>
      <w:divBdr>
        <w:top w:val="none" w:sz="0" w:space="0" w:color="auto"/>
        <w:left w:val="none" w:sz="0" w:space="0" w:color="auto"/>
        <w:bottom w:val="none" w:sz="0" w:space="0" w:color="auto"/>
        <w:right w:val="none" w:sz="0" w:space="0" w:color="auto"/>
      </w:divBdr>
    </w:div>
    <w:div w:id="546071994">
      <w:bodyDiv w:val="1"/>
      <w:marLeft w:val="0"/>
      <w:marRight w:val="0"/>
      <w:marTop w:val="0"/>
      <w:marBottom w:val="0"/>
      <w:divBdr>
        <w:top w:val="none" w:sz="0" w:space="0" w:color="auto"/>
        <w:left w:val="none" w:sz="0" w:space="0" w:color="auto"/>
        <w:bottom w:val="none" w:sz="0" w:space="0" w:color="auto"/>
        <w:right w:val="none" w:sz="0" w:space="0" w:color="auto"/>
      </w:divBdr>
    </w:div>
    <w:div w:id="552817427">
      <w:bodyDiv w:val="1"/>
      <w:marLeft w:val="0"/>
      <w:marRight w:val="0"/>
      <w:marTop w:val="0"/>
      <w:marBottom w:val="0"/>
      <w:divBdr>
        <w:top w:val="none" w:sz="0" w:space="0" w:color="auto"/>
        <w:left w:val="none" w:sz="0" w:space="0" w:color="auto"/>
        <w:bottom w:val="none" w:sz="0" w:space="0" w:color="auto"/>
        <w:right w:val="none" w:sz="0" w:space="0" w:color="auto"/>
      </w:divBdr>
    </w:div>
    <w:div w:id="561410721">
      <w:bodyDiv w:val="1"/>
      <w:marLeft w:val="0"/>
      <w:marRight w:val="0"/>
      <w:marTop w:val="0"/>
      <w:marBottom w:val="0"/>
      <w:divBdr>
        <w:top w:val="none" w:sz="0" w:space="0" w:color="auto"/>
        <w:left w:val="none" w:sz="0" w:space="0" w:color="auto"/>
        <w:bottom w:val="none" w:sz="0" w:space="0" w:color="auto"/>
        <w:right w:val="none" w:sz="0" w:space="0" w:color="auto"/>
      </w:divBdr>
    </w:div>
    <w:div w:id="570652596">
      <w:bodyDiv w:val="1"/>
      <w:marLeft w:val="0"/>
      <w:marRight w:val="0"/>
      <w:marTop w:val="0"/>
      <w:marBottom w:val="0"/>
      <w:divBdr>
        <w:top w:val="none" w:sz="0" w:space="0" w:color="auto"/>
        <w:left w:val="none" w:sz="0" w:space="0" w:color="auto"/>
        <w:bottom w:val="none" w:sz="0" w:space="0" w:color="auto"/>
        <w:right w:val="none" w:sz="0" w:space="0" w:color="auto"/>
      </w:divBdr>
    </w:div>
    <w:div w:id="598759395">
      <w:bodyDiv w:val="1"/>
      <w:marLeft w:val="0"/>
      <w:marRight w:val="0"/>
      <w:marTop w:val="0"/>
      <w:marBottom w:val="0"/>
      <w:divBdr>
        <w:top w:val="none" w:sz="0" w:space="0" w:color="auto"/>
        <w:left w:val="none" w:sz="0" w:space="0" w:color="auto"/>
        <w:bottom w:val="none" w:sz="0" w:space="0" w:color="auto"/>
        <w:right w:val="none" w:sz="0" w:space="0" w:color="auto"/>
      </w:divBdr>
    </w:div>
    <w:div w:id="604534538">
      <w:bodyDiv w:val="1"/>
      <w:marLeft w:val="0"/>
      <w:marRight w:val="0"/>
      <w:marTop w:val="0"/>
      <w:marBottom w:val="0"/>
      <w:divBdr>
        <w:top w:val="none" w:sz="0" w:space="0" w:color="auto"/>
        <w:left w:val="none" w:sz="0" w:space="0" w:color="auto"/>
        <w:bottom w:val="none" w:sz="0" w:space="0" w:color="auto"/>
        <w:right w:val="none" w:sz="0" w:space="0" w:color="auto"/>
      </w:divBdr>
    </w:div>
    <w:div w:id="617568503">
      <w:bodyDiv w:val="1"/>
      <w:marLeft w:val="0"/>
      <w:marRight w:val="0"/>
      <w:marTop w:val="0"/>
      <w:marBottom w:val="0"/>
      <w:divBdr>
        <w:top w:val="none" w:sz="0" w:space="0" w:color="auto"/>
        <w:left w:val="none" w:sz="0" w:space="0" w:color="auto"/>
        <w:bottom w:val="none" w:sz="0" w:space="0" w:color="auto"/>
        <w:right w:val="none" w:sz="0" w:space="0" w:color="auto"/>
      </w:divBdr>
    </w:div>
    <w:div w:id="658273132">
      <w:bodyDiv w:val="1"/>
      <w:marLeft w:val="0"/>
      <w:marRight w:val="0"/>
      <w:marTop w:val="0"/>
      <w:marBottom w:val="0"/>
      <w:divBdr>
        <w:top w:val="none" w:sz="0" w:space="0" w:color="auto"/>
        <w:left w:val="none" w:sz="0" w:space="0" w:color="auto"/>
        <w:bottom w:val="none" w:sz="0" w:space="0" w:color="auto"/>
        <w:right w:val="none" w:sz="0" w:space="0" w:color="auto"/>
      </w:divBdr>
    </w:div>
    <w:div w:id="676344500">
      <w:bodyDiv w:val="1"/>
      <w:marLeft w:val="0"/>
      <w:marRight w:val="0"/>
      <w:marTop w:val="0"/>
      <w:marBottom w:val="0"/>
      <w:divBdr>
        <w:top w:val="none" w:sz="0" w:space="0" w:color="auto"/>
        <w:left w:val="none" w:sz="0" w:space="0" w:color="auto"/>
        <w:bottom w:val="none" w:sz="0" w:space="0" w:color="auto"/>
        <w:right w:val="none" w:sz="0" w:space="0" w:color="auto"/>
      </w:divBdr>
    </w:div>
    <w:div w:id="710496262">
      <w:bodyDiv w:val="1"/>
      <w:marLeft w:val="0"/>
      <w:marRight w:val="0"/>
      <w:marTop w:val="0"/>
      <w:marBottom w:val="0"/>
      <w:divBdr>
        <w:top w:val="none" w:sz="0" w:space="0" w:color="auto"/>
        <w:left w:val="none" w:sz="0" w:space="0" w:color="auto"/>
        <w:bottom w:val="none" w:sz="0" w:space="0" w:color="auto"/>
        <w:right w:val="none" w:sz="0" w:space="0" w:color="auto"/>
      </w:divBdr>
    </w:div>
    <w:div w:id="744453918">
      <w:bodyDiv w:val="1"/>
      <w:marLeft w:val="0"/>
      <w:marRight w:val="0"/>
      <w:marTop w:val="0"/>
      <w:marBottom w:val="0"/>
      <w:divBdr>
        <w:top w:val="none" w:sz="0" w:space="0" w:color="auto"/>
        <w:left w:val="none" w:sz="0" w:space="0" w:color="auto"/>
        <w:bottom w:val="none" w:sz="0" w:space="0" w:color="auto"/>
        <w:right w:val="none" w:sz="0" w:space="0" w:color="auto"/>
      </w:divBdr>
    </w:div>
    <w:div w:id="757945548">
      <w:bodyDiv w:val="1"/>
      <w:marLeft w:val="0"/>
      <w:marRight w:val="0"/>
      <w:marTop w:val="0"/>
      <w:marBottom w:val="0"/>
      <w:divBdr>
        <w:top w:val="none" w:sz="0" w:space="0" w:color="auto"/>
        <w:left w:val="none" w:sz="0" w:space="0" w:color="auto"/>
        <w:bottom w:val="none" w:sz="0" w:space="0" w:color="auto"/>
        <w:right w:val="none" w:sz="0" w:space="0" w:color="auto"/>
      </w:divBdr>
    </w:div>
    <w:div w:id="779953200">
      <w:bodyDiv w:val="1"/>
      <w:marLeft w:val="0"/>
      <w:marRight w:val="0"/>
      <w:marTop w:val="0"/>
      <w:marBottom w:val="0"/>
      <w:divBdr>
        <w:top w:val="none" w:sz="0" w:space="0" w:color="auto"/>
        <w:left w:val="none" w:sz="0" w:space="0" w:color="auto"/>
        <w:bottom w:val="none" w:sz="0" w:space="0" w:color="auto"/>
        <w:right w:val="none" w:sz="0" w:space="0" w:color="auto"/>
      </w:divBdr>
    </w:div>
    <w:div w:id="793671145">
      <w:bodyDiv w:val="1"/>
      <w:marLeft w:val="0"/>
      <w:marRight w:val="0"/>
      <w:marTop w:val="0"/>
      <w:marBottom w:val="0"/>
      <w:divBdr>
        <w:top w:val="none" w:sz="0" w:space="0" w:color="auto"/>
        <w:left w:val="none" w:sz="0" w:space="0" w:color="auto"/>
        <w:bottom w:val="none" w:sz="0" w:space="0" w:color="auto"/>
        <w:right w:val="none" w:sz="0" w:space="0" w:color="auto"/>
      </w:divBdr>
      <w:divsChild>
        <w:div w:id="390615040">
          <w:marLeft w:val="0"/>
          <w:marRight w:val="0"/>
          <w:marTop w:val="0"/>
          <w:marBottom w:val="0"/>
          <w:divBdr>
            <w:top w:val="none" w:sz="0" w:space="0" w:color="auto"/>
            <w:left w:val="none" w:sz="0" w:space="0" w:color="auto"/>
            <w:bottom w:val="none" w:sz="0" w:space="0" w:color="auto"/>
            <w:right w:val="none" w:sz="0" w:space="0" w:color="auto"/>
          </w:divBdr>
        </w:div>
        <w:div w:id="455685201">
          <w:marLeft w:val="0"/>
          <w:marRight w:val="0"/>
          <w:marTop w:val="0"/>
          <w:marBottom w:val="0"/>
          <w:divBdr>
            <w:top w:val="none" w:sz="0" w:space="0" w:color="auto"/>
            <w:left w:val="none" w:sz="0" w:space="0" w:color="auto"/>
            <w:bottom w:val="none" w:sz="0" w:space="0" w:color="auto"/>
            <w:right w:val="none" w:sz="0" w:space="0" w:color="auto"/>
          </w:divBdr>
        </w:div>
        <w:div w:id="574508635">
          <w:marLeft w:val="0"/>
          <w:marRight w:val="0"/>
          <w:marTop w:val="0"/>
          <w:marBottom w:val="0"/>
          <w:divBdr>
            <w:top w:val="none" w:sz="0" w:space="0" w:color="auto"/>
            <w:left w:val="none" w:sz="0" w:space="0" w:color="auto"/>
            <w:bottom w:val="none" w:sz="0" w:space="0" w:color="auto"/>
            <w:right w:val="none" w:sz="0" w:space="0" w:color="auto"/>
          </w:divBdr>
        </w:div>
        <w:div w:id="1218012157">
          <w:marLeft w:val="0"/>
          <w:marRight w:val="0"/>
          <w:marTop w:val="0"/>
          <w:marBottom w:val="0"/>
          <w:divBdr>
            <w:top w:val="none" w:sz="0" w:space="0" w:color="auto"/>
            <w:left w:val="none" w:sz="0" w:space="0" w:color="auto"/>
            <w:bottom w:val="none" w:sz="0" w:space="0" w:color="auto"/>
            <w:right w:val="none" w:sz="0" w:space="0" w:color="auto"/>
          </w:divBdr>
        </w:div>
        <w:div w:id="1954170282">
          <w:marLeft w:val="0"/>
          <w:marRight w:val="0"/>
          <w:marTop w:val="0"/>
          <w:marBottom w:val="0"/>
          <w:divBdr>
            <w:top w:val="none" w:sz="0" w:space="0" w:color="auto"/>
            <w:left w:val="none" w:sz="0" w:space="0" w:color="auto"/>
            <w:bottom w:val="none" w:sz="0" w:space="0" w:color="auto"/>
            <w:right w:val="none" w:sz="0" w:space="0" w:color="auto"/>
          </w:divBdr>
        </w:div>
      </w:divsChild>
    </w:div>
    <w:div w:id="795177756">
      <w:bodyDiv w:val="1"/>
      <w:marLeft w:val="0"/>
      <w:marRight w:val="0"/>
      <w:marTop w:val="0"/>
      <w:marBottom w:val="0"/>
      <w:divBdr>
        <w:top w:val="none" w:sz="0" w:space="0" w:color="auto"/>
        <w:left w:val="none" w:sz="0" w:space="0" w:color="auto"/>
        <w:bottom w:val="none" w:sz="0" w:space="0" w:color="auto"/>
        <w:right w:val="none" w:sz="0" w:space="0" w:color="auto"/>
      </w:divBdr>
    </w:div>
    <w:div w:id="802692787">
      <w:bodyDiv w:val="1"/>
      <w:marLeft w:val="0"/>
      <w:marRight w:val="0"/>
      <w:marTop w:val="0"/>
      <w:marBottom w:val="0"/>
      <w:divBdr>
        <w:top w:val="none" w:sz="0" w:space="0" w:color="auto"/>
        <w:left w:val="none" w:sz="0" w:space="0" w:color="auto"/>
        <w:bottom w:val="none" w:sz="0" w:space="0" w:color="auto"/>
        <w:right w:val="none" w:sz="0" w:space="0" w:color="auto"/>
      </w:divBdr>
    </w:div>
    <w:div w:id="820777876">
      <w:bodyDiv w:val="1"/>
      <w:marLeft w:val="0"/>
      <w:marRight w:val="0"/>
      <w:marTop w:val="0"/>
      <w:marBottom w:val="0"/>
      <w:divBdr>
        <w:top w:val="none" w:sz="0" w:space="0" w:color="auto"/>
        <w:left w:val="none" w:sz="0" w:space="0" w:color="auto"/>
        <w:bottom w:val="none" w:sz="0" w:space="0" w:color="auto"/>
        <w:right w:val="none" w:sz="0" w:space="0" w:color="auto"/>
      </w:divBdr>
    </w:div>
    <w:div w:id="831482630">
      <w:bodyDiv w:val="1"/>
      <w:marLeft w:val="0"/>
      <w:marRight w:val="0"/>
      <w:marTop w:val="0"/>
      <w:marBottom w:val="0"/>
      <w:divBdr>
        <w:top w:val="none" w:sz="0" w:space="0" w:color="auto"/>
        <w:left w:val="none" w:sz="0" w:space="0" w:color="auto"/>
        <w:bottom w:val="none" w:sz="0" w:space="0" w:color="auto"/>
        <w:right w:val="none" w:sz="0" w:space="0" w:color="auto"/>
      </w:divBdr>
    </w:div>
    <w:div w:id="848445788">
      <w:bodyDiv w:val="1"/>
      <w:marLeft w:val="0"/>
      <w:marRight w:val="0"/>
      <w:marTop w:val="0"/>
      <w:marBottom w:val="0"/>
      <w:divBdr>
        <w:top w:val="none" w:sz="0" w:space="0" w:color="auto"/>
        <w:left w:val="none" w:sz="0" w:space="0" w:color="auto"/>
        <w:bottom w:val="none" w:sz="0" w:space="0" w:color="auto"/>
        <w:right w:val="none" w:sz="0" w:space="0" w:color="auto"/>
      </w:divBdr>
    </w:div>
    <w:div w:id="875048736">
      <w:bodyDiv w:val="1"/>
      <w:marLeft w:val="0"/>
      <w:marRight w:val="0"/>
      <w:marTop w:val="0"/>
      <w:marBottom w:val="0"/>
      <w:divBdr>
        <w:top w:val="none" w:sz="0" w:space="0" w:color="auto"/>
        <w:left w:val="none" w:sz="0" w:space="0" w:color="auto"/>
        <w:bottom w:val="none" w:sz="0" w:space="0" w:color="auto"/>
        <w:right w:val="none" w:sz="0" w:space="0" w:color="auto"/>
      </w:divBdr>
    </w:div>
    <w:div w:id="893656543">
      <w:bodyDiv w:val="1"/>
      <w:marLeft w:val="0"/>
      <w:marRight w:val="0"/>
      <w:marTop w:val="0"/>
      <w:marBottom w:val="0"/>
      <w:divBdr>
        <w:top w:val="none" w:sz="0" w:space="0" w:color="auto"/>
        <w:left w:val="none" w:sz="0" w:space="0" w:color="auto"/>
        <w:bottom w:val="none" w:sz="0" w:space="0" w:color="auto"/>
        <w:right w:val="none" w:sz="0" w:space="0" w:color="auto"/>
      </w:divBdr>
    </w:div>
    <w:div w:id="915896409">
      <w:bodyDiv w:val="1"/>
      <w:marLeft w:val="0"/>
      <w:marRight w:val="0"/>
      <w:marTop w:val="0"/>
      <w:marBottom w:val="0"/>
      <w:divBdr>
        <w:top w:val="none" w:sz="0" w:space="0" w:color="auto"/>
        <w:left w:val="none" w:sz="0" w:space="0" w:color="auto"/>
        <w:bottom w:val="none" w:sz="0" w:space="0" w:color="auto"/>
        <w:right w:val="none" w:sz="0" w:space="0" w:color="auto"/>
      </w:divBdr>
    </w:div>
    <w:div w:id="919826589">
      <w:bodyDiv w:val="1"/>
      <w:marLeft w:val="0"/>
      <w:marRight w:val="0"/>
      <w:marTop w:val="0"/>
      <w:marBottom w:val="0"/>
      <w:divBdr>
        <w:top w:val="none" w:sz="0" w:space="0" w:color="auto"/>
        <w:left w:val="none" w:sz="0" w:space="0" w:color="auto"/>
        <w:bottom w:val="none" w:sz="0" w:space="0" w:color="auto"/>
        <w:right w:val="none" w:sz="0" w:space="0" w:color="auto"/>
      </w:divBdr>
    </w:div>
    <w:div w:id="943806988">
      <w:bodyDiv w:val="1"/>
      <w:marLeft w:val="0"/>
      <w:marRight w:val="0"/>
      <w:marTop w:val="0"/>
      <w:marBottom w:val="0"/>
      <w:divBdr>
        <w:top w:val="none" w:sz="0" w:space="0" w:color="auto"/>
        <w:left w:val="none" w:sz="0" w:space="0" w:color="auto"/>
        <w:bottom w:val="none" w:sz="0" w:space="0" w:color="auto"/>
        <w:right w:val="none" w:sz="0" w:space="0" w:color="auto"/>
      </w:divBdr>
    </w:div>
    <w:div w:id="962266425">
      <w:bodyDiv w:val="1"/>
      <w:marLeft w:val="0"/>
      <w:marRight w:val="0"/>
      <w:marTop w:val="0"/>
      <w:marBottom w:val="0"/>
      <w:divBdr>
        <w:top w:val="none" w:sz="0" w:space="0" w:color="auto"/>
        <w:left w:val="none" w:sz="0" w:space="0" w:color="auto"/>
        <w:bottom w:val="none" w:sz="0" w:space="0" w:color="auto"/>
        <w:right w:val="none" w:sz="0" w:space="0" w:color="auto"/>
      </w:divBdr>
    </w:div>
    <w:div w:id="981613832">
      <w:bodyDiv w:val="1"/>
      <w:marLeft w:val="0"/>
      <w:marRight w:val="0"/>
      <w:marTop w:val="0"/>
      <w:marBottom w:val="0"/>
      <w:divBdr>
        <w:top w:val="none" w:sz="0" w:space="0" w:color="auto"/>
        <w:left w:val="none" w:sz="0" w:space="0" w:color="auto"/>
        <w:bottom w:val="none" w:sz="0" w:space="0" w:color="auto"/>
        <w:right w:val="none" w:sz="0" w:space="0" w:color="auto"/>
      </w:divBdr>
    </w:div>
    <w:div w:id="984630463">
      <w:bodyDiv w:val="1"/>
      <w:marLeft w:val="0"/>
      <w:marRight w:val="0"/>
      <w:marTop w:val="0"/>
      <w:marBottom w:val="0"/>
      <w:divBdr>
        <w:top w:val="none" w:sz="0" w:space="0" w:color="auto"/>
        <w:left w:val="none" w:sz="0" w:space="0" w:color="auto"/>
        <w:bottom w:val="none" w:sz="0" w:space="0" w:color="auto"/>
        <w:right w:val="none" w:sz="0" w:space="0" w:color="auto"/>
      </w:divBdr>
    </w:div>
    <w:div w:id="987175713">
      <w:bodyDiv w:val="1"/>
      <w:marLeft w:val="0"/>
      <w:marRight w:val="0"/>
      <w:marTop w:val="0"/>
      <w:marBottom w:val="0"/>
      <w:divBdr>
        <w:top w:val="none" w:sz="0" w:space="0" w:color="auto"/>
        <w:left w:val="none" w:sz="0" w:space="0" w:color="auto"/>
        <w:bottom w:val="none" w:sz="0" w:space="0" w:color="auto"/>
        <w:right w:val="none" w:sz="0" w:space="0" w:color="auto"/>
      </w:divBdr>
      <w:divsChild>
        <w:div w:id="466362211">
          <w:marLeft w:val="0"/>
          <w:marRight w:val="0"/>
          <w:marTop w:val="0"/>
          <w:marBottom w:val="0"/>
          <w:divBdr>
            <w:top w:val="none" w:sz="0" w:space="0" w:color="auto"/>
            <w:left w:val="none" w:sz="0" w:space="0" w:color="auto"/>
            <w:bottom w:val="none" w:sz="0" w:space="0" w:color="auto"/>
            <w:right w:val="none" w:sz="0" w:space="0" w:color="auto"/>
          </w:divBdr>
        </w:div>
        <w:div w:id="746999189">
          <w:marLeft w:val="0"/>
          <w:marRight w:val="0"/>
          <w:marTop w:val="0"/>
          <w:marBottom w:val="0"/>
          <w:divBdr>
            <w:top w:val="none" w:sz="0" w:space="0" w:color="auto"/>
            <w:left w:val="none" w:sz="0" w:space="0" w:color="auto"/>
            <w:bottom w:val="none" w:sz="0" w:space="0" w:color="auto"/>
            <w:right w:val="none" w:sz="0" w:space="0" w:color="auto"/>
          </w:divBdr>
        </w:div>
        <w:div w:id="1119029824">
          <w:marLeft w:val="0"/>
          <w:marRight w:val="0"/>
          <w:marTop w:val="0"/>
          <w:marBottom w:val="0"/>
          <w:divBdr>
            <w:top w:val="none" w:sz="0" w:space="0" w:color="auto"/>
            <w:left w:val="none" w:sz="0" w:space="0" w:color="auto"/>
            <w:bottom w:val="none" w:sz="0" w:space="0" w:color="auto"/>
            <w:right w:val="none" w:sz="0" w:space="0" w:color="auto"/>
          </w:divBdr>
        </w:div>
        <w:div w:id="1125276932">
          <w:marLeft w:val="0"/>
          <w:marRight w:val="0"/>
          <w:marTop w:val="0"/>
          <w:marBottom w:val="0"/>
          <w:divBdr>
            <w:top w:val="none" w:sz="0" w:space="0" w:color="auto"/>
            <w:left w:val="none" w:sz="0" w:space="0" w:color="auto"/>
            <w:bottom w:val="none" w:sz="0" w:space="0" w:color="auto"/>
            <w:right w:val="none" w:sz="0" w:space="0" w:color="auto"/>
          </w:divBdr>
        </w:div>
        <w:div w:id="1166360783">
          <w:marLeft w:val="0"/>
          <w:marRight w:val="0"/>
          <w:marTop w:val="0"/>
          <w:marBottom w:val="0"/>
          <w:divBdr>
            <w:top w:val="none" w:sz="0" w:space="0" w:color="auto"/>
            <w:left w:val="none" w:sz="0" w:space="0" w:color="auto"/>
            <w:bottom w:val="none" w:sz="0" w:space="0" w:color="auto"/>
            <w:right w:val="none" w:sz="0" w:space="0" w:color="auto"/>
          </w:divBdr>
        </w:div>
        <w:div w:id="1193037888">
          <w:marLeft w:val="0"/>
          <w:marRight w:val="0"/>
          <w:marTop w:val="0"/>
          <w:marBottom w:val="0"/>
          <w:divBdr>
            <w:top w:val="none" w:sz="0" w:space="0" w:color="auto"/>
            <w:left w:val="none" w:sz="0" w:space="0" w:color="auto"/>
            <w:bottom w:val="none" w:sz="0" w:space="0" w:color="auto"/>
            <w:right w:val="none" w:sz="0" w:space="0" w:color="auto"/>
          </w:divBdr>
        </w:div>
        <w:div w:id="1297370959">
          <w:marLeft w:val="0"/>
          <w:marRight w:val="0"/>
          <w:marTop w:val="0"/>
          <w:marBottom w:val="0"/>
          <w:divBdr>
            <w:top w:val="none" w:sz="0" w:space="0" w:color="auto"/>
            <w:left w:val="none" w:sz="0" w:space="0" w:color="auto"/>
            <w:bottom w:val="none" w:sz="0" w:space="0" w:color="auto"/>
            <w:right w:val="none" w:sz="0" w:space="0" w:color="auto"/>
          </w:divBdr>
        </w:div>
        <w:div w:id="1602301749">
          <w:marLeft w:val="0"/>
          <w:marRight w:val="0"/>
          <w:marTop w:val="0"/>
          <w:marBottom w:val="0"/>
          <w:divBdr>
            <w:top w:val="none" w:sz="0" w:space="0" w:color="auto"/>
            <w:left w:val="none" w:sz="0" w:space="0" w:color="auto"/>
            <w:bottom w:val="none" w:sz="0" w:space="0" w:color="auto"/>
            <w:right w:val="none" w:sz="0" w:space="0" w:color="auto"/>
          </w:divBdr>
        </w:div>
        <w:div w:id="1972128346">
          <w:marLeft w:val="0"/>
          <w:marRight w:val="0"/>
          <w:marTop w:val="0"/>
          <w:marBottom w:val="0"/>
          <w:divBdr>
            <w:top w:val="none" w:sz="0" w:space="0" w:color="auto"/>
            <w:left w:val="none" w:sz="0" w:space="0" w:color="auto"/>
            <w:bottom w:val="none" w:sz="0" w:space="0" w:color="auto"/>
            <w:right w:val="none" w:sz="0" w:space="0" w:color="auto"/>
          </w:divBdr>
        </w:div>
      </w:divsChild>
    </w:div>
    <w:div w:id="990911923">
      <w:bodyDiv w:val="1"/>
      <w:marLeft w:val="0"/>
      <w:marRight w:val="0"/>
      <w:marTop w:val="0"/>
      <w:marBottom w:val="0"/>
      <w:divBdr>
        <w:top w:val="none" w:sz="0" w:space="0" w:color="auto"/>
        <w:left w:val="none" w:sz="0" w:space="0" w:color="auto"/>
        <w:bottom w:val="none" w:sz="0" w:space="0" w:color="auto"/>
        <w:right w:val="none" w:sz="0" w:space="0" w:color="auto"/>
      </w:divBdr>
      <w:divsChild>
        <w:div w:id="955066069">
          <w:marLeft w:val="547"/>
          <w:marRight w:val="0"/>
          <w:marTop w:val="0"/>
          <w:marBottom w:val="120"/>
          <w:divBdr>
            <w:top w:val="none" w:sz="0" w:space="0" w:color="auto"/>
            <w:left w:val="none" w:sz="0" w:space="0" w:color="auto"/>
            <w:bottom w:val="none" w:sz="0" w:space="0" w:color="auto"/>
            <w:right w:val="none" w:sz="0" w:space="0" w:color="auto"/>
          </w:divBdr>
        </w:div>
        <w:div w:id="1685859805">
          <w:marLeft w:val="547"/>
          <w:marRight w:val="0"/>
          <w:marTop w:val="0"/>
          <w:marBottom w:val="120"/>
          <w:divBdr>
            <w:top w:val="none" w:sz="0" w:space="0" w:color="auto"/>
            <w:left w:val="none" w:sz="0" w:space="0" w:color="auto"/>
            <w:bottom w:val="none" w:sz="0" w:space="0" w:color="auto"/>
            <w:right w:val="none" w:sz="0" w:space="0" w:color="auto"/>
          </w:divBdr>
        </w:div>
        <w:div w:id="1208026476">
          <w:marLeft w:val="547"/>
          <w:marRight w:val="0"/>
          <w:marTop w:val="0"/>
          <w:marBottom w:val="120"/>
          <w:divBdr>
            <w:top w:val="none" w:sz="0" w:space="0" w:color="auto"/>
            <w:left w:val="none" w:sz="0" w:space="0" w:color="auto"/>
            <w:bottom w:val="none" w:sz="0" w:space="0" w:color="auto"/>
            <w:right w:val="none" w:sz="0" w:space="0" w:color="auto"/>
          </w:divBdr>
        </w:div>
        <w:div w:id="591744570">
          <w:marLeft w:val="547"/>
          <w:marRight w:val="0"/>
          <w:marTop w:val="0"/>
          <w:marBottom w:val="120"/>
          <w:divBdr>
            <w:top w:val="none" w:sz="0" w:space="0" w:color="auto"/>
            <w:left w:val="none" w:sz="0" w:space="0" w:color="auto"/>
            <w:bottom w:val="none" w:sz="0" w:space="0" w:color="auto"/>
            <w:right w:val="none" w:sz="0" w:space="0" w:color="auto"/>
          </w:divBdr>
        </w:div>
        <w:div w:id="1252545318">
          <w:marLeft w:val="547"/>
          <w:marRight w:val="0"/>
          <w:marTop w:val="0"/>
          <w:marBottom w:val="120"/>
          <w:divBdr>
            <w:top w:val="none" w:sz="0" w:space="0" w:color="auto"/>
            <w:left w:val="none" w:sz="0" w:space="0" w:color="auto"/>
            <w:bottom w:val="none" w:sz="0" w:space="0" w:color="auto"/>
            <w:right w:val="none" w:sz="0" w:space="0" w:color="auto"/>
          </w:divBdr>
        </w:div>
        <w:div w:id="902103760">
          <w:marLeft w:val="547"/>
          <w:marRight w:val="0"/>
          <w:marTop w:val="0"/>
          <w:marBottom w:val="120"/>
          <w:divBdr>
            <w:top w:val="none" w:sz="0" w:space="0" w:color="auto"/>
            <w:left w:val="none" w:sz="0" w:space="0" w:color="auto"/>
            <w:bottom w:val="none" w:sz="0" w:space="0" w:color="auto"/>
            <w:right w:val="none" w:sz="0" w:space="0" w:color="auto"/>
          </w:divBdr>
        </w:div>
        <w:div w:id="542014460">
          <w:marLeft w:val="547"/>
          <w:marRight w:val="0"/>
          <w:marTop w:val="0"/>
          <w:marBottom w:val="120"/>
          <w:divBdr>
            <w:top w:val="none" w:sz="0" w:space="0" w:color="auto"/>
            <w:left w:val="none" w:sz="0" w:space="0" w:color="auto"/>
            <w:bottom w:val="none" w:sz="0" w:space="0" w:color="auto"/>
            <w:right w:val="none" w:sz="0" w:space="0" w:color="auto"/>
          </w:divBdr>
        </w:div>
        <w:div w:id="1329215333">
          <w:marLeft w:val="547"/>
          <w:marRight w:val="0"/>
          <w:marTop w:val="0"/>
          <w:marBottom w:val="120"/>
          <w:divBdr>
            <w:top w:val="none" w:sz="0" w:space="0" w:color="auto"/>
            <w:left w:val="none" w:sz="0" w:space="0" w:color="auto"/>
            <w:bottom w:val="none" w:sz="0" w:space="0" w:color="auto"/>
            <w:right w:val="none" w:sz="0" w:space="0" w:color="auto"/>
          </w:divBdr>
        </w:div>
      </w:divsChild>
    </w:div>
    <w:div w:id="1017973330">
      <w:bodyDiv w:val="1"/>
      <w:marLeft w:val="0"/>
      <w:marRight w:val="0"/>
      <w:marTop w:val="0"/>
      <w:marBottom w:val="0"/>
      <w:divBdr>
        <w:top w:val="none" w:sz="0" w:space="0" w:color="auto"/>
        <w:left w:val="none" w:sz="0" w:space="0" w:color="auto"/>
        <w:bottom w:val="none" w:sz="0" w:space="0" w:color="auto"/>
        <w:right w:val="none" w:sz="0" w:space="0" w:color="auto"/>
      </w:divBdr>
      <w:divsChild>
        <w:div w:id="439959125">
          <w:marLeft w:val="0"/>
          <w:marRight w:val="0"/>
          <w:marTop w:val="0"/>
          <w:marBottom w:val="0"/>
          <w:divBdr>
            <w:top w:val="none" w:sz="0" w:space="0" w:color="auto"/>
            <w:left w:val="none" w:sz="0" w:space="0" w:color="auto"/>
            <w:bottom w:val="none" w:sz="0" w:space="0" w:color="auto"/>
            <w:right w:val="none" w:sz="0" w:space="0" w:color="auto"/>
          </w:divBdr>
        </w:div>
        <w:div w:id="448816256">
          <w:marLeft w:val="0"/>
          <w:marRight w:val="0"/>
          <w:marTop w:val="0"/>
          <w:marBottom w:val="0"/>
          <w:divBdr>
            <w:top w:val="none" w:sz="0" w:space="0" w:color="auto"/>
            <w:left w:val="none" w:sz="0" w:space="0" w:color="auto"/>
            <w:bottom w:val="none" w:sz="0" w:space="0" w:color="auto"/>
            <w:right w:val="none" w:sz="0" w:space="0" w:color="auto"/>
          </w:divBdr>
        </w:div>
        <w:div w:id="768698444">
          <w:marLeft w:val="0"/>
          <w:marRight w:val="0"/>
          <w:marTop w:val="0"/>
          <w:marBottom w:val="0"/>
          <w:divBdr>
            <w:top w:val="none" w:sz="0" w:space="0" w:color="auto"/>
            <w:left w:val="none" w:sz="0" w:space="0" w:color="auto"/>
            <w:bottom w:val="none" w:sz="0" w:space="0" w:color="auto"/>
            <w:right w:val="none" w:sz="0" w:space="0" w:color="auto"/>
          </w:divBdr>
        </w:div>
        <w:div w:id="969672326">
          <w:marLeft w:val="0"/>
          <w:marRight w:val="0"/>
          <w:marTop w:val="0"/>
          <w:marBottom w:val="0"/>
          <w:divBdr>
            <w:top w:val="none" w:sz="0" w:space="0" w:color="auto"/>
            <w:left w:val="none" w:sz="0" w:space="0" w:color="auto"/>
            <w:bottom w:val="none" w:sz="0" w:space="0" w:color="auto"/>
            <w:right w:val="none" w:sz="0" w:space="0" w:color="auto"/>
          </w:divBdr>
        </w:div>
        <w:div w:id="1430465684">
          <w:marLeft w:val="0"/>
          <w:marRight w:val="0"/>
          <w:marTop w:val="0"/>
          <w:marBottom w:val="0"/>
          <w:divBdr>
            <w:top w:val="none" w:sz="0" w:space="0" w:color="auto"/>
            <w:left w:val="none" w:sz="0" w:space="0" w:color="auto"/>
            <w:bottom w:val="none" w:sz="0" w:space="0" w:color="auto"/>
            <w:right w:val="none" w:sz="0" w:space="0" w:color="auto"/>
          </w:divBdr>
        </w:div>
        <w:div w:id="1446462205">
          <w:marLeft w:val="0"/>
          <w:marRight w:val="0"/>
          <w:marTop w:val="0"/>
          <w:marBottom w:val="0"/>
          <w:divBdr>
            <w:top w:val="none" w:sz="0" w:space="0" w:color="auto"/>
            <w:left w:val="none" w:sz="0" w:space="0" w:color="auto"/>
            <w:bottom w:val="none" w:sz="0" w:space="0" w:color="auto"/>
            <w:right w:val="none" w:sz="0" w:space="0" w:color="auto"/>
          </w:divBdr>
        </w:div>
        <w:div w:id="1800882297">
          <w:marLeft w:val="0"/>
          <w:marRight w:val="0"/>
          <w:marTop w:val="0"/>
          <w:marBottom w:val="0"/>
          <w:divBdr>
            <w:top w:val="none" w:sz="0" w:space="0" w:color="auto"/>
            <w:left w:val="none" w:sz="0" w:space="0" w:color="auto"/>
            <w:bottom w:val="none" w:sz="0" w:space="0" w:color="auto"/>
            <w:right w:val="none" w:sz="0" w:space="0" w:color="auto"/>
          </w:divBdr>
        </w:div>
        <w:div w:id="1888377357">
          <w:marLeft w:val="0"/>
          <w:marRight w:val="0"/>
          <w:marTop w:val="0"/>
          <w:marBottom w:val="0"/>
          <w:divBdr>
            <w:top w:val="none" w:sz="0" w:space="0" w:color="auto"/>
            <w:left w:val="none" w:sz="0" w:space="0" w:color="auto"/>
            <w:bottom w:val="none" w:sz="0" w:space="0" w:color="auto"/>
            <w:right w:val="none" w:sz="0" w:space="0" w:color="auto"/>
          </w:divBdr>
        </w:div>
        <w:div w:id="2045135472">
          <w:marLeft w:val="0"/>
          <w:marRight w:val="0"/>
          <w:marTop w:val="0"/>
          <w:marBottom w:val="0"/>
          <w:divBdr>
            <w:top w:val="none" w:sz="0" w:space="0" w:color="auto"/>
            <w:left w:val="none" w:sz="0" w:space="0" w:color="auto"/>
            <w:bottom w:val="none" w:sz="0" w:space="0" w:color="auto"/>
            <w:right w:val="none" w:sz="0" w:space="0" w:color="auto"/>
          </w:divBdr>
        </w:div>
      </w:divsChild>
    </w:div>
    <w:div w:id="1039628223">
      <w:bodyDiv w:val="1"/>
      <w:marLeft w:val="0"/>
      <w:marRight w:val="0"/>
      <w:marTop w:val="0"/>
      <w:marBottom w:val="0"/>
      <w:divBdr>
        <w:top w:val="none" w:sz="0" w:space="0" w:color="auto"/>
        <w:left w:val="none" w:sz="0" w:space="0" w:color="auto"/>
        <w:bottom w:val="none" w:sz="0" w:space="0" w:color="auto"/>
        <w:right w:val="none" w:sz="0" w:space="0" w:color="auto"/>
      </w:divBdr>
    </w:div>
    <w:div w:id="1045107047">
      <w:bodyDiv w:val="1"/>
      <w:marLeft w:val="0"/>
      <w:marRight w:val="0"/>
      <w:marTop w:val="0"/>
      <w:marBottom w:val="0"/>
      <w:divBdr>
        <w:top w:val="none" w:sz="0" w:space="0" w:color="auto"/>
        <w:left w:val="none" w:sz="0" w:space="0" w:color="auto"/>
        <w:bottom w:val="none" w:sz="0" w:space="0" w:color="auto"/>
        <w:right w:val="none" w:sz="0" w:space="0" w:color="auto"/>
      </w:divBdr>
    </w:div>
    <w:div w:id="1064181309">
      <w:bodyDiv w:val="1"/>
      <w:marLeft w:val="0"/>
      <w:marRight w:val="0"/>
      <w:marTop w:val="0"/>
      <w:marBottom w:val="0"/>
      <w:divBdr>
        <w:top w:val="none" w:sz="0" w:space="0" w:color="auto"/>
        <w:left w:val="none" w:sz="0" w:space="0" w:color="auto"/>
        <w:bottom w:val="none" w:sz="0" w:space="0" w:color="auto"/>
        <w:right w:val="none" w:sz="0" w:space="0" w:color="auto"/>
      </w:divBdr>
    </w:div>
    <w:div w:id="1074200985">
      <w:bodyDiv w:val="1"/>
      <w:marLeft w:val="0"/>
      <w:marRight w:val="0"/>
      <w:marTop w:val="0"/>
      <w:marBottom w:val="0"/>
      <w:divBdr>
        <w:top w:val="none" w:sz="0" w:space="0" w:color="auto"/>
        <w:left w:val="none" w:sz="0" w:space="0" w:color="auto"/>
        <w:bottom w:val="none" w:sz="0" w:space="0" w:color="auto"/>
        <w:right w:val="none" w:sz="0" w:space="0" w:color="auto"/>
      </w:divBdr>
    </w:div>
    <w:div w:id="1088043372">
      <w:bodyDiv w:val="1"/>
      <w:marLeft w:val="0"/>
      <w:marRight w:val="0"/>
      <w:marTop w:val="0"/>
      <w:marBottom w:val="0"/>
      <w:divBdr>
        <w:top w:val="none" w:sz="0" w:space="0" w:color="auto"/>
        <w:left w:val="none" w:sz="0" w:space="0" w:color="auto"/>
        <w:bottom w:val="none" w:sz="0" w:space="0" w:color="auto"/>
        <w:right w:val="none" w:sz="0" w:space="0" w:color="auto"/>
      </w:divBdr>
    </w:div>
    <w:div w:id="1101074408">
      <w:bodyDiv w:val="1"/>
      <w:marLeft w:val="0"/>
      <w:marRight w:val="0"/>
      <w:marTop w:val="0"/>
      <w:marBottom w:val="0"/>
      <w:divBdr>
        <w:top w:val="none" w:sz="0" w:space="0" w:color="auto"/>
        <w:left w:val="none" w:sz="0" w:space="0" w:color="auto"/>
        <w:bottom w:val="none" w:sz="0" w:space="0" w:color="auto"/>
        <w:right w:val="none" w:sz="0" w:space="0" w:color="auto"/>
      </w:divBdr>
    </w:div>
    <w:div w:id="1107887262">
      <w:bodyDiv w:val="1"/>
      <w:marLeft w:val="0"/>
      <w:marRight w:val="0"/>
      <w:marTop w:val="0"/>
      <w:marBottom w:val="0"/>
      <w:divBdr>
        <w:top w:val="none" w:sz="0" w:space="0" w:color="auto"/>
        <w:left w:val="none" w:sz="0" w:space="0" w:color="auto"/>
        <w:bottom w:val="none" w:sz="0" w:space="0" w:color="auto"/>
        <w:right w:val="none" w:sz="0" w:space="0" w:color="auto"/>
      </w:divBdr>
    </w:div>
    <w:div w:id="1123381047">
      <w:bodyDiv w:val="1"/>
      <w:marLeft w:val="0"/>
      <w:marRight w:val="0"/>
      <w:marTop w:val="0"/>
      <w:marBottom w:val="0"/>
      <w:divBdr>
        <w:top w:val="none" w:sz="0" w:space="0" w:color="auto"/>
        <w:left w:val="none" w:sz="0" w:space="0" w:color="auto"/>
        <w:bottom w:val="none" w:sz="0" w:space="0" w:color="auto"/>
        <w:right w:val="none" w:sz="0" w:space="0" w:color="auto"/>
      </w:divBdr>
    </w:div>
    <w:div w:id="1160586185">
      <w:bodyDiv w:val="1"/>
      <w:marLeft w:val="0"/>
      <w:marRight w:val="0"/>
      <w:marTop w:val="0"/>
      <w:marBottom w:val="0"/>
      <w:divBdr>
        <w:top w:val="none" w:sz="0" w:space="0" w:color="auto"/>
        <w:left w:val="none" w:sz="0" w:space="0" w:color="auto"/>
        <w:bottom w:val="none" w:sz="0" w:space="0" w:color="auto"/>
        <w:right w:val="none" w:sz="0" w:space="0" w:color="auto"/>
      </w:divBdr>
    </w:div>
    <w:div w:id="1161430758">
      <w:bodyDiv w:val="1"/>
      <w:marLeft w:val="0"/>
      <w:marRight w:val="0"/>
      <w:marTop w:val="0"/>
      <w:marBottom w:val="0"/>
      <w:divBdr>
        <w:top w:val="none" w:sz="0" w:space="0" w:color="auto"/>
        <w:left w:val="none" w:sz="0" w:space="0" w:color="auto"/>
        <w:bottom w:val="none" w:sz="0" w:space="0" w:color="auto"/>
        <w:right w:val="none" w:sz="0" w:space="0" w:color="auto"/>
      </w:divBdr>
    </w:div>
    <w:div w:id="1183083762">
      <w:bodyDiv w:val="1"/>
      <w:marLeft w:val="0"/>
      <w:marRight w:val="0"/>
      <w:marTop w:val="0"/>
      <w:marBottom w:val="0"/>
      <w:divBdr>
        <w:top w:val="none" w:sz="0" w:space="0" w:color="auto"/>
        <w:left w:val="none" w:sz="0" w:space="0" w:color="auto"/>
        <w:bottom w:val="none" w:sz="0" w:space="0" w:color="auto"/>
        <w:right w:val="none" w:sz="0" w:space="0" w:color="auto"/>
      </w:divBdr>
    </w:div>
    <w:div w:id="1197232738">
      <w:bodyDiv w:val="1"/>
      <w:marLeft w:val="0"/>
      <w:marRight w:val="0"/>
      <w:marTop w:val="0"/>
      <w:marBottom w:val="0"/>
      <w:divBdr>
        <w:top w:val="none" w:sz="0" w:space="0" w:color="auto"/>
        <w:left w:val="none" w:sz="0" w:space="0" w:color="auto"/>
        <w:bottom w:val="none" w:sz="0" w:space="0" w:color="auto"/>
        <w:right w:val="none" w:sz="0" w:space="0" w:color="auto"/>
      </w:divBdr>
    </w:div>
    <w:div w:id="1209074009">
      <w:bodyDiv w:val="1"/>
      <w:marLeft w:val="0"/>
      <w:marRight w:val="0"/>
      <w:marTop w:val="0"/>
      <w:marBottom w:val="0"/>
      <w:divBdr>
        <w:top w:val="none" w:sz="0" w:space="0" w:color="auto"/>
        <w:left w:val="none" w:sz="0" w:space="0" w:color="auto"/>
        <w:bottom w:val="none" w:sz="0" w:space="0" w:color="auto"/>
        <w:right w:val="none" w:sz="0" w:space="0" w:color="auto"/>
      </w:divBdr>
    </w:div>
    <w:div w:id="1216891666">
      <w:bodyDiv w:val="1"/>
      <w:marLeft w:val="0"/>
      <w:marRight w:val="0"/>
      <w:marTop w:val="0"/>
      <w:marBottom w:val="0"/>
      <w:divBdr>
        <w:top w:val="none" w:sz="0" w:space="0" w:color="auto"/>
        <w:left w:val="none" w:sz="0" w:space="0" w:color="auto"/>
        <w:bottom w:val="none" w:sz="0" w:space="0" w:color="auto"/>
        <w:right w:val="none" w:sz="0" w:space="0" w:color="auto"/>
      </w:divBdr>
    </w:div>
    <w:div w:id="1225800393">
      <w:bodyDiv w:val="1"/>
      <w:marLeft w:val="0"/>
      <w:marRight w:val="0"/>
      <w:marTop w:val="0"/>
      <w:marBottom w:val="0"/>
      <w:divBdr>
        <w:top w:val="none" w:sz="0" w:space="0" w:color="auto"/>
        <w:left w:val="none" w:sz="0" w:space="0" w:color="auto"/>
        <w:bottom w:val="none" w:sz="0" w:space="0" w:color="auto"/>
        <w:right w:val="none" w:sz="0" w:space="0" w:color="auto"/>
      </w:divBdr>
    </w:div>
    <w:div w:id="1228223634">
      <w:bodyDiv w:val="1"/>
      <w:marLeft w:val="0"/>
      <w:marRight w:val="0"/>
      <w:marTop w:val="0"/>
      <w:marBottom w:val="0"/>
      <w:divBdr>
        <w:top w:val="none" w:sz="0" w:space="0" w:color="auto"/>
        <w:left w:val="none" w:sz="0" w:space="0" w:color="auto"/>
        <w:bottom w:val="none" w:sz="0" w:space="0" w:color="auto"/>
        <w:right w:val="none" w:sz="0" w:space="0" w:color="auto"/>
      </w:divBdr>
    </w:div>
    <w:div w:id="1241986051">
      <w:bodyDiv w:val="1"/>
      <w:marLeft w:val="0"/>
      <w:marRight w:val="0"/>
      <w:marTop w:val="0"/>
      <w:marBottom w:val="0"/>
      <w:divBdr>
        <w:top w:val="none" w:sz="0" w:space="0" w:color="auto"/>
        <w:left w:val="none" w:sz="0" w:space="0" w:color="auto"/>
        <w:bottom w:val="none" w:sz="0" w:space="0" w:color="auto"/>
        <w:right w:val="none" w:sz="0" w:space="0" w:color="auto"/>
      </w:divBdr>
    </w:div>
    <w:div w:id="1248541828">
      <w:bodyDiv w:val="1"/>
      <w:marLeft w:val="0"/>
      <w:marRight w:val="0"/>
      <w:marTop w:val="0"/>
      <w:marBottom w:val="0"/>
      <w:divBdr>
        <w:top w:val="none" w:sz="0" w:space="0" w:color="auto"/>
        <w:left w:val="none" w:sz="0" w:space="0" w:color="auto"/>
        <w:bottom w:val="none" w:sz="0" w:space="0" w:color="auto"/>
        <w:right w:val="none" w:sz="0" w:space="0" w:color="auto"/>
      </w:divBdr>
    </w:div>
    <w:div w:id="1250433257">
      <w:bodyDiv w:val="1"/>
      <w:marLeft w:val="0"/>
      <w:marRight w:val="0"/>
      <w:marTop w:val="0"/>
      <w:marBottom w:val="0"/>
      <w:divBdr>
        <w:top w:val="none" w:sz="0" w:space="0" w:color="auto"/>
        <w:left w:val="none" w:sz="0" w:space="0" w:color="auto"/>
        <w:bottom w:val="none" w:sz="0" w:space="0" w:color="auto"/>
        <w:right w:val="none" w:sz="0" w:space="0" w:color="auto"/>
      </w:divBdr>
    </w:div>
    <w:div w:id="1256018755">
      <w:bodyDiv w:val="1"/>
      <w:marLeft w:val="0"/>
      <w:marRight w:val="0"/>
      <w:marTop w:val="0"/>
      <w:marBottom w:val="0"/>
      <w:divBdr>
        <w:top w:val="none" w:sz="0" w:space="0" w:color="auto"/>
        <w:left w:val="none" w:sz="0" w:space="0" w:color="auto"/>
        <w:bottom w:val="none" w:sz="0" w:space="0" w:color="auto"/>
        <w:right w:val="none" w:sz="0" w:space="0" w:color="auto"/>
      </w:divBdr>
    </w:div>
    <w:div w:id="1277712062">
      <w:bodyDiv w:val="1"/>
      <w:marLeft w:val="0"/>
      <w:marRight w:val="0"/>
      <w:marTop w:val="0"/>
      <w:marBottom w:val="0"/>
      <w:divBdr>
        <w:top w:val="none" w:sz="0" w:space="0" w:color="auto"/>
        <w:left w:val="none" w:sz="0" w:space="0" w:color="auto"/>
        <w:bottom w:val="none" w:sz="0" w:space="0" w:color="auto"/>
        <w:right w:val="none" w:sz="0" w:space="0" w:color="auto"/>
      </w:divBdr>
      <w:divsChild>
        <w:div w:id="428433948">
          <w:marLeft w:val="0"/>
          <w:marRight w:val="0"/>
          <w:marTop w:val="0"/>
          <w:marBottom w:val="0"/>
          <w:divBdr>
            <w:top w:val="none" w:sz="0" w:space="0" w:color="auto"/>
            <w:left w:val="none" w:sz="0" w:space="0" w:color="auto"/>
            <w:bottom w:val="none" w:sz="0" w:space="0" w:color="auto"/>
            <w:right w:val="none" w:sz="0" w:space="0" w:color="auto"/>
          </w:divBdr>
        </w:div>
        <w:div w:id="465271024">
          <w:marLeft w:val="0"/>
          <w:marRight w:val="0"/>
          <w:marTop w:val="0"/>
          <w:marBottom w:val="0"/>
          <w:divBdr>
            <w:top w:val="none" w:sz="0" w:space="0" w:color="auto"/>
            <w:left w:val="none" w:sz="0" w:space="0" w:color="auto"/>
            <w:bottom w:val="none" w:sz="0" w:space="0" w:color="auto"/>
            <w:right w:val="none" w:sz="0" w:space="0" w:color="auto"/>
          </w:divBdr>
        </w:div>
        <w:div w:id="523328020">
          <w:marLeft w:val="0"/>
          <w:marRight w:val="0"/>
          <w:marTop w:val="0"/>
          <w:marBottom w:val="0"/>
          <w:divBdr>
            <w:top w:val="none" w:sz="0" w:space="0" w:color="auto"/>
            <w:left w:val="none" w:sz="0" w:space="0" w:color="auto"/>
            <w:bottom w:val="none" w:sz="0" w:space="0" w:color="auto"/>
            <w:right w:val="none" w:sz="0" w:space="0" w:color="auto"/>
          </w:divBdr>
        </w:div>
        <w:div w:id="666205298">
          <w:marLeft w:val="0"/>
          <w:marRight w:val="0"/>
          <w:marTop w:val="0"/>
          <w:marBottom w:val="0"/>
          <w:divBdr>
            <w:top w:val="none" w:sz="0" w:space="0" w:color="auto"/>
            <w:left w:val="none" w:sz="0" w:space="0" w:color="auto"/>
            <w:bottom w:val="none" w:sz="0" w:space="0" w:color="auto"/>
            <w:right w:val="none" w:sz="0" w:space="0" w:color="auto"/>
          </w:divBdr>
        </w:div>
        <w:div w:id="851649820">
          <w:marLeft w:val="0"/>
          <w:marRight w:val="0"/>
          <w:marTop w:val="0"/>
          <w:marBottom w:val="0"/>
          <w:divBdr>
            <w:top w:val="none" w:sz="0" w:space="0" w:color="auto"/>
            <w:left w:val="none" w:sz="0" w:space="0" w:color="auto"/>
            <w:bottom w:val="none" w:sz="0" w:space="0" w:color="auto"/>
            <w:right w:val="none" w:sz="0" w:space="0" w:color="auto"/>
          </w:divBdr>
        </w:div>
        <w:div w:id="1166825579">
          <w:marLeft w:val="0"/>
          <w:marRight w:val="0"/>
          <w:marTop w:val="0"/>
          <w:marBottom w:val="0"/>
          <w:divBdr>
            <w:top w:val="none" w:sz="0" w:space="0" w:color="auto"/>
            <w:left w:val="none" w:sz="0" w:space="0" w:color="auto"/>
            <w:bottom w:val="none" w:sz="0" w:space="0" w:color="auto"/>
            <w:right w:val="none" w:sz="0" w:space="0" w:color="auto"/>
          </w:divBdr>
        </w:div>
        <w:div w:id="1584148360">
          <w:marLeft w:val="0"/>
          <w:marRight w:val="0"/>
          <w:marTop w:val="0"/>
          <w:marBottom w:val="0"/>
          <w:divBdr>
            <w:top w:val="none" w:sz="0" w:space="0" w:color="auto"/>
            <w:left w:val="none" w:sz="0" w:space="0" w:color="auto"/>
            <w:bottom w:val="none" w:sz="0" w:space="0" w:color="auto"/>
            <w:right w:val="none" w:sz="0" w:space="0" w:color="auto"/>
          </w:divBdr>
        </w:div>
        <w:div w:id="1628705124">
          <w:marLeft w:val="0"/>
          <w:marRight w:val="0"/>
          <w:marTop w:val="0"/>
          <w:marBottom w:val="0"/>
          <w:divBdr>
            <w:top w:val="none" w:sz="0" w:space="0" w:color="auto"/>
            <w:left w:val="none" w:sz="0" w:space="0" w:color="auto"/>
            <w:bottom w:val="none" w:sz="0" w:space="0" w:color="auto"/>
            <w:right w:val="none" w:sz="0" w:space="0" w:color="auto"/>
          </w:divBdr>
        </w:div>
      </w:divsChild>
    </w:div>
    <w:div w:id="1282876869">
      <w:bodyDiv w:val="1"/>
      <w:marLeft w:val="0"/>
      <w:marRight w:val="0"/>
      <w:marTop w:val="0"/>
      <w:marBottom w:val="0"/>
      <w:divBdr>
        <w:top w:val="none" w:sz="0" w:space="0" w:color="auto"/>
        <w:left w:val="none" w:sz="0" w:space="0" w:color="auto"/>
        <w:bottom w:val="none" w:sz="0" w:space="0" w:color="auto"/>
        <w:right w:val="none" w:sz="0" w:space="0" w:color="auto"/>
      </w:divBdr>
    </w:div>
    <w:div w:id="1314529142">
      <w:bodyDiv w:val="1"/>
      <w:marLeft w:val="0"/>
      <w:marRight w:val="0"/>
      <w:marTop w:val="0"/>
      <w:marBottom w:val="0"/>
      <w:divBdr>
        <w:top w:val="none" w:sz="0" w:space="0" w:color="auto"/>
        <w:left w:val="none" w:sz="0" w:space="0" w:color="auto"/>
        <w:bottom w:val="none" w:sz="0" w:space="0" w:color="auto"/>
        <w:right w:val="none" w:sz="0" w:space="0" w:color="auto"/>
      </w:divBdr>
    </w:div>
    <w:div w:id="1331562244">
      <w:bodyDiv w:val="1"/>
      <w:marLeft w:val="0"/>
      <w:marRight w:val="0"/>
      <w:marTop w:val="0"/>
      <w:marBottom w:val="0"/>
      <w:divBdr>
        <w:top w:val="none" w:sz="0" w:space="0" w:color="auto"/>
        <w:left w:val="none" w:sz="0" w:space="0" w:color="auto"/>
        <w:bottom w:val="none" w:sz="0" w:space="0" w:color="auto"/>
        <w:right w:val="none" w:sz="0" w:space="0" w:color="auto"/>
      </w:divBdr>
      <w:divsChild>
        <w:div w:id="353700783">
          <w:marLeft w:val="0"/>
          <w:marRight w:val="0"/>
          <w:marTop w:val="0"/>
          <w:marBottom w:val="0"/>
          <w:divBdr>
            <w:top w:val="none" w:sz="0" w:space="0" w:color="auto"/>
            <w:left w:val="none" w:sz="0" w:space="0" w:color="auto"/>
            <w:bottom w:val="none" w:sz="0" w:space="0" w:color="auto"/>
            <w:right w:val="none" w:sz="0" w:space="0" w:color="auto"/>
          </w:divBdr>
        </w:div>
        <w:div w:id="483621760">
          <w:marLeft w:val="0"/>
          <w:marRight w:val="0"/>
          <w:marTop w:val="0"/>
          <w:marBottom w:val="0"/>
          <w:divBdr>
            <w:top w:val="none" w:sz="0" w:space="0" w:color="auto"/>
            <w:left w:val="none" w:sz="0" w:space="0" w:color="auto"/>
            <w:bottom w:val="none" w:sz="0" w:space="0" w:color="auto"/>
            <w:right w:val="none" w:sz="0" w:space="0" w:color="auto"/>
          </w:divBdr>
        </w:div>
        <w:div w:id="718284138">
          <w:marLeft w:val="0"/>
          <w:marRight w:val="0"/>
          <w:marTop w:val="0"/>
          <w:marBottom w:val="0"/>
          <w:divBdr>
            <w:top w:val="none" w:sz="0" w:space="0" w:color="auto"/>
            <w:left w:val="none" w:sz="0" w:space="0" w:color="auto"/>
            <w:bottom w:val="none" w:sz="0" w:space="0" w:color="auto"/>
            <w:right w:val="none" w:sz="0" w:space="0" w:color="auto"/>
          </w:divBdr>
        </w:div>
        <w:div w:id="897470104">
          <w:marLeft w:val="0"/>
          <w:marRight w:val="0"/>
          <w:marTop w:val="0"/>
          <w:marBottom w:val="0"/>
          <w:divBdr>
            <w:top w:val="none" w:sz="0" w:space="0" w:color="auto"/>
            <w:left w:val="none" w:sz="0" w:space="0" w:color="auto"/>
            <w:bottom w:val="none" w:sz="0" w:space="0" w:color="auto"/>
            <w:right w:val="none" w:sz="0" w:space="0" w:color="auto"/>
          </w:divBdr>
        </w:div>
        <w:div w:id="1137067585">
          <w:marLeft w:val="0"/>
          <w:marRight w:val="0"/>
          <w:marTop w:val="0"/>
          <w:marBottom w:val="0"/>
          <w:divBdr>
            <w:top w:val="none" w:sz="0" w:space="0" w:color="auto"/>
            <w:left w:val="none" w:sz="0" w:space="0" w:color="auto"/>
            <w:bottom w:val="none" w:sz="0" w:space="0" w:color="auto"/>
            <w:right w:val="none" w:sz="0" w:space="0" w:color="auto"/>
          </w:divBdr>
        </w:div>
        <w:div w:id="1625386030">
          <w:marLeft w:val="0"/>
          <w:marRight w:val="0"/>
          <w:marTop w:val="0"/>
          <w:marBottom w:val="0"/>
          <w:divBdr>
            <w:top w:val="none" w:sz="0" w:space="0" w:color="auto"/>
            <w:left w:val="none" w:sz="0" w:space="0" w:color="auto"/>
            <w:bottom w:val="none" w:sz="0" w:space="0" w:color="auto"/>
            <w:right w:val="none" w:sz="0" w:space="0" w:color="auto"/>
          </w:divBdr>
        </w:div>
        <w:div w:id="1761565489">
          <w:marLeft w:val="0"/>
          <w:marRight w:val="0"/>
          <w:marTop w:val="0"/>
          <w:marBottom w:val="0"/>
          <w:divBdr>
            <w:top w:val="none" w:sz="0" w:space="0" w:color="auto"/>
            <w:left w:val="none" w:sz="0" w:space="0" w:color="auto"/>
            <w:bottom w:val="none" w:sz="0" w:space="0" w:color="auto"/>
            <w:right w:val="none" w:sz="0" w:space="0" w:color="auto"/>
          </w:divBdr>
        </w:div>
        <w:div w:id="1865746609">
          <w:marLeft w:val="0"/>
          <w:marRight w:val="0"/>
          <w:marTop w:val="0"/>
          <w:marBottom w:val="0"/>
          <w:divBdr>
            <w:top w:val="none" w:sz="0" w:space="0" w:color="auto"/>
            <w:left w:val="none" w:sz="0" w:space="0" w:color="auto"/>
            <w:bottom w:val="none" w:sz="0" w:space="0" w:color="auto"/>
            <w:right w:val="none" w:sz="0" w:space="0" w:color="auto"/>
          </w:divBdr>
        </w:div>
        <w:div w:id="1994482679">
          <w:marLeft w:val="0"/>
          <w:marRight w:val="0"/>
          <w:marTop w:val="0"/>
          <w:marBottom w:val="0"/>
          <w:divBdr>
            <w:top w:val="none" w:sz="0" w:space="0" w:color="auto"/>
            <w:left w:val="none" w:sz="0" w:space="0" w:color="auto"/>
            <w:bottom w:val="none" w:sz="0" w:space="0" w:color="auto"/>
            <w:right w:val="none" w:sz="0" w:space="0" w:color="auto"/>
          </w:divBdr>
        </w:div>
      </w:divsChild>
    </w:div>
    <w:div w:id="1342705707">
      <w:bodyDiv w:val="1"/>
      <w:marLeft w:val="0"/>
      <w:marRight w:val="0"/>
      <w:marTop w:val="0"/>
      <w:marBottom w:val="0"/>
      <w:divBdr>
        <w:top w:val="none" w:sz="0" w:space="0" w:color="auto"/>
        <w:left w:val="none" w:sz="0" w:space="0" w:color="auto"/>
        <w:bottom w:val="none" w:sz="0" w:space="0" w:color="auto"/>
        <w:right w:val="none" w:sz="0" w:space="0" w:color="auto"/>
      </w:divBdr>
    </w:div>
    <w:div w:id="1380593612">
      <w:bodyDiv w:val="1"/>
      <w:marLeft w:val="0"/>
      <w:marRight w:val="0"/>
      <w:marTop w:val="0"/>
      <w:marBottom w:val="0"/>
      <w:divBdr>
        <w:top w:val="none" w:sz="0" w:space="0" w:color="auto"/>
        <w:left w:val="none" w:sz="0" w:space="0" w:color="auto"/>
        <w:bottom w:val="none" w:sz="0" w:space="0" w:color="auto"/>
        <w:right w:val="none" w:sz="0" w:space="0" w:color="auto"/>
      </w:divBdr>
    </w:div>
    <w:div w:id="1405689441">
      <w:bodyDiv w:val="1"/>
      <w:marLeft w:val="0"/>
      <w:marRight w:val="0"/>
      <w:marTop w:val="0"/>
      <w:marBottom w:val="0"/>
      <w:divBdr>
        <w:top w:val="none" w:sz="0" w:space="0" w:color="auto"/>
        <w:left w:val="none" w:sz="0" w:space="0" w:color="auto"/>
        <w:bottom w:val="none" w:sz="0" w:space="0" w:color="auto"/>
        <w:right w:val="none" w:sz="0" w:space="0" w:color="auto"/>
      </w:divBdr>
    </w:div>
    <w:div w:id="1427845885">
      <w:bodyDiv w:val="1"/>
      <w:marLeft w:val="0"/>
      <w:marRight w:val="0"/>
      <w:marTop w:val="0"/>
      <w:marBottom w:val="0"/>
      <w:divBdr>
        <w:top w:val="none" w:sz="0" w:space="0" w:color="auto"/>
        <w:left w:val="none" w:sz="0" w:space="0" w:color="auto"/>
        <w:bottom w:val="none" w:sz="0" w:space="0" w:color="auto"/>
        <w:right w:val="none" w:sz="0" w:space="0" w:color="auto"/>
      </w:divBdr>
      <w:divsChild>
        <w:div w:id="87703202">
          <w:marLeft w:val="0"/>
          <w:marRight w:val="0"/>
          <w:marTop w:val="0"/>
          <w:marBottom w:val="0"/>
          <w:divBdr>
            <w:top w:val="none" w:sz="0" w:space="0" w:color="auto"/>
            <w:left w:val="none" w:sz="0" w:space="0" w:color="auto"/>
            <w:bottom w:val="none" w:sz="0" w:space="0" w:color="auto"/>
            <w:right w:val="none" w:sz="0" w:space="0" w:color="auto"/>
          </w:divBdr>
        </w:div>
        <w:div w:id="105269836">
          <w:marLeft w:val="0"/>
          <w:marRight w:val="0"/>
          <w:marTop w:val="0"/>
          <w:marBottom w:val="0"/>
          <w:divBdr>
            <w:top w:val="none" w:sz="0" w:space="0" w:color="auto"/>
            <w:left w:val="none" w:sz="0" w:space="0" w:color="auto"/>
            <w:bottom w:val="none" w:sz="0" w:space="0" w:color="auto"/>
            <w:right w:val="none" w:sz="0" w:space="0" w:color="auto"/>
          </w:divBdr>
        </w:div>
        <w:div w:id="504365970">
          <w:marLeft w:val="0"/>
          <w:marRight w:val="0"/>
          <w:marTop w:val="0"/>
          <w:marBottom w:val="0"/>
          <w:divBdr>
            <w:top w:val="none" w:sz="0" w:space="0" w:color="auto"/>
            <w:left w:val="none" w:sz="0" w:space="0" w:color="auto"/>
            <w:bottom w:val="none" w:sz="0" w:space="0" w:color="auto"/>
            <w:right w:val="none" w:sz="0" w:space="0" w:color="auto"/>
          </w:divBdr>
        </w:div>
        <w:div w:id="572665568">
          <w:marLeft w:val="0"/>
          <w:marRight w:val="0"/>
          <w:marTop w:val="0"/>
          <w:marBottom w:val="0"/>
          <w:divBdr>
            <w:top w:val="none" w:sz="0" w:space="0" w:color="auto"/>
            <w:left w:val="none" w:sz="0" w:space="0" w:color="auto"/>
            <w:bottom w:val="none" w:sz="0" w:space="0" w:color="auto"/>
            <w:right w:val="none" w:sz="0" w:space="0" w:color="auto"/>
          </w:divBdr>
        </w:div>
        <w:div w:id="1410271728">
          <w:marLeft w:val="0"/>
          <w:marRight w:val="0"/>
          <w:marTop w:val="0"/>
          <w:marBottom w:val="0"/>
          <w:divBdr>
            <w:top w:val="none" w:sz="0" w:space="0" w:color="auto"/>
            <w:left w:val="none" w:sz="0" w:space="0" w:color="auto"/>
            <w:bottom w:val="none" w:sz="0" w:space="0" w:color="auto"/>
            <w:right w:val="none" w:sz="0" w:space="0" w:color="auto"/>
          </w:divBdr>
        </w:div>
        <w:div w:id="1425033353">
          <w:marLeft w:val="0"/>
          <w:marRight w:val="0"/>
          <w:marTop w:val="0"/>
          <w:marBottom w:val="0"/>
          <w:divBdr>
            <w:top w:val="none" w:sz="0" w:space="0" w:color="auto"/>
            <w:left w:val="none" w:sz="0" w:space="0" w:color="auto"/>
            <w:bottom w:val="none" w:sz="0" w:space="0" w:color="auto"/>
            <w:right w:val="none" w:sz="0" w:space="0" w:color="auto"/>
          </w:divBdr>
        </w:div>
        <w:div w:id="1426029372">
          <w:marLeft w:val="0"/>
          <w:marRight w:val="0"/>
          <w:marTop w:val="0"/>
          <w:marBottom w:val="0"/>
          <w:divBdr>
            <w:top w:val="none" w:sz="0" w:space="0" w:color="auto"/>
            <w:left w:val="none" w:sz="0" w:space="0" w:color="auto"/>
            <w:bottom w:val="none" w:sz="0" w:space="0" w:color="auto"/>
            <w:right w:val="none" w:sz="0" w:space="0" w:color="auto"/>
          </w:divBdr>
        </w:div>
        <w:div w:id="1539734182">
          <w:marLeft w:val="0"/>
          <w:marRight w:val="0"/>
          <w:marTop w:val="0"/>
          <w:marBottom w:val="0"/>
          <w:divBdr>
            <w:top w:val="none" w:sz="0" w:space="0" w:color="auto"/>
            <w:left w:val="none" w:sz="0" w:space="0" w:color="auto"/>
            <w:bottom w:val="none" w:sz="0" w:space="0" w:color="auto"/>
            <w:right w:val="none" w:sz="0" w:space="0" w:color="auto"/>
          </w:divBdr>
        </w:div>
      </w:divsChild>
    </w:div>
    <w:div w:id="1482892889">
      <w:bodyDiv w:val="1"/>
      <w:marLeft w:val="0"/>
      <w:marRight w:val="0"/>
      <w:marTop w:val="0"/>
      <w:marBottom w:val="0"/>
      <w:divBdr>
        <w:top w:val="none" w:sz="0" w:space="0" w:color="auto"/>
        <w:left w:val="none" w:sz="0" w:space="0" w:color="auto"/>
        <w:bottom w:val="none" w:sz="0" w:space="0" w:color="auto"/>
        <w:right w:val="none" w:sz="0" w:space="0" w:color="auto"/>
      </w:divBdr>
    </w:div>
    <w:div w:id="1597471224">
      <w:bodyDiv w:val="1"/>
      <w:marLeft w:val="0"/>
      <w:marRight w:val="0"/>
      <w:marTop w:val="0"/>
      <w:marBottom w:val="0"/>
      <w:divBdr>
        <w:top w:val="none" w:sz="0" w:space="0" w:color="auto"/>
        <w:left w:val="none" w:sz="0" w:space="0" w:color="auto"/>
        <w:bottom w:val="none" w:sz="0" w:space="0" w:color="auto"/>
        <w:right w:val="none" w:sz="0" w:space="0" w:color="auto"/>
      </w:divBdr>
    </w:div>
    <w:div w:id="1627662203">
      <w:bodyDiv w:val="1"/>
      <w:marLeft w:val="0"/>
      <w:marRight w:val="0"/>
      <w:marTop w:val="0"/>
      <w:marBottom w:val="0"/>
      <w:divBdr>
        <w:top w:val="none" w:sz="0" w:space="0" w:color="auto"/>
        <w:left w:val="none" w:sz="0" w:space="0" w:color="auto"/>
        <w:bottom w:val="none" w:sz="0" w:space="0" w:color="auto"/>
        <w:right w:val="none" w:sz="0" w:space="0" w:color="auto"/>
      </w:divBdr>
    </w:div>
    <w:div w:id="1647969982">
      <w:bodyDiv w:val="1"/>
      <w:marLeft w:val="0"/>
      <w:marRight w:val="0"/>
      <w:marTop w:val="0"/>
      <w:marBottom w:val="0"/>
      <w:divBdr>
        <w:top w:val="none" w:sz="0" w:space="0" w:color="auto"/>
        <w:left w:val="none" w:sz="0" w:space="0" w:color="auto"/>
        <w:bottom w:val="none" w:sz="0" w:space="0" w:color="auto"/>
        <w:right w:val="none" w:sz="0" w:space="0" w:color="auto"/>
      </w:divBdr>
    </w:div>
    <w:div w:id="1657606075">
      <w:bodyDiv w:val="1"/>
      <w:marLeft w:val="0"/>
      <w:marRight w:val="0"/>
      <w:marTop w:val="0"/>
      <w:marBottom w:val="0"/>
      <w:divBdr>
        <w:top w:val="none" w:sz="0" w:space="0" w:color="auto"/>
        <w:left w:val="none" w:sz="0" w:space="0" w:color="auto"/>
        <w:bottom w:val="none" w:sz="0" w:space="0" w:color="auto"/>
        <w:right w:val="none" w:sz="0" w:space="0" w:color="auto"/>
      </w:divBdr>
    </w:div>
    <w:div w:id="1672487455">
      <w:bodyDiv w:val="1"/>
      <w:marLeft w:val="0"/>
      <w:marRight w:val="0"/>
      <w:marTop w:val="0"/>
      <w:marBottom w:val="0"/>
      <w:divBdr>
        <w:top w:val="none" w:sz="0" w:space="0" w:color="auto"/>
        <w:left w:val="none" w:sz="0" w:space="0" w:color="auto"/>
        <w:bottom w:val="none" w:sz="0" w:space="0" w:color="auto"/>
        <w:right w:val="none" w:sz="0" w:space="0" w:color="auto"/>
      </w:divBdr>
    </w:div>
    <w:div w:id="1744835085">
      <w:bodyDiv w:val="1"/>
      <w:marLeft w:val="0"/>
      <w:marRight w:val="0"/>
      <w:marTop w:val="0"/>
      <w:marBottom w:val="0"/>
      <w:divBdr>
        <w:top w:val="none" w:sz="0" w:space="0" w:color="auto"/>
        <w:left w:val="none" w:sz="0" w:space="0" w:color="auto"/>
        <w:bottom w:val="none" w:sz="0" w:space="0" w:color="auto"/>
        <w:right w:val="none" w:sz="0" w:space="0" w:color="auto"/>
      </w:divBdr>
    </w:div>
    <w:div w:id="1745181080">
      <w:bodyDiv w:val="1"/>
      <w:marLeft w:val="0"/>
      <w:marRight w:val="0"/>
      <w:marTop w:val="0"/>
      <w:marBottom w:val="0"/>
      <w:divBdr>
        <w:top w:val="none" w:sz="0" w:space="0" w:color="auto"/>
        <w:left w:val="none" w:sz="0" w:space="0" w:color="auto"/>
        <w:bottom w:val="none" w:sz="0" w:space="0" w:color="auto"/>
        <w:right w:val="none" w:sz="0" w:space="0" w:color="auto"/>
      </w:divBdr>
    </w:div>
    <w:div w:id="1752773748">
      <w:bodyDiv w:val="1"/>
      <w:marLeft w:val="0"/>
      <w:marRight w:val="0"/>
      <w:marTop w:val="0"/>
      <w:marBottom w:val="0"/>
      <w:divBdr>
        <w:top w:val="none" w:sz="0" w:space="0" w:color="auto"/>
        <w:left w:val="none" w:sz="0" w:space="0" w:color="auto"/>
        <w:bottom w:val="none" w:sz="0" w:space="0" w:color="auto"/>
        <w:right w:val="none" w:sz="0" w:space="0" w:color="auto"/>
      </w:divBdr>
    </w:div>
    <w:div w:id="1796488928">
      <w:bodyDiv w:val="1"/>
      <w:marLeft w:val="0"/>
      <w:marRight w:val="0"/>
      <w:marTop w:val="0"/>
      <w:marBottom w:val="0"/>
      <w:divBdr>
        <w:top w:val="none" w:sz="0" w:space="0" w:color="auto"/>
        <w:left w:val="none" w:sz="0" w:space="0" w:color="auto"/>
        <w:bottom w:val="none" w:sz="0" w:space="0" w:color="auto"/>
        <w:right w:val="none" w:sz="0" w:space="0" w:color="auto"/>
      </w:divBdr>
      <w:divsChild>
        <w:div w:id="953443241">
          <w:marLeft w:val="0"/>
          <w:marRight w:val="0"/>
          <w:marTop w:val="0"/>
          <w:marBottom w:val="0"/>
          <w:divBdr>
            <w:top w:val="none" w:sz="0" w:space="0" w:color="auto"/>
            <w:left w:val="none" w:sz="0" w:space="0" w:color="auto"/>
            <w:bottom w:val="none" w:sz="0" w:space="0" w:color="auto"/>
            <w:right w:val="none" w:sz="0" w:space="0" w:color="auto"/>
          </w:divBdr>
        </w:div>
        <w:div w:id="1423448351">
          <w:marLeft w:val="0"/>
          <w:marRight w:val="0"/>
          <w:marTop w:val="0"/>
          <w:marBottom w:val="0"/>
          <w:divBdr>
            <w:top w:val="none" w:sz="0" w:space="0" w:color="auto"/>
            <w:left w:val="none" w:sz="0" w:space="0" w:color="auto"/>
            <w:bottom w:val="none" w:sz="0" w:space="0" w:color="auto"/>
            <w:right w:val="none" w:sz="0" w:space="0" w:color="auto"/>
          </w:divBdr>
        </w:div>
      </w:divsChild>
    </w:div>
    <w:div w:id="1879194486">
      <w:bodyDiv w:val="1"/>
      <w:marLeft w:val="0"/>
      <w:marRight w:val="0"/>
      <w:marTop w:val="0"/>
      <w:marBottom w:val="0"/>
      <w:divBdr>
        <w:top w:val="none" w:sz="0" w:space="0" w:color="auto"/>
        <w:left w:val="none" w:sz="0" w:space="0" w:color="auto"/>
        <w:bottom w:val="none" w:sz="0" w:space="0" w:color="auto"/>
        <w:right w:val="none" w:sz="0" w:space="0" w:color="auto"/>
      </w:divBdr>
    </w:div>
    <w:div w:id="1892959793">
      <w:bodyDiv w:val="1"/>
      <w:marLeft w:val="0"/>
      <w:marRight w:val="0"/>
      <w:marTop w:val="0"/>
      <w:marBottom w:val="0"/>
      <w:divBdr>
        <w:top w:val="none" w:sz="0" w:space="0" w:color="auto"/>
        <w:left w:val="none" w:sz="0" w:space="0" w:color="auto"/>
        <w:bottom w:val="none" w:sz="0" w:space="0" w:color="auto"/>
        <w:right w:val="none" w:sz="0" w:space="0" w:color="auto"/>
      </w:divBdr>
    </w:div>
    <w:div w:id="1894728606">
      <w:bodyDiv w:val="1"/>
      <w:marLeft w:val="0"/>
      <w:marRight w:val="0"/>
      <w:marTop w:val="0"/>
      <w:marBottom w:val="0"/>
      <w:divBdr>
        <w:top w:val="none" w:sz="0" w:space="0" w:color="auto"/>
        <w:left w:val="none" w:sz="0" w:space="0" w:color="auto"/>
        <w:bottom w:val="none" w:sz="0" w:space="0" w:color="auto"/>
        <w:right w:val="none" w:sz="0" w:space="0" w:color="auto"/>
      </w:divBdr>
    </w:div>
    <w:div w:id="1920476577">
      <w:bodyDiv w:val="1"/>
      <w:marLeft w:val="0"/>
      <w:marRight w:val="0"/>
      <w:marTop w:val="0"/>
      <w:marBottom w:val="0"/>
      <w:divBdr>
        <w:top w:val="none" w:sz="0" w:space="0" w:color="auto"/>
        <w:left w:val="none" w:sz="0" w:space="0" w:color="auto"/>
        <w:bottom w:val="none" w:sz="0" w:space="0" w:color="auto"/>
        <w:right w:val="none" w:sz="0" w:space="0" w:color="auto"/>
      </w:divBdr>
    </w:div>
    <w:div w:id="1923559278">
      <w:bodyDiv w:val="1"/>
      <w:marLeft w:val="0"/>
      <w:marRight w:val="0"/>
      <w:marTop w:val="0"/>
      <w:marBottom w:val="0"/>
      <w:divBdr>
        <w:top w:val="none" w:sz="0" w:space="0" w:color="auto"/>
        <w:left w:val="none" w:sz="0" w:space="0" w:color="auto"/>
        <w:bottom w:val="none" w:sz="0" w:space="0" w:color="auto"/>
        <w:right w:val="none" w:sz="0" w:space="0" w:color="auto"/>
      </w:divBdr>
    </w:div>
    <w:div w:id="1943493267">
      <w:bodyDiv w:val="1"/>
      <w:marLeft w:val="0"/>
      <w:marRight w:val="0"/>
      <w:marTop w:val="0"/>
      <w:marBottom w:val="0"/>
      <w:divBdr>
        <w:top w:val="none" w:sz="0" w:space="0" w:color="auto"/>
        <w:left w:val="none" w:sz="0" w:space="0" w:color="auto"/>
        <w:bottom w:val="none" w:sz="0" w:space="0" w:color="auto"/>
        <w:right w:val="none" w:sz="0" w:space="0" w:color="auto"/>
      </w:divBdr>
    </w:div>
    <w:div w:id="1954945939">
      <w:bodyDiv w:val="1"/>
      <w:marLeft w:val="0"/>
      <w:marRight w:val="0"/>
      <w:marTop w:val="0"/>
      <w:marBottom w:val="0"/>
      <w:divBdr>
        <w:top w:val="none" w:sz="0" w:space="0" w:color="auto"/>
        <w:left w:val="none" w:sz="0" w:space="0" w:color="auto"/>
        <w:bottom w:val="none" w:sz="0" w:space="0" w:color="auto"/>
        <w:right w:val="none" w:sz="0" w:space="0" w:color="auto"/>
      </w:divBdr>
    </w:div>
    <w:div w:id="1956593796">
      <w:bodyDiv w:val="1"/>
      <w:marLeft w:val="0"/>
      <w:marRight w:val="0"/>
      <w:marTop w:val="0"/>
      <w:marBottom w:val="0"/>
      <w:divBdr>
        <w:top w:val="none" w:sz="0" w:space="0" w:color="auto"/>
        <w:left w:val="none" w:sz="0" w:space="0" w:color="auto"/>
        <w:bottom w:val="none" w:sz="0" w:space="0" w:color="auto"/>
        <w:right w:val="none" w:sz="0" w:space="0" w:color="auto"/>
      </w:divBdr>
    </w:div>
    <w:div w:id="1971009808">
      <w:bodyDiv w:val="1"/>
      <w:marLeft w:val="0"/>
      <w:marRight w:val="0"/>
      <w:marTop w:val="0"/>
      <w:marBottom w:val="0"/>
      <w:divBdr>
        <w:top w:val="none" w:sz="0" w:space="0" w:color="auto"/>
        <w:left w:val="none" w:sz="0" w:space="0" w:color="auto"/>
        <w:bottom w:val="none" w:sz="0" w:space="0" w:color="auto"/>
        <w:right w:val="none" w:sz="0" w:space="0" w:color="auto"/>
      </w:divBdr>
    </w:div>
    <w:div w:id="1998997370">
      <w:bodyDiv w:val="1"/>
      <w:marLeft w:val="0"/>
      <w:marRight w:val="0"/>
      <w:marTop w:val="0"/>
      <w:marBottom w:val="0"/>
      <w:divBdr>
        <w:top w:val="none" w:sz="0" w:space="0" w:color="auto"/>
        <w:left w:val="none" w:sz="0" w:space="0" w:color="auto"/>
        <w:bottom w:val="none" w:sz="0" w:space="0" w:color="auto"/>
        <w:right w:val="none" w:sz="0" w:space="0" w:color="auto"/>
      </w:divBdr>
    </w:div>
    <w:div w:id="2019113900">
      <w:bodyDiv w:val="1"/>
      <w:marLeft w:val="0"/>
      <w:marRight w:val="0"/>
      <w:marTop w:val="0"/>
      <w:marBottom w:val="0"/>
      <w:divBdr>
        <w:top w:val="none" w:sz="0" w:space="0" w:color="auto"/>
        <w:left w:val="none" w:sz="0" w:space="0" w:color="auto"/>
        <w:bottom w:val="none" w:sz="0" w:space="0" w:color="auto"/>
        <w:right w:val="none" w:sz="0" w:space="0" w:color="auto"/>
      </w:divBdr>
    </w:div>
    <w:div w:id="2022471623">
      <w:bodyDiv w:val="1"/>
      <w:marLeft w:val="0"/>
      <w:marRight w:val="0"/>
      <w:marTop w:val="0"/>
      <w:marBottom w:val="0"/>
      <w:divBdr>
        <w:top w:val="none" w:sz="0" w:space="0" w:color="auto"/>
        <w:left w:val="none" w:sz="0" w:space="0" w:color="auto"/>
        <w:bottom w:val="none" w:sz="0" w:space="0" w:color="auto"/>
        <w:right w:val="none" w:sz="0" w:space="0" w:color="auto"/>
      </w:divBdr>
    </w:div>
    <w:div w:id="2032143259">
      <w:bodyDiv w:val="1"/>
      <w:marLeft w:val="0"/>
      <w:marRight w:val="0"/>
      <w:marTop w:val="0"/>
      <w:marBottom w:val="0"/>
      <w:divBdr>
        <w:top w:val="none" w:sz="0" w:space="0" w:color="auto"/>
        <w:left w:val="none" w:sz="0" w:space="0" w:color="auto"/>
        <w:bottom w:val="none" w:sz="0" w:space="0" w:color="auto"/>
        <w:right w:val="none" w:sz="0" w:space="0" w:color="auto"/>
      </w:divBdr>
    </w:div>
    <w:div w:id="2040399362">
      <w:bodyDiv w:val="1"/>
      <w:marLeft w:val="0"/>
      <w:marRight w:val="0"/>
      <w:marTop w:val="0"/>
      <w:marBottom w:val="0"/>
      <w:divBdr>
        <w:top w:val="none" w:sz="0" w:space="0" w:color="auto"/>
        <w:left w:val="none" w:sz="0" w:space="0" w:color="auto"/>
        <w:bottom w:val="none" w:sz="0" w:space="0" w:color="auto"/>
        <w:right w:val="none" w:sz="0" w:space="0" w:color="auto"/>
      </w:divBdr>
    </w:div>
    <w:div w:id="2044161864">
      <w:bodyDiv w:val="1"/>
      <w:marLeft w:val="0"/>
      <w:marRight w:val="0"/>
      <w:marTop w:val="0"/>
      <w:marBottom w:val="0"/>
      <w:divBdr>
        <w:top w:val="none" w:sz="0" w:space="0" w:color="auto"/>
        <w:left w:val="none" w:sz="0" w:space="0" w:color="auto"/>
        <w:bottom w:val="none" w:sz="0" w:space="0" w:color="auto"/>
        <w:right w:val="none" w:sz="0" w:space="0" w:color="auto"/>
      </w:divBdr>
    </w:div>
    <w:div w:id="2069722926">
      <w:bodyDiv w:val="1"/>
      <w:marLeft w:val="0"/>
      <w:marRight w:val="0"/>
      <w:marTop w:val="0"/>
      <w:marBottom w:val="0"/>
      <w:divBdr>
        <w:top w:val="none" w:sz="0" w:space="0" w:color="auto"/>
        <w:left w:val="none" w:sz="0" w:space="0" w:color="auto"/>
        <w:bottom w:val="none" w:sz="0" w:space="0" w:color="auto"/>
        <w:right w:val="none" w:sz="0" w:space="0" w:color="auto"/>
      </w:divBdr>
    </w:div>
    <w:div w:id="2084793167">
      <w:bodyDiv w:val="1"/>
      <w:marLeft w:val="0"/>
      <w:marRight w:val="0"/>
      <w:marTop w:val="0"/>
      <w:marBottom w:val="0"/>
      <w:divBdr>
        <w:top w:val="none" w:sz="0" w:space="0" w:color="auto"/>
        <w:left w:val="none" w:sz="0" w:space="0" w:color="auto"/>
        <w:bottom w:val="none" w:sz="0" w:space="0" w:color="auto"/>
        <w:right w:val="none" w:sz="0" w:space="0" w:color="auto"/>
      </w:divBdr>
    </w:div>
    <w:div w:id="2086485970">
      <w:bodyDiv w:val="1"/>
      <w:marLeft w:val="0"/>
      <w:marRight w:val="0"/>
      <w:marTop w:val="0"/>
      <w:marBottom w:val="0"/>
      <w:divBdr>
        <w:top w:val="none" w:sz="0" w:space="0" w:color="auto"/>
        <w:left w:val="none" w:sz="0" w:space="0" w:color="auto"/>
        <w:bottom w:val="none" w:sz="0" w:space="0" w:color="auto"/>
        <w:right w:val="none" w:sz="0" w:space="0" w:color="auto"/>
      </w:divBdr>
    </w:div>
    <w:div w:id="2096590435">
      <w:bodyDiv w:val="1"/>
      <w:marLeft w:val="0"/>
      <w:marRight w:val="0"/>
      <w:marTop w:val="0"/>
      <w:marBottom w:val="0"/>
      <w:divBdr>
        <w:top w:val="none" w:sz="0" w:space="0" w:color="auto"/>
        <w:left w:val="none" w:sz="0" w:space="0" w:color="auto"/>
        <w:bottom w:val="none" w:sz="0" w:space="0" w:color="auto"/>
        <w:right w:val="none" w:sz="0" w:space="0" w:color="auto"/>
      </w:divBdr>
    </w:div>
    <w:div w:id="2097553576">
      <w:bodyDiv w:val="1"/>
      <w:marLeft w:val="0"/>
      <w:marRight w:val="0"/>
      <w:marTop w:val="0"/>
      <w:marBottom w:val="0"/>
      <w:divBdr>
        <w:top w:val="none" w:sz="0" w:space="0" w:color="auto"/>
        <w:left w:val="none" w:sz="0" w:space="0" w:color="auto"/>
        <w:bottom w:val="none" w:sz="0" w:space="0" w:color="auto"/>
        <w:right w:val="none" w:sz="0" w:space="0" w:color="auto"/>
      </w:divBdr>
    </w:div>
    <w:div w:id="2100329519">
      <w:bodyDiv w:val="1"/>
      <w:marLeft w:val="0"/>
      <w:marRight w:val="0"/>
      <w:marTop w:val="0"/>
      <w:marBottom w:val="0"/>
      <w:divBdr>
        <w:top w:val="none" w:sz="0" w:space="0" w:color="auto"/>
        <w:left w:val="none" w:sz="0" w:space="0" w:color="auto"/>
        <w:bottom w:val="none" w:sz="0" w:space="0" w:color="auto"/>
        <w:right w:val="none" w:sz="0" w:space="0" w:color="auto"/>
      </w:divBdr>
    </w:div>
    <w:div w:id="2143111580">
      <w:bodyDiv w:val="1"/>
      <w:marLeft w:val="0"/>
      <w:marRight w:val="0"/>
      <w:marTop w:val="0"/>
      <w:marBottom w:val="0"/>
      <w:divBdr>
        <w:top w:val="none" w:sz="0" w:space="0" w:color="auto"/>
        <w:left w:val="none" w:sz="0" w:space="0" w:color="auto"/>
        <w:bottom w:val="none" w:sz="0" w:space="0" w:color="auto"/>
        <w:right w:val="none" w:sz="0" w:space="0" w:color="auto"/>
      </w:divBdr>
      <w:divsChild>
        <w:div w:id="691109734">
          <w:marLeft w:val="0"/>
          <w:marRight w:val="0"/>
          <w:marTop w:val="0"/>
          <w:marBottom w:val="0"/>
          <w:divBdr>
            <w:top w:val="none" w:sz="0" w:space="0" w:color="auto"/>
            <w:left w:val="none" w:sz="0" w:space="0" w:color="auto"/>
            <w:bottom w:val="none" w:sz="0" w:space="0" w:color="auto"/>
            <w:right w:val="none" w:sz="0" w:space="0" w:color="auto"/>
          </w:divBdr>
          <w:divsChild>
            <w:div w:id="52974708">
              <w:marLeft w:val="0"/>
              <w:marRight w:val="0"/>
              <w:marTop w:val="0"/>
              <w:marBottom w:val="0"/>
              <w:divBdr>
                <w:top w:val="none" w:sz="0" w:space="0" w:color="auto"/>
                <w:left w:val="none" w:sz="0" w:space="0" w:color="auto"/>
                <w:bottom w:val="none" w:sz="0" w:space="0" w:color="auto"/>
                <w:right w:val="none" w:sz="0" w:space="0" w:color="auto"/>
              </w:divBdr>
            </w:div>
            <w:div w:id="386074248">
              <w:marLeft w:val="0"/>
              <w:marRight w:val="0"/>
              <w:marTop w:val="0"/>
              <w:marBottom w:val="0"/>
              <w:divBdr>
                <w:top w:val="none" w:sz="0" w:space="0" w:color="auto"/>
                <w:left w:val="none" w:sz="0" w:space="0" w:color="auto"/>
                <w:bottom w:val="none" w:sz="0" w:space="0" w:color="auto"/>
                <w:right w:val="none" w:sz="0" w:space="0" w:color="auto"/>
              </w:divBdr>
            </w:div>
            <w:div w:id="749349835">
              <w:marLeft w:val="0"/>
              <w:marRight w:val="0"/>
              <w:marTop w:val="0"/>
              <w:marBottom w:val="0"/>
              <w:divBdr>
                <w:top w:val="none" w:sz="0" w:space="0" w:color="auto"/>
                <w:left w:val="none" w:sz="0" w:space="0" w:color="auto"/>
                <w:bottom w:val="none" w:sz="0" w:space="0" w:color="auto"/>
                <w:right w:val="none" w:sz="0" w:space="0" w:color="auto"/>
              </w:divBdr>
            </w:div>
            <w:div w:id="1409502918">
              <w:marLeft w:val="0"/>
              <w:marRight w:val="0"/>
              <w:marTop w:val="0"/>
              <w:marBottom w:val="0"/>
              <w:divBdr>
                <w:top w:val="none" w:sz="0" w:space="0" w:color="auto"/>
                <w:left w:val="none" w:sz="0" w:space="0" w:color="auto"/>
                <w:bottom w:val="none" w:sz="0" w:space="0" w:color="auto"/>
                <w:right w:val="none" w:sz="0" w:space="0" w:color="auto"/>
              </w:divBdr>
            </w:div>
            <w:div w:id="1517041524">
              <w:marLeft w:val="0"/>
              <w:marRight w:val="0"/>
              <w:marTop w:val="0"/>
              <w:marBottom w:val="0"/>
              <w:divBdr>
                <w:top w:val="none" w:sz="0" w:space="0" w:color="auto"/>
                <w:left w:val="none" w:sz="0" w:space="0" w:color="auto"/>
                <w:bottom w:val="none" w:sz="0" w:space="0" w:color="auto"/>
                <w:right w:val="none" w:sz="0" w:space="0" w:color="auto"/>
              </w:divBdr>
            </w:div>
          </w:divsChild>
        </w:div>
        <w:div w:id="1270822505">
          <w:marLeft w:val="0"/>
          <w:marRight w:val="0"/>
          <w:marTop w:val="0"/>
          <w:marBottom w:val="0"/>
          <w:divBdr>
            <w:top w:val="none" w:sz="0" w:space="0" w:color="auto"/>
            <w:left w:val="none" w:sz="0" w:space="0" w:color="auto"/>
            <w:bottom w:val="none" w:sz="0" w:space="0" w:color="auto"/>
            <w:right w:val="none" w:sz="0" w:space="0" w:color="auto"/>
          </w:divBdr>
          <w:divsChild>
            <w:div w:id="194579288">
              <w:marLeft w:val="0"/>
              <w:marRight w:val="0"/>
              <w:marTop w:val="0"/>
              <w:marBottom w:val="0"/>
              <w:divBdr>
                <w:top w:val="none" w:sz="0" w:space="0" w:color="auto"/>
                <w:left w:val="none" w:sz="0" w:space="0" w:color="auto"/>
                <w:bottom w:val="none" w:sz="0" w:space="0" w:color="auto"/>
                <w:right w:val="none" w:sz="0" w:space="0" w:color="auto"/>
              </w:divBdr>
            </w:div>
            <w:div w:id="965895363">
              <w:marLeft w:val="0"/>
              <w:marRight w:val="0"/>
              <w:marTop w:val="0"/>
              <w:marBottom w:val="0"/>
              <w:divBdr>
                <w:top w:val="none" w:sz="0" w:space="0" w:color="auto"/>
                <w:left w:val="none" w:sz="0" w:space="0" w:color="auto"/>
                <w:bottom w:val="none" w:sz="0" w:space="0" w:color="auto"/>
                <w:right w:val="none" w:sz="0" w:space="0" w:color="auto"/>
              </w:divBdr>
            </w:div>
            <w:div w:id="1112750095">
              <w:marLeft w:val="0"/>
              <w:marRight w:val="0"/>
              <w:marTop w:val="0"/>
              <w:marBottom w:val="0"/>
              <w:divBdr>
                <w:top w:val="none" w:sz="0" w:space="0" w:color="auto"/>
                <w:left w:val="none" w:sz="0" w:space="0" w:color="auto"/>
                <w:bottom w:val="none" w:sz="0" w:space="0" w:color="auto"/>
                <w:right w:val="none" w:sz="0" w:space="0" w:color="auto"/>
              </w:divBdr>
            </w:div>
            <w:div w:id="1398632505">
              <w:marLeft w:val="0"/>
              <w:marRight w:val="0"/>
              <w:marTop w:val="0"/>
              <w:marBottom w:val="0"/>
              <w:divBdr>
                <w:top w:val="none" w:sz="0" w:space="0" w:color="auto"/>
                <w:left w:val="none" w:sz="0" w:space="0" w:color="auto"/>
                <w:bottom w:val="none" w:sz="0" w:space="0" w:color="auto"/>
                <w:right w:val="none" w:sz="0" w:space="0" w:color="auto"/>
              </w:divBdr>
            </w:div>
            <w:div w:id="1832402169">
              <w:marLeft w:val="0"/>
              <w:marRight w:val="0"/>
              <w:marTop w:val="0"/>
              <w:marBottom w:val="0"/>
              <w:divBdr>
                <w:top w:val="none" w:sz="0" w:space="0" w:color="auto"/>
                <w:left w:val="none" w:sz="0" w:space="0" w:color="auto"/>
                <w:bottom w:val="none" w:sz="0" w:space="0" w:color="auto"/>
                <w:right w:val="none" w:sz="0" w:space="0" w:color="auto"/>
              </w:divBdr>
            </w:div>
          </w:divsChild>
        </w:div>
        <w:div w:id="1474441790">
          <w:marLeft w:val="0"/>
          <w:marRight w:val="0"/>
          <w:marTop w:val="0"/>
          <w:marBottom w:val="0"/>
          <w:divBdr>
            <w:top w:val="none" w:sz="0" w:space="0" w:color="auto"/>
            <w:left w:val="none" w:sz="0" w:space="0" w:color="auto"/>
            <w:bottom w:val="none" w:sz="0" w:space="0" w:color="auto"/>
            <w:right w:val="none" w:sz="0" w:space="0" w:color="auto"/>
          </w:divBdr>
          <w:divsChild>
            <w:div w:id="212896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hyperlink" Target="file:///N:\Housing\HousingNeedsAssessment\2021%20Housing%20Needs%20Assessment\Draft%20Report%20Content%20+%20Backups\RHNA-Report_DRAFT-%20FINAL%20DRAFT.docx" TargetMode="External"/><Relationship Id="rId42" Type="http://schemas.openxmlformats.org/officeDocument/2006/relationships/image" Target="media/image9.jpeg"/><Relationship Id="rId47" Type="http://schemas.openxmlformats.org/officeDocument/2006/relationships/image" Target="media/image12.png"/><Relationship Id="rId63" Type="http://schemas.openxmlformats.org/officeDocument/2006/relationships/chart" Target="charts/chart11.xml"/><Relationship Id="rId68" Type="http://schemas.openxmlformats.org/officeDocument/2006/relationships/chart" Target="charts/chart14.xml"/><Relationship Id="rId84" Type="http://schemas.openxmlformats.org/officeDocument/2006/relationships/hyperlink" Target="https://opportunityinsights.org/" TargetMode="External"/><Relationship Id="rId89" Type="http://schemas.openxmlformats.org/officeDocument/2006/relationships/image" Target="media/image27.png"/><Relationship Id="rId16" Type="http://schemas.openxmlformats.org/officeDocument/2006/relationships/image" Target="media/image2.PNG"/><Relationship Id="rId11" Type="http://schemas.openxmlformats.org/officeDocument/2006/relationships/header" Target="header2.xml"/><Relationship Id="rId32" Type="http://schemas.openxmlformats.org/officeDocument/2006/relationships/hyperlink" Target="https://www.agingcare.com/articles/universal-design-for-safety-and-comfort-for-seniors-95677.htm" TargetMode="External"/><Relationship Id="rId37" Type="http://schemas.openxmlformats.org/officeDocument/2006/relationships/header" Target="header4.xml"/><Relationship Id="rId53" Type="http://schemas.openxmlformats.org/officeDocument/2006/relationships/image" Target="media/image15.png"/><Relationship Id="rId58" Type="http://schemas.openxmlformats.org/officeDocument/2006/relationships/chart" Target="charts/chart8.xml"/><Relationship Id="rId74" Type="http://schemas.openxmlformats.org/officeDocument/2006/relationships/image" Target="media/image21.png"/><Relationship Id="rId79" Type="http://schemas.openxmlformats.org/officeDocument/2006/relationships/hyperlink" Target="https://www.seacoasteatlocal.org/does-new-hampshire-have-food-deserts/" TargetMode="External"/><Relationship Id="rId102" Type="http://schemas.microsoft.com/office/2019/05/relationships/documenttasks" Target="documenttasks/documenttasks1.xml"/><Relationship Id="rId5" Type="http://schemas.openxmlformats.org/officeDocument/2006/relationships/styles" Target="styles.xml"/><Relationship Id="rId90" Type="http://schemas.openxmlformats.org/officeDocument/2006/relationships/chart" Target="charts/chart16.xml"/><Relationship Id="rId95" Type="http://schemas.openxmlformats.org/officeDocument/2006/relationships/chart" Target="charts/chart21.xml"/><Relationship Id="rId22" Type="http://schemas.openxmlformats.org/officeDocument/2006/relationships/hyperlink" Target="file:///N:\Housing\HousingNeedsAssessment\2021%20Housing%20Needs%20Assessment\Draft%20Report%20Content%20+%20Backups\RHNA-Report_DRAFT-%20FINAL%20DRAFT.docx" TargetMode="External"/><Relationship Id="rId27" Type="http://schemas.openxmlformats.org/officeDocument/2006/relationships/hyperlink" Target="https://www.nhes.nh.gov/elmi/products/cp/index.htm" TargetMode="External"/><Relationship Id="rId43" Type="http://schemas.openxmlformats.org/officeDocument/2006/relationships/hyperlink" Target="https://manchesterinklink.com/state-funded-services-shifting-away-from-encampments-to-other-locations-as-city-hopes-to-draw-homeless-back-to-shelter/" TargetMode="External"/><Relationship Id="rId48" Type="http://schemas.openxmlformats.org/officeDocument/2006/relationships/image" Target="media/image13.png"/><Relationship Id="rId64" Type="http://schemas.openxmlformats.org/officeDocument/2006/relationships/chart" Target="charts/chart12.xml"/><Relationship Id="rId69" Type="http://schemas.openxmlformats.org/officeDocument/2006/relationships/chart" Target="charts/chart15.xml"/><Relationship Id="rId80" Type="http://schemas.openxmlformats.org/officeDocument/2006/relationships/image" Target="media/image26.png"/><Relationship Id="rId85" Type="http://schemas.openxmlformats.org/officeDocument/2006/relationships/hyperlink" Target="https://htaindex.cnt.org/" TargetMode="External"/><Relationship Id="rId12" Type="http://schemas.openxmlformats.org/officeDocument/2006/relationships/footer" Target="footer1.xml"/><Relationship Id="rId17" Type="http://schemas.openxmlformats.org/officeDocument/2006/relationships/image" Target="media/image3.jpeg"/><Relationship Id="rId25" Type="http://schemas.openxmlformats.org/officeDocument/2006/relationships/header" Target="header3.xml"/><Relationship Id="rId33" Type="http://schemas.openxmlformats.org/officeDocument/2006/relationships/image" Target="media/image7.jpeg"/><Relationship Id="rId38" Type="http://schemas.openxmlformats.org/officeDocument/2006/relationships/footer" Target="footer5.xml"/><Relationship Id="rId46" Type="http://schemas.openxmlformats.org/officeDocument/2006/relationships/image" Target="media/image11.png"/><Relationship Id="rId59" Type="http://schemas.openxmlformats.org/officeDocument/2006/relationships/chart" Target="charts/chart9.xml"/><Relationship Id="rId67" Type="http://schemas.openxmlformats.org/officeDocument/2006/relationships/image" Target="media/image17.png"/><Relationship Id="rId103" Type="http://schemas.microsoft.com/office/2020/10/relationships/intelligence" Target="intelligence2.xml"/><Relationship Id="rId20" Type="http://schemas.openxmlformats.org/officeDocument/2006/relationships/hyperlink" Target="file:///N:\Housing\HousingNeedsAssessment\2021%20Housing%20Needs%20Assessment\Draft%20Report%20Content%20+%20Backups\RHNA-Report_DRAFT-%20FINAL%20DRAFT.docx" TargetMode="External"/><Relationship Id="rId41" Type="http://schemas.openxmlformats.org/officeDocument/2006/relationships/hyperlink" Target="https://www.federalreserve.gov/econres/notes/feds-notes/asset-ownership-and-the-uneven-recovery-from-the-great-recession-20180913.htm" TargetMode="External"/><Relationship Id="rId54" Type="http://schemas.openxmlformats.org/officeDocument/2006/relationships/chart" Target="charts/chart4.xml"/><Relationship Id="rId62" Type="http://schemas.openxmlformats.org/officeDocument/2006/relationships/hyperlink" Target="https://www.hud.gov/sites/dfiles/PIH/documents/Faircloth%20FAQ%20.pdf" TargetMode="External"/><Relationship Id="rId70" Type="http://schemas.openxmlformats.org/officeDocument/2006/relationships/hyperlink" Target="https://www.nh.gov/osi/planning/services/mrpa/land-use-survey.htm" TargetMode="External"/><Relationship Id="rId75" Type="http://schemas.openxmlformats.org/officeDocument/2006/relationships/image" Target="media/image22.png"/><Relationship Id="rId83" Type="http://schemas.openxmlformats.org/officeDocument/2006/relationships/hyperlink" Target="https://www.hud.gov/hudprograms/sci" TargetMode="External"/><Relationship Id="rId88" Type="http://schemas.openxmlformats.org/officeDocument/2006/relationships/hyperlink" Target="https://www.nhhfa.org/new-hampshire-housing-opportunity-index/" TargetMode="External"/><Relationship Id="rId91" Type="http://schemas.openxmlformats.org/officeDocument/2006/relationships/chart" Target="charts/chart17.xml"/><Relationship Id="rId96" Type="http://schemas.openxmlformats.org/officeDocument/2006/relationships/chart" Target="charts/chart2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hyperlink" Target="file:///N:\Housing\HousingNeedsAssessment\2021%20Housing%20Needs%20Assessment\Draft%20Report%20Content%20+%20Backups\RHNA-Report_DRAFT-%20FINAL%20DRAFT.docx" TargetMode="External"/><Relationship Id="rId28" Type="http://schemas.openxmlformats.org/officeDocument/2006/relationships/hyperlink" Target="https://www.nh.gov/osi/data-center/documents/housing-estimates-trends.pdf" TargetMode="External"/><Relationship Id="rId36" Type="http://schemas.openxmlformats.org/officeDocument/2006/relationships/image" Target="media/image8.PNG"/><Relationship Id="rId49" Type="http://schemas.openxmlformats.org/officeDocument/2006/relationships/chart" Target="charts/chart1.xml"/><Relationship Id="rId57" Type="http://schemas.openxmlformats.org/officeDocument/2006/relationships/chart" Target="charts/chart7.xml"/><Relationship Id="rId10" Type="http://schemas.openxmlformats.org/officeDocument/2006/relationships/header" Target="header1.xml"/><Relationship Id="rId31" Type="http://schemas.openxmlformats.org/officeDocument/2006/relationships/hyperlink" Target="https://read.nhbr.com/nh-business-review/2022/09/09/" TargetMode="External"/><Relationship Id="rId44" Type="http://schemas.openxmlformats.org/officeDocument/2006/relationships/hyperlink" Target="https://manchesterinklink.com/state-funded-services-shifting-away-from-encampments-to-other-locations-as-city-hopes-to-draw-homeless-back-to-shelter/" TargetMode="External"/><Relationship Id="rId52" Type="http://schemas.openxmlformats.org/officeDocument/2006/relationships/chart" Target="charts/chart3.xml"/><Relationship Id="rId60" Type="http://schemas.openxmlformats.org/officeDocument/2006/relationships/chart" Target="charts/chart10.xml"/><Relationship Id="rId65" Type="http://schemas.openxmlformats.org/officeDocument/2006/relationships/chart" Target="charts/chart13.xml"/><Relationship Id="rId73" Type="http://schemas.openxmlformats.org/officeDocument/2006/relationships/image" Target="media/image20.png"/><Relationship Id="rId78" Type="http://schemas.openxmlformats.org/officeDocument/2006/relationships/image" Target="media/image25.png"/><Relationship Id="rId81" Type="http://schemas.openxmlformats.org/officeDocument/2006/relationships/hyperlink" Target="http://gencourt.state.nh.us/rsa/html/nhtoc/nhtoc-xxxi-354-a.htm" TargetMode="External"/><Relationship Id="rId86" Type="http://schemas.openxmlformats.org/officeDocument/2006/relationships/hyperlink" Target="https://www.opportunityatlas.org/" TargetMode="External"/><Relationship Id="rId94" Type="http://schemas.openxmlformats.org/officeDocument/2006/relationships/chart" Target="charts/chart20.xml"/><Relationship Id="rId99" Type="http://schemas.openxmlformats.org/officeDocument/2006/relationships/fontTable" Target="fontTable.xml"/><Relationship Id="rId10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hyperlink" Target="https://nhhousingtoolbox.org/resource-archive/nh-housing-toolbox-draft-20230210.pdf" TargetMode="External"/><Relationship Id="rId34" Type="http://schemas.openxmlformats.org/officeDocument/2006/relationships/hyperlink" Target="https://sssnne.files.wordpress.com/2013/03/lotsize.pdf" TargetMode="External"/><Relationship Id="rId50" Type="http://schemas.openxmlformats.org/officeDocument/2006/relationships/image" Target="media/image14.png"/><Relationship Id="rId55" Type="http://schemas.openxmlformats.org/officeDocument/2006/relationships/chart" Target="charts/chart5.xml"/><Relationship Id="rId76" Type="http://schemas.openxmlformats.org/officeDocument/2006/relationships/image" Target="media/image23.png"/><Relationship Id="rId97" Type="http://schemas.openxmlformats.org/officeDocument/2006/relationships/hyperlink" Target="file:///N:\Housing\HousingNeedsAssessment\2021%20Housing%20Needs%20Assessment\Outreach\PDFs%20for%20Appendix%20B\RHNA%20Appendix%20B.docx" TargetMode="External"/><Relationship Id="rId7" Type="http://schemas.openxmlformats.org/officeDocument/2006/relationships/webSettings" Target="webSettings.xml"/><Relationship Id="rId71" Type="http://schemas.openxmlformats.org/officeDocument/2006/relationships/image" Target="media/image18.png"/><Relationship Id="rId92" Type="http://schemas.openxmlformats.org/officeDocument/2006/relationships/chart" Target="charts/chart18.xml"/><Relationship Id="rId2" Type="http://schemas.openxmlformats.org/officeDocument/2006/relationships/customXml" Target="../customXml/item2.xml"/><Relationship Id="rId29" Type="http://schemas.openxmlformats.org/officeDocument/2006/relationships/image" Target="media/image5.jpeg"/><Relationship Id="rId24" Type="http://schemas.openxmlformats.org/officeDocument/2006/relationships/hyperlink" Target="file:///N:\Housing\HousingNeedsAssessment\2021%20Housing%20Needs%20Assessment\Draft%20Report%20Content%20+%20Backups\RHNA-Report_DRAFT-%20FINAL%20DRAFT.docx" TargetMode="External"/><Relationship Id="rId40" Type="http://schemas.openxmlformats.org/officeDocument/2006/relationships/hyperlink" Target="https://nhchs.org/wp-content/uploads/2021/07/Council-on-Housing-Stability-2021%E2%80%942024-Strategic-Plan.pdf" TargetMode="External"/><Relationship Id="rId45" Type="http://schemas.openxmlformats.org/officeDocument/2006/relationships/image" Target="media/image10.png"/><Relationship Id="rId66" Type="http://schemas.openxmlformats.org/officeDocument/2006/relationships/image" Target="media/image16.png"/><Relationship Id="rId87" Type="http://schemas.openxmlformats.org/officeDocument/2006/relationships/hyperlink" Target="https://mobilitytoolkit.enterprisecommunity.org/resources-for-housing-and-education-partnerships" TargetMode="External"/><Relationship Id="rId61" Type="http://schemas.openxmlformats.org/officeDocument/2006/relationships/hyperlink" Target="http://www.econ.yale.edu/~shiller/data.htm" TargetMode="External"/><Relationship Id="rId82" Type="http://schemas.openxmlformats.org/officeDocument/2006/relationships/hyperlink" Target="https://www.nhhfa.org/wp-content/uploads/2019/06/Fair_Housing_Guidebook.pdf" TargetMode="External"/><Relationship Id="rId19" Type="http://schemas.openxmlformats.org/officeDocument/2006/relationships/hyperlink" Target="file:///N:\Housing\HousingNeedsAssessment\2021%20Housing%20Needs%20Assessment\Draft%20Report%20Content%20+%20Backups\RHNA-Report_DRAFT-%20FINAL%20DRAFT.docx" TargetMode="External"/><Relationship Id="rId14" Type="http://schemas.openxmlformats.org/officeDocument/2006/relationships/footer" Target="footer3.xml"/><Relationship Id="rId30" Type="http://schemas.openxmlformats.org/officeDocument/2006/relationships/image" Target="media/image6.jpeg"/><Relationship Id="rId35" Type="http://schemas.openxmlformats.org/officeDocument/2006/relationships/hyperlink" Target="https://www.londonderrynh.gov/sites/g/files/vyhlif4616/f/uploads/lookbook_0.pdf" TargetMode="External"/><Relationship Id="rId56" Type="http://schemas.openxmlformats.org/officeDocument/2006/relationships/chart" Target="charts/chart6.xml"/><Relationship Id="rId77" Type="http://schemas.openxmlformats.org/officeDocument/2006/relationships/image" Target="media/image24.png"/><Relationship Id="rId100" Type="http://schemas.openxmlformats.org/officeDocument/2006/relationships/glossaryDocument" Target="glossary/document.xml"/><Relationship Id="rId8" Type="http://schemas.openxmlformats.org/officeDocument/2006/relationships/footnotes" Target="footnotes.xml"/><Relationship Id="rId51" Type="http://schemas.openxmlformats.org/officeDocument/2006/relationships/chart" Target="charts/chart2.xml"/><Relationship Id="rId72" Type="http://schemas.openxmlformats.org/officeDocument/2006/relationships/image" Target="media/image19.png"/><Relationship Id="rId93" Type="http://schemas.openxmlformats.org/officeDocument/2006/relationships/chart" Target="charts/chart19.xml"/><Relationship Id="rId98" Type="http://schemas.openxmlformats.org/officeDocument/2006/relationships/footer" Target="footer6.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26" Type="http://schemas.openxmlformats.org/officeDocument/2006/relationships/hyperlink" Target="http://www.gencourt.state.nh.us/rsa/html/XXXI/354-A/354-A-15.HTM" TargetMode="External"/><Relationship Id="rId21" Type="http://schemas.openxmlformats.org/officeDocument/2006/relationships/hyperlink" Target="https://www.mckinsey.com/~/media/mckinsey/business%20functions/operations/our%20insights/reinventing%20construction%20through%20a%20productivity%20revolution/mgi-reinventing-construction-executive-summary.pdf" TargetMode="External"/><Relationship Id="rId42" Type="http://schemas.openxmlformats.org/officeDocument/2006/relationships/hyperlink" Target="https://crg-nh.com/new-england-construction-2/worker-shortages-construction-industry/" TargetMode="External"/><Relationship Id="rId47" Type="http://schemas.openxmlformats.org/officeDocument/2006/relationships/hyperlink" Target="https://www.nhhfa.org/wp-content/uploads/2019/06/BigHouses_SmallHouseholds.pdf" TargetMode="External"/><Relationship Id="rId63" Type="http://schemas.openxmlformats.org/officeDocument/2006/relationships/hyperlink" Target="https://www.nh-connections.org/communities/nh-child-care-desert-map/" TargetMode="External"/><Relationship Id="rId68" Type="http://schemas.openxmlformats.org/officeDocument/2006/relationships/hyperlink" Target="https://www.manchesternh.gov/Portals/2/Departments/pcd/CIP/AnalysisofimpedimentstoFairHousingChoices-Final.pdf" TargetMode="External"/><Relationship Id="rId7" Type="http://schemas.openxmlformats.org/officeDocument/2006/relationships/hyperlink" Target="https://www.snhpc.org/" TargetMode="External"/><Relationship Id="rId71" Type="http://schemas.openxmlformats.org/officeDocument/2006/relationships/hyperlink" Target="https://mf.freddiemac.com/docs/Affordable_Housing_in_High_Opportunity_Areas.pdf" TargetMode="External"/><Relationship Id="rId2" Type="http://schemas.openxmlformats.org/officeDocument/2006/relationships/hyperlink" Target="https://nhchs.org/wp-content/uploads/2021/07/Council-on-Housing-Stability-2021%E2%80%942024-Strategic-Plan.pdf" TargetMode="External"/><Relationship Id="rId16" Type="http://schemas.openxmlformats.org/officeDocument/2006/relationships/hyperlink" Target="https://www.govinfo.gov/content/pkg/USCODE-2016-title42/html/USCODE-2016-title42-chap45-subchapI.htm" TargetMode="External"/><Relationship Id="rId29" Type="http://schemas.openxmlformats.org/officeDocument/2006/relationships/hyperlink" Target="https://gencourt.state.nh.us/rsa/html/XVII/204-C/204-C-mrg.htm" TargetMode="External"/><Relationship Id="rId11" Type="http://schemas.openxmlformats.org/officeDocument/2006/relationships/hyperlink" Target="https://www.vera.org/downloads/pdfdownloads/state-incarceration-trends-new-hampshire.pdf" TargetMode="External"/><Relationship Id="rId24" Type="http://schemas.openxmlformats.org/officeDocument/2006/relationships/hyperlink" Target="http://www.gencourt.state.nh.us/rsa/html/LXIV/679/679-mrg.htm" TargetMode="External"/><Relationship Id="rId32" Type="http://schemas.openxmlformats.org/officeDocument/2006/relationships/hyperlink" Target="https://www.gencourt.state.nh.us/rsa/html/XII/162-K/162-K-mrg.htm" TargetMode="External"/><Relationship Id="rId37" Type="http://schemas.openxmlformats.org/officeDocument/2006/relationships/hyperlink" Target="https://prd.blogs.nh.gov/dos/hsem/wp-content/uploads/2015/11/State-of-New-Hampshire-Multi-Hazard-Mitigation-Plan-Update-2018_FINAL.pdf" TargetMode="External"/><Relationship Id="rId40" Type="http://schemas.openxmlformats.org/officeDocument/2006/relationships/hyperlink" Target="https://www.marketwatch.com/story/the-cost-to-build-a-home-in-the-u-s-has-risen-at-an-unprecedented-rate-bank-of-america-says-11654897304" TargetMode="External"/><Relationship Id="rId45" Type="http://schemas.openxmlformats.org/officeDocument/2006/relationships/hyperlink" Target="https://mrsc.org/stay-informed/mrsc-insight/december-2021/affordable-housing-and-the-impact-of-short-term-re" TargetMode="External"/><Relationship Id="rId53" Type="http://schemas.openxmlformats.org/officeDocument/2006/relationships/hyperlink" Target="https://doi.org/10.1068%2Fb12847;" TargetMode="External"/><Relationship Id="rId58" Type="http://schemas.openxmlformats.org/officeDocument/2006/relationships/hyperlink" Target="https://htaindex.cnt.org/" TargetMode="External"/><Relationship Id="rId66" Type="http://schemas.openxmlformats.org/officeDocument/2006/relationships/hyperlink" Target="https://sportsfacilities.com/public-parks-and-social-equity/" TargetMode="External"/><Relationship Id="rId5" Type="http://schemas.openxmlformats.org/officeDocument/2006/relationships/hyperlink" Target="https://www.federalreserve.gov/econres/notes/feds-notes/asset-ownership-and-the-uneven-recovery-from-the-great-recession-20180913.htm" TargetMode="External"/><Relationship Id="rId61" Type="http://schemas.openxmlformats.org/officeDocument/2006/relationships/hyperlink" Target="https://www.snhpc.org/sites/g/files/vyhlif5006/f/uploads/snhpc_mtp_adopted_fy21-45.pdf." TargetMode="External"/><Relationship Id="rId19" Type="http://schemas.openxmlformats.org/officeDocument/2006/relationships/hyperlink" Target="https://www.nhhfa.org/wp-content/uploads/2021/12/Workforce-Housing-Law-Report-12.2021.pdf" TargetMode="External"/><Relationship Id="rId14" Type="http://schemas.openxmlformats.org/officeDocument/2006/relationships/hyperlink" Target="https://williamsinstitute.law.ucla.edu/wp-content/uploads/Trans-Pop-Update-Jun-2022.pdf" TargetMode="External"/><Relationship Id="rId22" Type="http://schemas.openxmlformats.org/officeDocument/2006/relationships/hyperlink" Target="https://www.nhhfa.org/housing-challenges-solutions/accessory-dwelling-units/" TargetMode="External"/><Relationship Id="rId27" Type="http://schemas.openxmlformats.org/officeDocument/2006/relationships/hyperlink" Target="http://www.gencourt.state.nh.us/rsa/html/lxiv/674/674-mrg.htm" TargetMode="External"/><Relationship Id="rId30" Type="http://schemas.openxmlformats.org/officeDocument/2006/relationships/hyperlink" Target="http://www.harmonyhomesnh.com/" TargetMode="External"/><Relationship Id="rId35" Type="http://schemas.openxmlformats.org/officeDocument/2006/relationships/hyperlink" Target="https://www.keystothevalley.com/report/pandemic-future-shocks/" TargetMode="External"/><Relationship Id="rId43" Type="http://schemas.openxmlformats.org/officeDocument/2006/relationships/hyperlink" Target="https://jonaspremier.com/how-severe-is-the-construction-industrys-labor-shortage/" TargetMode="External"/><Relationship Id="rId48" Type="http://schemas.openxmlformats.org/officeDocument/2006/relationships/hyperlink" Target="https://www.nh.gov/osi/data-center/population-projections.htm" TargetMode="External"/><Relationship Id="rId56" Type="http://schemas.openxmlformats.org/officeDocument/2006/relationships/hyperlink" Target="https://www.nh.gov/osi/planning/services/mrpa/land-use-survey.htm" TargetMode="External"/><Relationship Id="rId64" Type="http://schemas.openxmlformats.org/officeDocument/2006/relationships/hyperlink" Target="https://www.seacoasteatlocal.org/does-new-hampshire-have-food-deserts/" TargetMode="External"/><Relationship Id="rId69" Type="http://schemas.openxmlformats.org/officeDocument/2006/relationships/hyperlink" Target="https://www.nhhfa.org/wp-content/uploads/2019/06/Fair_Housing_Guidebook.pdf" TargetMode="External"/><Relationship Id="rId8" Type="http://schemas.openxmlformats.org/officeDocument/2006/relationships/hyperlink" Target="https://www.ablenh.org/wp-content/uploads/2022/03/Housing-Survey-Report-FINAL-2021.pdf" TargetMode="External"/><Relationship Id="rId51" Type="http://schemas.openxmlformats.org/officeDocument/2006/relationships/hyperlink" Target="https://www.trb.org/Publications/Blurbs/153808.aspx" TargetMode="External"/><Relationship Id="rId3" Type="http://schemas.openxmlformats.org/officeDocument/2006/relationships/hyperlink" Target="https://www.federalreserve.gov/econres/notes/feds-notes/asset-ownership-and-the-uneven-recovery-from-the-great-recession-20180913.htm" TargetMode="External"/><Relationship Id="rId12" Type="http://schemas.openxmlformats.org/officeDocument/2006/relationships/hyperlink" Target="https://www.pewresearch.org/religion/religious-landscape-study/state/new-hampshire/" TargetMode="External"/><Relationship Id="rId17" Type="http://schemas.openxmlformats.org/officeDocument/2006/relationships/hyperlink" Target="https://www.snhpc.org/about-snhpc/files/snhpc-regional-transportation-equity-analysis-aug-2022" TargetMode="External"/><Relationship Id="rId25" Type="http://schemas.openxmlformats.org/officeDocument/2006/relationships/hyperlink" Target="https://www.gencourt.state.nh.us/rsa/html/LXIV/674/674-17.htm" TargetMode="External"/><Relationship Id="rId33" Type="http://schemas.openxmlformats.org/officeDocument/2006/relationships/hyperlink" Target="https://www.nhar.org/assets/pdf/marketdata/NHAR_MMI_2022-09.pdf" TargetMode="External"/><Relationship Id="rId38" Type="http://schemas.openxmlformats.org/officeDocument/2006/relationships/hyperlink" Target="https://www.snhpc.org" TargetMode="External"/><Relationship Id="rId46" Type="http://schemas.openxmlformats.org/officeDocument/2006/relationships/hyperlink" Target="https://shelterforce.org/2019/09/06/the-role-student-housing-plays-in-communities/" TargetMode="External"/><Relationship Id="rId59" Type="http://schemas.openxmlformats.org/officeDocument/2006/relationships/hyperlink" Target="https://htaindex.cnt.org/" TargetMode="External"/><Relationship Id="rId67" Type="http://schemas.openxmlformats.org/officeDocument/2006/relationships/hyperlink" Target="https://www.nh.gov/hrc/decisions/year.html" TargetMode="External"/><Relationship Id="rId20" Type="http://schemas.openxmlformats.org/officeDocument/2006/relationships/hyperlink" Target="https://www.nhbr.com/recent-reports-document-new-hampshires-struggle-with-home-affordability/" TargetMode="External"/><Relationship Id="rId41" Type="http://schemas.openxmlformats.org/officeDocument/2006/relationships/hyperlink" Target="https://eyeonhousing.org/2022/06/rapidly-rising-building-materials-and-freight-prices-push-construction-costs-higher/" TargetMode="External"/><Relationship Id="rId54" Type="http://schemas.openxmlformats.org/officeDocument/2006/relationships/hyperlink" Target="https://www.brookings.edu/wp-content/uploads/2016/06/200403_smartgrowth.pdf;" TargetMode="External"/><Relationship Id="rId62" Type="http://schemas.openxmlformats.org/officeDocument/2006/relationships/hyperlink" Target="https://www.governor.nh.gov/news-and-media/new-hampshire-first-state-implement-broadband-expansion" TargetMode="External"/><Relationship Id="rId70" Type="http://schemas.openxmlformats.org/officeDocument/2006/relationships/hyperlink" Target="https://mf.freddiemac.com/docs/Affordable_Housing_in_High_Opportunity_Areas.pdf" TargetMode="External"/><Relationship Id="rId1" Type="http://schemas.openxmlformats.org/officeDocument/2006/relationships/hyperlink" Target="https://sos.nh.gov/media/qvje3deb/sununu-2020-22.pdf" TargetMode="External"/><Relationship Id="rId6" Type="http://schemas.openxmlformats.org/officeDocument/2006/relationships/hyperlink" Target="https://www.pewresearch.org/social-trends/2020/01/09/trends-in-income-and-wealth-inequality/" TargetMode="External"/><Relationship Id="rId15" Type="http://schemas.openxmlformats.org/officeDocument/2006/relationships/hyperlink" Target="https://www.opportunityhome.org/resources/lgbtq-rights-and-housing-fact-sheet/" TargetMode="External"/><Relationship Id="rId23" Type="http://schemas.openxmlformats.org/officeDocument/2006/relationships/hyperlink" Target="http://www.gencourt.state.nh.us/rsa/html/LXIV/679/679-mrg.htm" TargetMode="External"/><Relationship Id="rId28" Type="http://schemas.openxmlformats.org/officeDocument/2006/relationships/hyperlink" Target="http://www.gencourt.state.nh.us/rsa/html/v/79-e/79-e-mrg.htm" TargetMode="External"/><Relationship Id="rId36" Type="http://schemas.openxmlformats.org/officeDocument/2006/relationships/hyperlink" Target="https://indepthnh.org/2021/07/04/workforce-issues-exacerbated-by-the-pandemic/" TargetMode="External"/><Relationship Id="rId49" Type="http://schemas.openxmlformats.org/officeDocument/2006/relationships/hyperlink" Target="https://www.epa.gov/sites/default/files/documents/smart_growth_and_economic_success.pdf" TargetMode="External"/><Relationship Id="rId57" Type="http://schemas.openxmlformats.org/officeDocument/2006/relationships/hyperlink" Target="https://smartgrowthamerica.org/wp-content/uploads/2022/06/Rationale-for-Smart-Growth-Fiscal-Impact-Analysis-and-Model-Fiscal-Impact-Assessment-Ordinance.pdf" TargetMode="External"/><Relationship Id="rId10" Type="http://schemas.openxmlformats.org/officeDocument/2006/relationships/hyperlink" Target="https://www.nhceh.org/wp-content/uploads/2012/01/2008MANCPLAN.pdf" TargetMode="External"/><Relationship Id="rId31" Type="http://schemas.openxmlformats.org/officeDocument/2006/relationships/hyperlink" Target="https://www.nh.gov/osi/resource-library/legislation/documents/hb-1661-summarytable.pdf" TargetMode="External"/><Relationship Id="rId44" Type="http://schemas.openxmlformats.org/officeDocument/2006/relationships/hyperlink" Target="https://manchesterinklink.com/the-state-were-in-nh-labor-shortage-and-how-the-i-build-new-hampshire-initiative-could-help/" TargetMode="External"/><Relationship Id="rId52" Type="http://schemas.openxmlformats.org/officeDocument/2006/relationships/hyperlink" Target="https://onlinepubs.trb.org/onlinepubs/tcrp/tcrp_rpt_39-a.pdf;" TargetMode="External"/><Relationship Id="rId60" Type="http://schemas.openxmlformats.org/officeDocument/2006/relationships/hyperlink" Target="https://www.hudexchange.info/programs/location-affordability-index/" TargetMode="External"/><Relationship Id="rId65" Type="http://schemas.openxmlformats.org/officeDocument/2006/relationships/hyperlink" Target="https://www.healthyfoodaccess.org/about-portal-partnership" TargetMode="External"/><Relationship Id="rId4" Type="http://schemas.openxmlformats.org/officeDocument/2006/relationships/hyperlink" Target="https://www.huduser.gov/portal/datasets/ahar.html" TargetMode="External"/><Relationship Id="rId9" Type="http://schemas.openxmlformats.org/officeDocument/2006/relationships/hyperlink" Target="https://www.aarp.org/research/topics/community/info-2021/2021-home-community-preferences.html" TargetMode="External"/><Relationship Id="rId13" Type="http://schemas.openxmlformats.org/officeDocument/2006/relationships/hyperlink" Target="https://williamsinstitute.law.ucla.edu/wp-content/uploads/LGBT-Adult-US-Pop-Jul-2020.pdf" TargetMode="External"/><Relationship Id="rId18" Type="http://schemas.openxmlformats.org/officeDocument/2006/relationships/hyperlink" Target="https://www.nhhfa.org/wp-content/uploads/2019/06/NH_Workforce_Housing_Law_Summary.pdf" TargetMode="External"/><Relationship Id="rId39" Type="http://schemas.openxmlformats.org/officeDocument/2006/relationships/hyperlink" Target="https://www.wbur.org/news/2021/01/12/new-hampshire-climate-migrants" TargetMode="External"/><Relationship Id="rId34" Type="http://schemas.openxmlformats.org/officeDocument/2006/relationships/hyperlink" Target="https://www.nhhfa.org/wp-content/uploads/2022/06/NH-Housing-Market-Report-06-2022.pdf" TargetMode="External"/><Relationship Id="rId50" Type="http://schemas.openxmlformats.org/officeDocument/2006/relationships/hyperlink" Target="https://pdxscholar.library.pdx.edu/cgi/viewcontent.cgi?article=1025&amp;context=oscdl_planning;" TargetMode="External"/><Relationship Id="rId55" Type="http://schemas.openxmlformats.org/officeDocument/2006/relationships/hyperlink" Target="https://www.epa.gov/sites/default/files/documents/smart_growth_and_economic_success.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jharris\LOCALS~1\Temp\TS010192745.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ata-dc\Snhpc-GIS\region\am_project\Regional%20Housing%20Needs%20Assessment%202022\Data\Data%20Metrics_1-20.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3.xml"/><Relationship Id="rId4" Type="http://schemas.openxmlformats.org/officeDocument/2006/relationships/package" Target="../embeddings/Microsoft_Excel_Worksheet.xlsx"/></Relationships>
</file>

<file path=word/charts/_rels/chart11.xml.rels><?xml version="1.0" encoding="UTF-8" standalone="yes"?>
<Relationships xmlns="http://schemas.openxmlformats.org/package/2006/relationships"><Relationship Id="rId3" Type="http://schemas.openxmlformats.org/officeDocument/2006/relationships/oleObject" Target="file:///\\data-dc\Snhpc-GIS\region\am_project\Regional%20Housing%20Needs%20Assessment%202022\Data\SNHPC%20Population%20Projections%20by%20Age.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4.xml"/></Relationships>
</file>

<file path=word/charts/_rels/chart12.xml.rels><?xml version="1.0" encoding="UTF-8" standalone="yes"?>
<Relationships xmlns="http://schemas.openxmlformats.org/package/2006/relationships"><Relationship Id="rId3" Type="http://schemas.openxmlformats.org/officeDocument/2006/relationships/oleObject" Target="file:///\\data-dc\Snhpc-GIS\region\am_project\Regional%20Housing%20Needs%20Assessment%202022\Data\Population%20Projection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ata-dc\Snhpc-GIS\region\am_project\Regional%20Housing%20Needs%20Assessment%202022\Data\SNHPC%20Fair%20Share_v2.xlsx" TargetMode="Externa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5.xml"/></Relationships>
</file>

<file path=word/charts/_rels/chart14.xml.rels><?xml version="1.0" encoding="UTF-8" standalone="yes"?>
<Relationships xmlns="http://schemas.openxmlformats.org/package/2006/relationships"><Relationship Id="rId3" Type="http://schemas.openxmlformats.org/officeDocument/2006/relationships/oleObject" Target="file:///\\data-dc\Snhpc-GIS\region\am_project\Regional%20Housing%20Needs%20Assessment%202022\Data\NHDRA%20Data\NHDRA_ParcelMosaic_NH_20210301_withValuation_Line%20Graphs%20Only_v2.xlsx" TargetMode="Externa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6.xml"/></Relationships>
</file>

<file path=word/charts/_rels/chart15.xml.rels><?xml version="1.0" encoding="UTF-8" standalone="yes"?>
<Relationships xmlns="http://schemas.openxmlformats.org/package/2006/relationships"><Relationship Id="rId3" Type="http://schemas.openxmlformats.org/officeDocument/2006/relationships/oleObject" Target="file:///\\data-dc\Snhpc-GIS\region\am_project\Regional%20Housing%20Needs%20Assessment%202022\Data\NHDRA%20Data\NHDRA_ParcelMosaic_NH_20210301_withValuation_v2_Derry.xlsx" TargetMode="Externa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7.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2.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3.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4.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5.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6.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7.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2.bin"/></Relationships>
</file>

<file path=word/charts/_rels/chart4.xml.rels><?xml version="1.0" encoding="UTF-8" standalone="yes"?>
<Relationships xmlns="http://schemas.openxmlformats.org/package/2006/relationships"><Relationship Id="rId3" Type="http://schemas.openxmlformats.org/officeDocument/2006/relationships/oleObject" Target="file:///\\data-dc\Snhpc-GIS\region\am_project\Regional%20Housing%20Needs%20Assessment%202022\Data\Data%20Metrics_41-60_v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ata-dc\Snhpc-GIS\region\am_project\Regional%20Housing%20Needs%20Assessment%202022\Data\Data%20Metrics_41-60_v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ata-dc\Snhpc-GIS\region\am_project\Regional%20Housing%20Needs%20Assessment%202022\Data\Income%20Band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ata-dc\Snhpc-GIS\region\am_project\Regional%20Housing%20Needs%20Assessment%202022\Data\Data%20Metrics_60+_v2.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2.xml"/></Relationships>
</file>

<file path=word/charts/_rels/chart8.xml.rels><?xml version="1.0" encoding="UTF-8" standalone="yes"?>
<Relationships xmlns="http://schemas.openxmlformats.org/package/2006/relationships"><Relationship Id="rId3" Type="http://schemas.openxmlformats.org/officeDocument/2006/relationships/oleObject" Target="file:///\\data-dc\sys1\Housing\HousingNeedsAssessment\2021%20Housing%20Needs%20Assessment\Data\pie%20chart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ata-dc\sys1\Housing\HousingNeedsAssessment\2021%20Housing%20Needs%20Assessment\Data\pie%20chart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r>
              <a:rPr lang="en-US">
                <a:solidFill>
                  <a:sysClr val="windowText" lastClr="000000"/>
                </a:solidFill>
              </a:rPr>
              <a:t>SNHPC Public School Enrollment</a:t>
            </a:r>
            <a:r>
              <a:rPr lang="en-US" baseline="0">
                <a:solidFill>
                  <a:sysClr val="windowText" lastClr="000000"/>
                </a:solidFill>
              </a:rPr>
              <a:t> by Municipality</a:t>
            </a:r>
            <a:endParaRPr lang="en-US">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endParaRPr lang="en-US"/>
        </a:p>
      </c:txPr>
    </c:title>
    <c:autoTitleDeleted val="0"/>
    <c:plotArea>
      <c:layout>
        <c:manualLayout>
          <c:layoutTarget val="inner"/>
          <c:xMode val="edge"/>
          <c:yMode val="edge"/>
          <c:x val="0.162169072615923"/>
          <c:y val="9.9382108486439191E-2"/>
          <c:w val="0.80727537182852138"/>
          <c:h val="0.78280774278215226"/>
        </c:manualLayout>
      </c:layout>
      <c:lineChart>
        <c:grouping val="standard"/>
        <c:varyColors val="0"/>
        <c:ser>
          <c:idx val="0"/>
          <c:order val="0"/>
          <c:tx>
            <c:strRef>
              <c:f>'17-IV(A)(8)-School Enrollment'!$W$4</c:f>
              <c:strCache>
                <c:ptCount val="1"/>
                <c:pt idx="0">
                  <c:v>Auburn</c:v>
                </c:pt>
              </c:strCache>
            </c:strRef>
          </c:tx>
          <c:spPr>
            <a:ln w="12700" cap="rnd">
              <a:solidFill>
                <a:schemeClr val="accent4">
                  <a:lumMod val="75000"/>
                  <a:alpha val="30000"/>
                </a:scheme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Enrollment'!$X$4:$AF$4</c:f>
              <c:numCache>
                <c:formatCode>#,##0</c:formatCode>
                <c:ptCount val="9"/>
                <c:pt idx="0">
                  <c:v>100</c:v>
                </c:pt>
                <c:pt idx="1">
                  <c:v>100.34682080924856</c:v>
                </c:pt>
                <c:pt idx="2">
                  <c:v>103.12138728323698</c:v>
                </c:pt>
                <c:pt idx="3">
                  <c:v>103.81502890173411</c:v>
                </c:pt>
                <c:pt idx="4">
                  <c:v>103.35260115606937</c:v>
                </c:pt>
                <c:pt idx="5">
                  <c:v>106.58959537572255</c:v>
                </c:pt>
                <c:pt idx="6">
                  <c:v>108.20809248554912</c:v>
                </c:pt>
                <c:pt idx="7">
                  <c:v>104.62427745664739</c:v>
                </c:pt>
                <c:pt idx="8">
                  <c:v>106.01156069364161</c:v>
                </c:pt>
              </c:numCache>
            </c:numRef>
          </c:val>
          <c:smooth val="1"/>
          <c:extLst>
            <c:ext xmlns:c16="http://schemas.microsoft.com/office/drawing/2014/chart" uri="{C3380CC4-5D6E-409C-BE32-E72D297353CC}">
              <c16:uniqueId val="{00000000-33D4-480B-B78C-A67F35F14D01}"/>
            </c:ext>
          </c:extLst>
        </c:ser>
        <c:ser>
          <c:idx val="1"/>
          <c:order val="1"/>
          <c:tx>
            <c:strRef>
              <c:f>'17-IV(A)(8)-School Enrollment'!$W$5</c:f>
              <c:strCache>
                <c:ptCount val="1"/>
                <c:pt idx="0">
                  <c:v>Bedford</c:v>
                </c:pt>
              </c:strCache>
            </c:strRef>
          </c:tx>
          <c:spPr>
            <a:ln w="12700" cap="rnd">
              <a:solidFill>
                <a:srgbClr val="C00000">
                  <a:alpha val="30000"/>
                </a:srgb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Enrollment'!$X$5:$AF$5</c:f>
              <c:numCache>
                <c:formatCode>#,##0</c:formatCode>
                <c:ptCount val="9"/>
                <c:pt idx="0">
                  <c:v>100</c:v>
                </c:pt>
                <c:pt idx="1">
                  <c:v>101.1225658648339</c:v>
                </c:pt>
                <c:pt idx="2">
                  <c:v>101.69530355097365</c:v>
                </c:pt>
                <c:pt idx="3">
                  <c:v>102.4742268041237</c:v>
                </c:pt>
                <c:pt idx="4">
                  <c:v>101.39747995418098</c:v>
                </c:pt>
                <c:pt idx="5">
                  <c:v>102.90950744558991</c:v>
                </c:pt>
                <c:pt idx="6">
                  <c:v>100.96219931271477</c:v>
                </c:pt>
                <c:pt idx="7">
                  <c:v>96.815578465062998</c:v>
                </c:pt>
                <c:pt idx="8">
                  <c:v>96.357388316151201</c:v>
                </c:pt>
              </c:numCache>
            </c:numRef>
          </c:val>
          <c:smooth val="1"/>
          <c:extLst>
            <c:ext xmlns:c16="http://schemas.microsoft.com/office/drawing/2014/chart" uri="{C3380CC4-5D6E-409C-BE32-E72D297353CC}">
              <c16:uniqueId val="{00000001-33D4-480B-B78C-A67F35F14D01}"/>
            </c:ext>
          </c:extLst>
        </c:ser>
        <c:ser>
          <c:idx val="2"/>
          <c:order val="2"/>
          <c:tx>
            <c:strRef>
              <c:f>'17-IV(A)(8)-School Enrollment'!$W$6</c:f>
              <c:strCache>
                <c:ptCount val="1"/>
                <c:pt idx="0">
                  <c:v>Candia</c:v>
                </c:pt>
              </c:strCache>
            </c:strRef>
          </c:tx>
          <c:spPr>
            <a:ln w="12700" cap="rnd">
              <a:solidFill>
                <a:srgbClr val="C00000">
                  <a:alpha val="30000"/>
                </a:srgb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Enrollment'!$X$6:$AF$6</c:f>
              <c:numCache>
                <c:formatCode>#,##0</c:formatCode>
                <c:ptCount val="9"/>
                <c:pt idx="0">
                  <c:v>100</c:v>
                </c:pt>
                <c:pt idx="1">
                  <c:v>95.925925925925924</c:v>
                </c:pt>
                <c:pt idx="2">
                  <c:v>92.222222222222229</c:v>
                </c:pt>
                <c:pt idx="3">
                  <c:v>90</c:v>
                </c:pt>
                <c:pt idx="4">
                  <c:v>85</c:v>
                </c:pt>
                <c:pt idx="5">
                  <c:v>87.222222222222229</c:v>
                </c:pt>
                <c:pt idx="6">
                  <c:v>83.333333333333343</c:v>
                </c:pt>
                <c:pt idx="7">
                  <c:v>81.666666666666671</c:v>
                </c:pt>
                <c:pt idx="8">
                  <c:v>79.629629629629633</c:v>
                </c:pt>
              </c:numCache>
            </c:numRef>
          </c:val>
          <c:smooth val="1"/>
          <c:extLst>
            <c:ext xmlns:c16="http://schemas.microsoft.com/office/drawing/2014/chart" uri="{C3380CC4-5D6E-409C-BE32-E72D297353CC}">
              <c16:uniqueId val="{00000002-33D4-480B-B78C-A67F35F14D01}"/>
            </c:ext>
          </c:extLst>
        </c:ser>
        <c:ser>
          <c:idx val="3"/>
          <c:order val="3"/>
          <c:tx>
            <c:strRef>
              <c:f>'17-IV(A)(8)-School Enrollment'!$W$7</c:f>
              <c:strCache>
                <c:ptCount val="1"/>
                <c:pt idx="0">
                  <c:v>Chester</c:v>
                </c:pt>
              </c:strCache>
            </c:strRef>
          </c:tx>
          <c:spPr>
            <a:ln w="12700" cap="rnd">
              <a:solidFill>
                <a:srgbClr val="C00000">
                  <a:alpha val="30000"/>
                </a:srgb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Enrollment'!$X$7:$AF$7</c:f>
              <c:numCache>
                <c:formatCode>#,##0</c:formatCode>
                <c:ptCount val="9"/>
                <c:pt idx="0">
                  <c:v>100</c:v>
                </c:pt>
                <c:pt idx="1">
                  <c:v>97.855530474040634</c:v>
                </c:pt>
                <c:pt idx="2">
                  <c:v>96.50112866817156</c:v>
                </c:pt>
                <c:pt idx="3">
                  <c:v>95.485327313769758</c:v>
                </c:pt>
                <c:pt idx="4">
                  <c:v>91.534988713318285</c:v>
                </c:pt>
                <c:pt idx="5">
                  <c:v>89.954853273137701</c:v>
                </c:pt>
                <c:pt idx="6">
                  <c:v>88.261851015801355</c:v>
                </c:pt>
                <c:pt idx="7">
                  <c:v>84.762979683972915</c:v>
                </c:pt>
                <c:pt idx="8">
                  <c:v>81.038374717832966</c:v>
                </c:pt>
              </c:numCache>
            </c:numRef>
          </c:val>
          <c:smooth val="1"/>
          <c:extLst>
            <c:ext xmlns:c16="http://schemas.microsoft.com/office/drawing/2014/chart" uri="{C3380CC4-5D6E-409C-BE32-E72D297353CC}">
              <c16:uniqueId val="{00000003-33D4-480B-B78C-A67F35F14D01}"/>
            </c:ext>
          </c:extLst>
        </c:ser>
        <c:ser>
          <c:idx val="4"/>
          <c:order val="4"/>
          <c:tx>
            <c:strRef>
              <c:f>'17-IV(A)(8)-School Enrollment'!$W$8</c:f>
              <c:strCache>
                <c:ptCount val="1"/>
                <c:pt idx="0">
                  <c:v>Deerfield</c:v>
                </c:pt>
              </c:strCache>
            </c:strRef>
          </c:tx>
          <c:spPr>
            <a:ln w="12700" cap="rnd">
              <a:solidFill>
                <a:schemeClr val="accent4">
                  <a:lumMod val="75000"/>
                  <a:alpha val="30000"/>
                </a:scheme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Enrollment'!$X$8:$AF$8</c:f>
              <c:numCache>
                <c:formatCode>#,##0</c:formatCode>
                <c:ptCount val="9"/>
                <c:pt idx="0">
                  <c:v>100</c:v>
                </c:pt>
                <c:pt idx="1">
                  <c:v>101.24416796267496</c:v>
                </c:pt>
                <c:pt idx="2">
                  <c:v>101.71073094867806</c:v>
                </c:pt>
                <c:pt idx="3">
                  <c:v>102.79937791601866</c:v>
                </c:pt>
                <c:pt idx="4">
                  <c:v>103.11041990668741</c:v>
                </c:pt>
                <c:pt idx="5">
                  <c:v>106.06531881804044</c:v>
                </c:pt>
                <c:pt idx="6">
                  <c:v>107.46500777604977</c:v>
                </c:pt>
                <c:pt idx="7">
                  <c:v>106.06531881804044</c:v>
                </c:pt>
                <c:pt idx="8">
                  <c:v>107.7760497667185</c:v>
                </c:pt>
              </c:numCache>
            </c:numRef>
          </c:val>
          <c:smooth val="1"/>
          <c:extLst>
            <c:ext xmlns:c16="http://schemas.microsoft.com/office/drawing/2014/chart" uri="{C3380CC4-5D6E-409C-BE32-E72D297353CC}">
              <c16:uniqueId val="{00000004-33D4-480B-B78C-A67F35F14D01}"/>
            </c:ext>
          </c:extLst>
        </c:ser>
        <c:ser>
          <c:idx val="5"/>
          <c:order val="5"/>
          <c:tx>
            <c:strRef>
              <c:f>'17-IV(A)(8)-School Enrollment'!$W$9</c:f>
              <c:strCache>
                <c:ptCount val="1"/>
                <c:pt idx="0">
                  <c:v>Derry</c:v>
                </c:pt>
              </c:strCache>
            </c:strRef>
          </c:tx>
          <c:spPr>
            <a:ln w="12700" cap="rnd">
              <a:solidFill>
                <a:srgbClr val="C00000">
                  <a:alpha val="30000"/>
                </a:srgb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Enrollment'!$X$9:$AF$9</c:f>
              <c:numCache>
                <c:formatCode>#,##0</c:formatCode>
                <c:ptCount val="9"/>
                <c:pt idx="0">
                  <c:v>100</c:v>
                </c:pt>
                <c:pt idx="1">
                  <c:v>99.395884462903524</c:v>
                </c:pt>
                <c:pt idx="2">
                  <c:v>97.640173683216915</c:v>
                </c:pt>
                <c:pt idx="3">
                  <c:v>95.053804040022655</c:v>
                </c:pt>
                <c:pt idx="4">
                  <c:v>93.770058523692654</c:v>
                </c:pt>
                <c:pt idx="5">
                  <c:v>91.580139701717954</c:v>
                </c:pt>
                <c:pt idx="6">
                  <c:v>89.560128374551624</c:v>
                </c:pt>
                <c:pt idx="7">
                  <c:v>90.10760808004531</c:v>
                </c:pt>
                <c:pt idx="8">
                  <c:v>88.389654521427218</c:v>
                </c:pt>
              </c:numCache>
            </c:numRef>
          </c:val>
          <c:smooth val="1"/>
          <c:extLst>
            <c:ext xmlns:c16="http://schemas.microsoft.com/office/drawing/2014/chart" uri="{C3380CC4-5D6E-409C-BE32-E72D297353CC}">
              <c16:uniqueId val="{00000005-33D4-480B-B78C-A67F35F14D01}"/>
            </c:ext>
          </c:extLst>
        </c:ser>
        <c:ser>
          <c:idx val="6"/>
          <c:order val="6"/>
          <c:tx>
            <c:strRef>
              <c:f>'17-IV(A)(8)-School Enrollment'!$W$10</c:f>
              <c:strCache>
                <c:ptCount val="1"/>
                <c:pt idx="0">
                  <c:v>Francestown</c:v>
                </c:pt>
              </c:strCache>
            </c:strRef>
          </c:tx>
          <c:spPr>
            <a:ln w="12700" cap="rnd">
              <a:solidFill>
                <a:srgbClr val="C00000">
                  <a:alpha val="30000"/>
                </a:srgb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Enrollment'!$X$10:$AF$10</c:f>
              <c:numCache>
                <c:formatCode>#,##0</c:formatCode>
                <c:ptCount val="9"/>
                <c:pt idx="0">
                  <c:v>100</c:v>
                </c:pt>
                <c:pt idx="1">
                  <c:v>95.209580838323348</c:v>
                </c:pt>
                <c:pt idx="2">
                  <c:v>95.209580838323348</c:v>
                </c:pt>
                <c:pt idx="3">
                  <c:v>98.203592814371248</c:v>
                </c:pt>
                <c:pt idx="4">
                  <c:v>102.9940119760479</c:v>
                </c:pt>
                <c:pt idx="5">
                  <c:v>105.98802395209582</c:v>
                </c:pt>
                <c:pt idx="6">
                  <c:v>102.39520958083833</c:v>
                </c:pt>
                <c:pt idx="7">
                  <c:v>98.802395209580837</c:v>
                </c:pt>
                <c:pt idx="8">
                  <c:v>96.407185628742525</c:v>
                </c:pt>
              </c:numCache>
            </c:numRef>
          </c:val>
          <c:smooth val="1"/>
          <c:extLst>
            <c:ext xmlns:c16="http://schemas.microsoft.com/office/drawing/2014/chart" uri="{C3380CC4-5D6E-409C-BE32-E72D297353CC}">
              <c16:uniqueId val="{00000006-33D4-480B-B78C-A67F35F14D01}"/>
            </c:ext>
          </c:extLst>
        </c:ser>
        <c:ser>
          <c:idx val="7"/>
          <c:order val="7"/>
          <c:tx>
            <c:strRef>
              <c:f>'17-IV(A)(8)-School Enrollment'!$W$11</c:f>
              <c:strCache>
                <c:ptCount val="1"/>
                <c:pt idx="0">
                  <c:v>Goffstown</c:v>
                </c:pt>
              </c:strCache>
            </c:strRef>
          </c:tx>
          <c:spPr>
            <a:ln w="12700" cap="rnd">
              <a:solidFill>
                <a:schemeClr val="accent4">
                  <a:lumMod val="75000"/>
                  <a:alpha val="30000"/>
                </a:scheme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Enrollment'!$X$11:$AF$11</c:f>
              <c:numCache>
                <c:formatCode>#,##0</c:formatCode>
                <c:ptCount val="9"/>
                <c:pt idx="0">
                  <c:v>100</c:v>
                </c:pt>
                <c:pt idx="1">
                  <c:v>100.45207956600362</c:v>
                </c:pt>
                <c:pt idx="2">
                  <c:v>99.773960216998191</c:v>
                </c:pt>
                <c:pt idx="3">
                  <c:v>100.49728752260398</c:v>
                </c:pt>
                <c:pt idx="4">
                  <c:v>100.9493670886076</c:v>
                </c:pt>
                <c:pt idx="5">
                  <c:v>105.1989150090416</c:v>
                </c:pt>
                <c:pt idx="6">
                  <c:v>104.0235081374322</c:v>
                </c:pt>
                <c:pt idx="7">
                  <c:v>100.76853526220614</c:v>
                </c:pt>
                <c:pt idx="8">
                  <c:v>100.45207956600362</c:v>
                </c:pt>
              </c:numCache>
            </c:numRef>
          </c:val>
          <c:smooth val="1"/>
          <c:extLst>
            <c:ext xmlns:c16="http://schemas.microsoft.com/office/drawing/2014/chart" uri="{C3380CC4-5D6E-409C-BE32-E72D297353CC}">
              <c16:uniqueId val="{00000007-33D4-480B-B78C-A67F35F14D01}"/>
            </c:ext>
          </c:extLst>
        </c:ser>
        <c:ser>
          <c:idx val="8"/>
          <c:order val="8"/>
          <c:tx>
            <c:strRef>
              <c:f>'17-IV(A)(8)-School Enrollment'!$W$12</c:f>
              <c:strCache>
                <c:ptCount val="1"/>
                <c:pt idx="0">
                  <c:v>Hooksett</c:v>
                </c:pt>
              </c:strCache>
            </c:strRef>
          </c:tx>
          <c:spPr>
            <a:ln w="12700" cap="rnd">
              <a:solidFill>
                <a:srgbClr val="C00000">
                  <a:alpha val="30000"/>
                </a:srgb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Enrollment'!$X$12:$AF$12</c:f>
              <c:numCache>
                <c:formatCode>#,##0</c:formatCode>
                <c:ptCount val="9"/>
                <c:pt idx="0">
                  <c:v>100</c:v>
                </c:pt>
                <c:pt idx="1">
                  <c:v>100.40547389761785</c:v>
                </c:pt>
                <c:pt idx="2">
                  <c:v>100.25342118601115</c:v>
                </c:pt>
                <c:pt idx="3">
                  <c:v>97.415103902686269</c:v>
                </c:pt>
                <c:pt idx="4">
                  <c:v>96.756208819057278</c:v>
                </c:pt>
                <c:pt idx="5">
                  <c:v>98.175367460719727</c:v>
                </c:pt>
                <c:pt idx="6">
                  <c:v>97.06031424227065</c:v>
                </c:pt>
                <c:pt idx="7">
                  <c:v>95.590471363405982</c:v>
                </c:pt>
                <c:pt idx="8">
                  <c:v>93.968575772934614</c:v>
                </c:pt>
              </c:numCache>
            </c:numRef>
          </c:val>
          <c:smooth val="1"/>
          <c:extLst>
            <c:ext xmlns:c16="http://schemas.microsoft.com/office/drawing/2014/chart" uri="{C3380CC4-5D6E-409C-BE32-E72D297353CC}">
              <c16:uniqueId val="{00000008-33D4-480B-B78C-A67F35F14D01}"/>
            </c:ext>
          </c:extLst>
        </c:ser>
        <c:ser>
          <c:idx val="9"/>
          <c:order val="9"/>
          <c:tx>
            <c:strRef>
              <c:f>'17-IV(A)(8)-School Enrollment'!$W$13</c:f>
              <c:strCache>
                <c:ptCount val="1"/>
                <c:pt idx="0">
                  <c:v>Londonderry</c:v>
                </c:pt>
              </c:strCache>
            </c:strRef>
          </c:tx>
          <c:spPr>
            <a:ln w="12700" cap="rnd">
              <a:solidFill>
                <a:srgbClr val="C00000">
                  <a:alpha val="30000"/>
                </a:srgb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Enrollment'!$X$13:$AF$13</c:f>
              <c:numCache>
                <c:formatCode>#,##0</c:formatCode>
                <c:ptCount val="9"/>
                <c:pt idx="0">
                  <c:v>100</c:v>
                </c:pt>
                <c:pt idx="1">
                  <c:v>96.460980036297642</c:v>
                </c:pt>
                <c:pt idx="2">
                  <c:v>94.918330308529946</c:v>
                </c:pt>
                <c:pt idx="3">
                  <c:v>95.349364791288565</c:v>
                </c:pt>
                <c:pt idx="4">
                  <c:v>94.010889292196012</c:v>
                </c:pt>
                <c:pt idx="5">
                  <c:v>91.901088929219597</c:v>
                </c:pt>
                <c:pt idx="6">
                  <c:v>91.197822141560806</c:v>
                </c:pt>
                <c:pt idx="7">
                  <c:v>89.156079854809434</c:v>
                </c:pt>
                <c:pt idx="8">
                  <c:v>90.154264972776758</c:v>
                </c:pt>
              </c:numCache>
            </c:numRef>
          </c:val>
          <c:smooth val="1"/>
          <c:extLst>
            <c:ext xmlns:c16="http://schemas.microsoft.com/office/drawing/2014/chart" uri="{C3380CC4-5D6E-409C-BE32-E72D297353CC}">
              <c16:uniqueId val="{00000009-33D4-480B-B78C-A67F35F14D01}"/>
            </c:ext>
          </c:extLst>
        </c:ser>
        <c:ser>
          <c:idx val="10"/>
          <c:order val="10"/>
          <c:tx>
            <c:strRef>
              <c:f>'17-IV(A)(8)-School Enrollment'!$W$14</c:f>
              <c:strCache>
                <c:ptCount val="1"/>
                <c:pt idx="0">
                  <c:v>Manchester</c:v>
                </c:pt>
              </c:strCache>
            </c:strRef>
          </c:tx>
          <c:spPr>
            <a:ln w="12700" cap="rnd">
              <a:solidFill>
                <a:srgbClr val="C00000">
                  <a:alpha val="30000"/>
                </a:srgb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Enrollment'!$X$14:$AF$14</c:f>
              <c:numCache>
                <c:formatCode>#,##0</c:formatCode>
                <c:ptCount val="9"/>
                <c:pt idx="0">
                  <c:v>100</c:v>
                </c:pt>
                <c:pt idx="1">
                  <c:v>101.20921579851174</c:v>
                </c:pt>
                <c:pt idx="2">
                  <c:v>100.05008586147682</c:v>
                </c:pt>
                <c:pt idx="3">
                  <c:v>98.869490555237547</c:v>
                </c:pt>
                <c:pt idx="4">
                  <c:v>97.87492844876931</c:v>
                </c:pt>
                <c:pt idx="5">
                  <c:v>97.617344018317127</c:v>
                </c:pt>
                <c:pt idx="6">
                  <c:v>96.587006296508306</c:v>
                </c:pt>
                <c:pt idx="7">
                  <c:v>92.344018317115058</c:v>
                </c:pt>
                <c:pt idx="8">
                  <c:v>92.143674871207779</c:v>
                </c:pt>
              </c:numCache>
            </c:numRef>
          </c:val>
          <c:smooth val="1"/>
          <c:extLst>
            <c:ext xmlns:c16="http://schemas.microsoft.com/office/drawing/2014/chart" uri="{C3380CC4-5D6E-409C-BE32-E72D297353CC}">
              <c16:uniqueId val="{0000000A-33D4-480B-B78C-A67F35F14D01}"/>
            </c:ext>
          </c:extLst>
        </c:ser>
        <c:ser>
          <c:idx val="11"/>
          <c:order val="11"/>
          <c:tx>
            <c:strRef>
              <c:f>'17-IV(A)(8)-School Enrollment'!$W$15</c:f>
              <c:strCache>
                <c:ptCount val="1"/>
                <c:pt idx="0">
                  <c:v>New Boston</c:v>
                </c:pt>
              </c:strCache>
            </c:strRef>
          </c:tx>
          <c:spPr>
            <a:ln w="12700" cap="rnd">
              <a:solidFill>
                <a:schemeClr val="accent4">
                  <a:lumMod val="75000"/>
                  <a:alpha val="30000"/>
                </a:scheme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Enrollment'!$X$15:$AF$15</c:f>
              <c:numCache>
                <c:formatCode>#,##0</c:formatCode>
                <c:ptCount val="9"/>
                <c:pt idx="0">
                  <c:v>100</c:v>
                </c:pt>
                <c:pt idx="1">
                  <c:v>102.05761316872429</c:v>
                </c:pt>
                <c:pt idx="2">
                  <c:v>101.33744855967078</c:v>
                </c:pt>
                <c:pt idx="3">
                  <c:v>108.84773662551441</c:v>
                </c:pt>
                <c:pt idx="4">
                  <c:v>108.84773662551441</c:v>
                </c:pt>
                <c:pt idx="5">
                  <c:v>110.08230452674897</c:v>
                </c:pt>
                <c:pt idx="6">
                  <c:v>111.52263374485597</c:v>
                </c:pt>
                <c:pt idx="7">
                  <c:v>104.42386831275721</c:v>
                </c:pt>
                <c:pt idx="8">
                  <c:v>102.16049382716051</c:v>
                </c:pt>
              </c:numCache>
            </c:numRef>
          </c:val>
          <c:smooth val="1"/>
          <c:extLst>
            <c:ext xmlns:c16="http://schemas.microsoft.com/office/drawing/2014/chart" uri="{C3380CC4-5D6E-409C-BE32-E72D297353CC}">
              <c16:uniqueId val="{0000000B-33D4-480B-B78C-A67F35F14D01}"/>
            </c:ext>
          </c:extLst>
        </c:ser>
        <c:ser>
          <c:idx val="12"/>
          <c:order val="12"/>
          <c:tx>
            <c:strRef>
              <c:f>'17-IV(A)(8)-School Enrollment'!$W$16</c:f>
              <c:strCache>
                <c:ptCount val="1"/>
                <c:pt idx="0">
                  <c:v>Weare</c:v>
                </c:pt>
              </c:strCache>
            </c:strRef>
          </c:tx>
          <c:spPr>
            <a:ln w="12700" cap="rnd">
              <a:solidFill>
                <a:srgbClr val="C00000">
                  <a:alpha val="30000"/>
                </a:srgb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Enrollment'!$X$16:$AF$16</c:f>
              <c:numCache>
                <c:formatCode>#,##0</c:formatCode>
                <c:ptCount val="9"/>
                <c:pt idx="0">
                  <c:v>100</c:v>
                </c:pt>
                <c:pt idx="1">
                  <c:v>99.082568807339456</c:v>
                </c:pt>
                <c:pt idx="2">
                  <c:v>96.395806028833547</c:v>
                </c:pt>
                <c:pt idx="3">
                  <c:v>98.885976408912185</c:v>
                </c:pt>
                <c:pt idx="4">
                  <c:v>98.099606815203146</c:v>
                </c:pt>
                <c:pt idx="5">
                  <c:v>95.543905635648755</c:v>
                </c:pt>
                <c:pt idx="6">
                  <c:v>91.677588466579294</c:v>
                </c:pt>
                <c:pt idx="7">
                  <c:v>86.566186107470514</c:v>
                </c:pt>
                <c:pt idx="8">
                  <c:v>84.796854521625164</c:v>
                </c:pt>
              </c:numCache>
            </c:numRef>
          </c:val>
          <c:smooth val="1"/>
          <c:extLst>
            <c:ext xmlns:c16="http://schemas.microsoft.com/office/drawing/2014/chart" uri="{C3380CC4-5D6E-409C-BE32-E72D297353CC}">
              <c16:uniqueId val="{0000000C-33D4-480B-B78C-A67F35F14D01}"/>
            </c:ext>
          </c:extLst>
        </c:ser>
        <c:ser>
          <c:idx val="13"/>
          <c:order val="13"/>
          <c:tx>
            <c:strRef>
              <c:f>'17-IV(A)(8)-School Enrollment'!$W$17</c:f>
              <c:strCache>
                <c:ptCount val="1"/>
                <c:pt idx="0">
                  <c:v>Windham</c:v>
                </c:pt>
              </c:strCache>
            </c:strRef>
          </c:tx>
          <c:spPr>
            <a:ln w="12700" cap="rnd">
              <a:solidFill>
                <a:schemeClr val="accent4">
                  <a:lumMod val="75000"/>
                  <a:alpha val="30000"/>
                </a:schemeClr>
              </a:solidFill>
              <a:round/>
            </a:ln>
            <a:effectLst/>
          </c:spPr>
          <c:marker>
            <c:symbol val="none"/>
          </c:marker>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Enrollment'!$X$17:$AF$17</c:f>
              <c:numCache>
                <c:formatCode>#,##0</c:formatCode>
                <c:ptCount val="9"/>
                <c:pt idx="0">
                  <c:v>100</c:v>
                </c:pt>
                <c:pt idx="1">
                  <c:v>101.05115627189909</c:v>
                </c:pt>
                <c:pt idx="2">
                  <c:v>101.75192711983181</c:v>
                </c:pt>
                <c:pt idx="3">
                  <c:v>103.11843027330063</c:v>
                </c:pt>
                <c:pt idx="4">
                  <c:v>102.97827610371408</c:v>
                </c:pt>
                <c:pt idx="5">
                  <c:v>103.81920112123335</c:v>
                </c:pt>
                <c:pt idx="6">
                  <c:v>105.67624386825507</c:v>
                </c:pt>
                <c:pt idx="7">
                  <c:v>104.8353188507358</c:v>
                </c:pt>
                <c:pt idx="8">
                  <c:v>106.86755430974071</c:v>
                </c:pt>
              </c:numCache>
            </c:numRef>
          </c:val>
          <c:smooth val="1"/>
          <c:extLst>
            <c:ext xmlns:c16="http://schemas.microsoft.com/office/drawing/2014/chart" uri="{C3380CC4-5D6E-409C-BE32-E72D297353CC}">
              <c16:uniqueId val="{0000000D-33D4-480B-B78C-A67F35F14D01}"/>
            </c:ext>
          </c:extLst>
        </c:ser>
        <c:ser>
          <c:idx val="14"/>
          <c:order val="14"/>
          <c:tx>
            <c:strRef>
              <c:f>'17-IV(A)(8)-School Enrollment'!$W$18</c:f>
              <c:strCache>
                <c:ptCount val="1"/>
                <c:pt idx="0">
                  <c:v>SNHPC</c:v>
                </c:pt>
              </c:strCache>
            </c:strRef>
          </c:tx>
          <c:spPr>
            <a:ln w="50800" cap="sq">
              <a:solidFill>
                <a:srgbClr val="C00000"/>
              </a:solidFill>
              <a:round/>
            </a:ln>
            <a:effectLst/>
          </c:spPr>
          <c:marker>
            <c:symbol val="none"/>
          </c:marker>
          <c:dLbls>
            <c:dLbl>
              <c:idx val="5"/>
              <c:layout>
                <c:manualLayout>
                  <c:x val="-0.17499999999999999"/>
                  <c:y val="8.3333333333333329E-2"/>
                </c:manualLayout>
              </c:layout>
              <c:tx>
                <c:rich>
                  <a:bodyPr/>
                  <a:lstStyle/>
                  <a:p>
                    <a:r>
                      <a:rPr lang="en-US" sz="1200" b="1">
                        <a:solidFill>
                          <a:srgbClr val="C00000"/>
                        </a:solidFill>
                      </a:rPr>
                      <a:t>SNHPC Enrollment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33D4-480B-B78C-A67F35F14D01}"/>
                </c:ext>
              </c:extLst>
            </c:dLbl>
            <c:spPr>
              <a:solidFill>
                <a:schemeClr val="bg1">
                  <a:alpha val="4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w Cen MT" panose="020B0602020104020603" pitchFamily="34" charset="0"/>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C00000"/>
                      </a:solidFill>
                      <a:round/>
                    </a:ln>
                    <a:effectLst/>
                  </c:spPr>
                </c15:leaderLines>
              </c:ext>
            </c:extLst>
          </c:dLbls>
          <c:cat>
            <c:numRef>
              <c:f>'17-IV(A)(8)-School Enrollment'!$X$3:$AF$3</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'17-IV(A)(8)-School Enrollment'!$X$18:$AF$18</c:f>
              <c:numCache>
                <c:formatCode>#,##0</c:formatCode>
                <c:ptCount val="9"/>
                <c:pt idx="0">
                  <c:v>100</c:v>
                </c:pt>
                <c:pt idx="1">
                  <c:v>100.11306656179333</c:v>
                </c:pt>
                <c:pt idx="2">
                  <c:v>99.255235473404781</c:v>
                </c:pt>
                <c:pt idx="3">
                  <c:v>98.906203913086216</c:v>
                </c:pt>
                <c:pt idx="4">
                  <c:v>97.952512044046799</c:v>
                </c:pt>
                <c:pt idx="5">
                  <c:v>97.927932356700424</c:v>
                </c:pt>
                <c:pt idx="6">
                  <c:v>96.880837675744772</c:v>
                </c:pt>
                <c:pt idx="7">
                  <c:v>93.948480975321985</c:v>
                </c:pt>
                <c:pt idx="8">
                  <c:v>93.579785665126337</c:v>
                </c:pt>
              </c:numCache>
            </c:numRef>
          </c:val>
          <c:smooth val="1"/>
          <c:extLst>
            <c:ext xmlns:c16="http://schemas.microsoft.com/office/drawing/2014/chart" uri="{C3380CC4-5D6E-409C-BE32-E72D297353CC}">
              <c16:uniqueId val="{0000000F-33D4-480B-B78C-A67F35F14D01}"/>
            </c:ext>
          </c:extLst>
        </c:ser>
        <c:dLbls>
          <c:showLegendKey val="0"/>
          <c:showVal val="0"/>
          <c:showCatName val="0"/>
          <c:showSerName val="0"/>
          <c:showPercent val="0"/>
          <c:showBubbleSize val="0"/>
        </c:dLbls>
        <c:smooth val="0"/>
        <c:axId val="2111253775"/>
        <c:axId val="2111259599"/>
      </c:lineChart>
      <c:catAx>
        <c:axId val="2111253775"/>
        <c:scaling>
          <c:orientation val="minMax"/>
        </c:scaling>
        <c:delete val="0"/>
        <c:axPos val="b"/>
        <c:numFmt formatCode="General" sourceLinked="1"/>
        <c:majorTickMark val="none"/>
        <c:minorTickMark val="none"/>
        <c:tickLblPos val="nextTo"/>
        <c:spPr>
          <a:noFill/>
          <a:ln w="9525" cap="flat" cmpd="sng" algn="ctr">
            <a:solidFill>
              <a:schemeClr val="bg1">
                <a:lumMod val="9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2111259599"/>
        <c:crosses val="autoZero"/>
        <c:auto val="1"/>
        <c:lblAlgn val="ctr"/>
        <c:lblOffset val="100"/>
        <c:noMultiLvlLbl val="0"/>
      </c:catAx>
      <c:valAx>
        <c:axId val="2111259599"/>
        <c:scaling>
          <c:orientation val="minMax"/>
          <c:max val="120"/>
          <c:min val="70"/>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r>
                  <a:rPr lang="en-US" sz="1200">
                    <a:solidFill>
                      <a:sysClr val="windowText" lastClr="000000"/>
                    </a:solidFill>
                  </a:rPr>
                  <a:t>Indexed</a:t>
                </a:r>
                <a:r>
                  <a:rPr lang="en-US" sz="1200" baseline="0">
                    <a:solidFill>
                      <a:sysClr val="windowText" lastClr="000000"/>
                    </a:solidFill>
                  </a:rPr>
                  <a:t> at 100 for 2013</a:t>
                </a:r>
                <a:endParaRPr lang="en-US" sz="120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2111253775"/>
        <c:crosses val="autoZero"/>
        <c:crossBetween val="between"/>
        <c:majorUnit val="1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w Cen MT" panose="020B0602020104020603" pitchFamily="34" charset="0"/>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75000"/>
                    <a:lumOff val="25000"/>
                  </a:schemeClr>
                </a:solidFill>
                <a:latin typeface="Tw Cen MT" panose="020B0602020104020603" pitchFamily="34" charset="0"/>
                <a:ea typeface="+mn-ea"/>
                <a:cs typeface="+mn-cs"/>
              </a:defRPr>
            </a:pPr>
            <a:r>
              <a:rPr lang="en-US" sz="1400"/>
              <a:t>US Construction Costs Have Historically Not Driven the Rising Cost of Housing </a:t>
            </a:r>
          </a:p>
        </c:rich>
      </c:tx>
      <c:layout>
        <c:manualLayout>
          <c:xMode val="edge"/>
          <c:yMode val="edge"/>
          <c:x val="0.13551704353077751"/>
          <c:y val="1.56371918206757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75000"/>
                  <a:lumOff val="25000"/>
                </a:schemeClr>
              </a:solidFill>
              <a:latin typeface="Tw Cen MT" panose="020B0602020104020603" pitchFamily="34" charset="0"/>
              <a:ea typeface="+mn-ea"/>
              <a:cs typeface="+mn-cs"/>
            </a:defRPr>
          </a:pPr>
          <a:endParaRPr lang="en-US"/>
        </a:p>
      </c:txPr>
    </c:title>
    <c:autoTitleDeleted val="0"/>
    <c:plotArea>
      <c:layout>
        <c:manualLayout>
          <c:layoutTarget val="inner"/>
          <c:xMode val="edge"/>
          <c:yMode val="edge"/>
          <c:x val="0.11660104146459721"/>
          <c:y val="0.17383675864546402"/>
          <c:w val="0.87572626920122087"/>
          <c:h val="0.59071290075705674"/>
        </c:manualLayout>
      </c:layout>
      <c:lineChart>
        <c:grouping val="standard"/>
        <c:varyColors val="0"/>
        <c:ser>
          <c:idx val="2"/>
          <c:order val="0"/>
          <c:tx>
            <c:v>Real Home Price</c:v>
          </c:tx>
          <c:spPr>
            <a:ln w="50800" cap="flat">
              <a:solidFill>
                <a:schemeClr val="accent3"/>
              </a:solidFill>
              <a:round/>
            </a:ln>
            <a:effectLst/>
          </c:spPr>
          <c:marker>
            <c:symbol val="none"/>
          </c:marker>
          <c:cat>
            <c:numRef>
              <c:f>Analysis!$M$2:$M$42</c:f>
              <c:numCache>
                <c:formatCode>General</c:formatCode>
                <c:ptCount val="4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numCache>
            </c:numRef>
          </c:cat>
          <c:val>
            <c:numRef>
              <c:f>Analysis!$O$2:$O$42</c:f>
              <c:numCache>
                <c:formatCode>General</c:formatCode>
                <c:ptCount val="41"/>
                <c:pt idx="0">
                  <c:v>100</c:v>
                </c:pt>
                <c:pt idx="1">
                  <c:v>96.389122319606443</c:v>
                </c:pt>
                <c:pt idx="2">
                  <c:v>92.690609336124581</c:v>
                </c:pt>
                <c:pt idx="3">
                  <c:v>92.557688458572002</c:v>
                </c:pt>
                <c:pt idx="4">
                  <c:v>92.924688352465466</c:v>
                </c:pt>
                <c:pt idx="5">
                  <c:v>94.909812118644169</c:v>
                </c:pt>
                <c:pt idx="6">
                  <c:v>101.37527456803342</c:v>
                </c:pt>
                <c:pt idx="7">
                  <c:v>106.51529468464469</c:v>
                </c:pt>
                <c:pt idx="8">
                  <c:v>109.88670880129095</c:v>
                </c:pt>
                <c:pt idx="9">
                  <c:v>111.27646170157422</c:v>
                </c:pt>
                <c:pt idx="10">
                  <c:v>107.61052871914372</c:v>
                </c:pt>
                <c:pt idx="11">
                  <c:v>101.84979997276355</c:v>
                </c:pt>
                <c:pt idx="12">
                  <c:v>99.385977702593991</c:v>
                </c:pt>
                <c:pt idx="13">
                  <c:v>97.903781764174482</c:v>
                </c:pt>
                <c:pt idx="14">
                  <c:v>97.94825529533054</c:v>
                </c:pt>
                <c:pt idx="15">
                  <c:v>97.10217955138306</c:v>
                </c:pt>
                <c:pt idx="16">
                  <c:v>96.453218516316781</c:v>
                </c:pt>
                <c:pt idx="17">
                  <c:v>97.101855881746218</c:v>
                </c:pt>
                <c:pt idx="18">
                  <c:v>100.97356284098282</c:v>
                </c:pt>
                <c:pt idx="19">
                  <c:v>105.6862514924958</c:v>
                </c:pt>
                <c:pt idx="20">
                  <c:v>111.13920210112191</c:v>
                </c:pt>
                <c:pt idx="21">
                  <c:v>116.77113404960033</c:v>
                </c:pt>
                <c:pt idx="22">
                  <c:v>124.18035645924125</c:v>
                </c:pt>
                <c:pt idx="23">
                  <c:v>132.80595685459042</c:v>
                </c:pt>
                <c:pt idx="24">
                  <c:v>145.49164511045225</c:v>
                </c:pt>
                <c:pt idx="25">
                  <c:v>160.64429502456787</c:v>
                </c:pt>
                <c:pt idx="26">
                  <c:v>166.2812934675251</c:v>
                </c:pt>
                <c:pt idx="27">
                  <c:v>158.59075237001596</c:v>
                </c:pt>
                <c:pt idx="28">
                  <c:v>139.23403650689795</c:v>
                </c:pt>
                <c:pt idx="29">
                  <c:v>126.50482477774116</c:v>
                </c:pt>
                <c:pt idx="30">
                  <c:v>121.20402378028751</c:v>
                </c:pt>
                <c:pt idx="31">
                  <c:v>113.09521110001808</c:v>
                </c:pt>
                <c:pt idx="32">
                  <c:v>112.17648647516442</c:v>
                </c:pt>
                <c:pt idx="33">
                  <c:v>121.16888546046805</c:v>
                </c:pt>
                <c:pt idx="34">
                  <c:v>127.08491737088789</c:v>
                </c:pt>
                <c:pt idx="35">
                  <c:v>132.71132670504986</c:v>
                </c:pt>
                <c:pt idx="36">
                  <c:v>137.71654080862197</c:v>
                </c:pt>
                <c:pt idx="37">
                  <c:v>142.65900844683571</c:v>
                </c:pt>
                <c:pt idx="38">
                  <c:v>147.31999574340941</c:v>
                </c:pt>
                <c:pt idx="39">
                  <c:v>149.70681397211195</c:v>
                </c:pt>
                <c:pt idx="40">
                  <c:v>157.58754397645703</c:v>
                </c:pt>
              </c:numCache>
            </c:numRef>
          </c:val>
          <c:smooth val="1"/>
          <c:extLst>
            <c:ext xmlns:c16="http://schemas.microsoft.com/office/drawing/2014/chart" uri="{C3380CC4-5D6E-409C-BE32-E72D297353CC}">
              <c16:uniqueId val="{00000000-2155-41EE-B8AF-17470AAD9ED8}"/>
            </c:ext>
          </c:extLst>
        </c:ser>
        <c:ser>
          <c:idx val="0"/>
          <c:order val="1"/>
          <c:tx>
            <c:v>Real Building Cost</c:v>
          </c:tx>
          <c:spPr>
            <a:ln w="50800" cap="flat">
              <a:solidFill>
                <a:schemeClr val="accent1"/>
              </a:solidFill>
              <a:round/>
            </a:ln>
            <a:effectLst/>
          </c:spPr>
          <c:marker>
            <c:symbol val="none"/>
          </c:marker>
          <c:cat>
            <c:numRef>
              <c:f>Analysis!$M$2:$M$42</c:f>
              <c:numCache>
                <c:formatCode>General</c:formatCode>
                <c:ptCount val="4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pt idx="31">
                  <c:v>2011</c:v>
                </c:pt>
                <c:pt idx="32">
                  <c:v>2012</c:v>
                </c:pt>
                <c:pt idx="33">
                  <c:v>2013</c:v>
                </c:pt>
                <c:pt idx="34">
                  <c:v>2014</c:v>
                </c:pt>
                <c:pt idx="35">
                  <c:v>2015</c:v>
                </c:pt>
                <c:pt idx="36">
                  <c:v>2016</c:v>
                </c:pt>
                <c:pt idx="37">
                  <c:v>2017</c:v>
                </c:pt>
                <c:pt idx="38">
                  <c:v>2018</c:v>
                </c:pt>
                <c:pt idx="39">
                  <c:v>2019</c:v>
                </c:pt>
                <c:pt idx="40">
                  <c:v>2020</c:v>
                </c:pt>
              </c:numCache>
            </c:numRef>
          </c:cat>
          <c:val>
            <c:numRef>
              <c:f>Analysis!$R$2:$R$42</c:f>
              <c:numCache>
                <c:formatCode>General</c:formatCode>
                <c:ptCount val="41"/>
                <c:pt idx="0">
                  <c:v>100</c:v>
                </c:pt>
                <c:pt idx="1">
                  <c:v>96.612482012471347</c:v>
                </c:pt>
                <c:pt idx="2">
                  <c:v>94.956683455686104</c:v>
                </c:pt>
                <c:pt idx="3">
                  <c:v>97.706050367223668</c:v>
                </c:pt>
                <c:pt idx="4">
                  <c:v>95.072853293856696</c:v>
                </c:pt>
                <c:pt idx="5">
                  <c:v>92.132603753867031</c:v>
                </c:pt>
                <c:pt idx="6">
                  <c:v>90.807187957144535</c:v>
                </c:pt>
                <c:pt idx="7">
                  <c:v>91.591240145441603</c:v>
                </c:pt>
                <c:pt idx="8">
                  <c:v>90.003593475104168</c:v>
                </c:pt>
                <c:pt idx="9">
                  <c:v>87.181771422955734</c:v>
                </c:pt>
                <c:pt idx="10">
                  <c:v>85.009992583408348</c:v>
                </c:pt>
                <c:pt idx="11">
                  <c:v>81.921819989849141</c:v>
                </c:pt>
                <c:pt idx="12">
                  <c:v>82.254606473890703</c:v>
                </c:pt>
                <c:pt idx="13">
                  <c:v>84.212458262069063</c:v>
                </c:pt>
                <c:pt idx="14">
                  <c:v>85.291686136371808</c:v>
                </c:pt>
                <c:pt idx="15">
                  <c:v>82.991701638796926</c:v>
                </c:pt>
                <c:pt idx="16">
                  <c:v>83.150277753308075</c:v>
                </c:pt>
                <c:pt idx="17">
                  <c:v>84.750031653449938</c:v>
                </c:pt>
                <c:pt idx="18">
                  <c:v>84.108617585096994</c:v>
                </c:pt>
                <c:pt idx="19">
                  <c:v>84.312163165167945</c:v>
                </c:pt>
                <c:pt idx="20">
                  <c:v>84.035382650756546</c:v>
                </c:pt>
                <c:pt idx="21">
                  <c:v>81.813027427324229</c:v>
                </c:pt>
                <c:pt idx="22">
                  <c:v>81.99810851514367</c:v>
                </c:pt>
                <c:pt idx="23">
                  <c:v>81.466384370861149</c:v>
                </c:pt>
                <c:pt idx="24">
                  <c:v>86.224842352642682</c:v>
                </c:pt>
                <c:pt idx="25">
                  <c:v>88.383128186050612</c:v>
                </c:pt>
                <c:pt idx="26">
                  <c:v>88.310713189883188</c:v>
                </c:pt>
                <c:pt idx="27">
                  <c:v>88.812004158238352</c:v>
                </c:pt>
                <c:pt idx="28">
                  <c:v>89.036218995454448</c:v>
                </c:pt>
                <c:pt idx="29">
                  <c:v>90.532538113991805</c:v>
                </c:pt>
                <c:pt idx="30">
                  <c:v>90.324991424476153</c:v>
                </c:pt>
                <c:pt idx="31">
                  <c:v>92.059839218334531</c:v>
                </c:pt>
                <c:pt idx="32">
                  <c:v>91.494717668450903</c:v>
                </c:pt>
                <c:pt idx="33">
                  <c:v>91.868627194615669</c:v>
                </c:pt>
                <c:pt idx="34">
                  <c:v>92.308375554903805</c:v>
                </c:pt>
                <c:pt idx="35">
                  <c:v>94.500463771544545</c:v>
                </c:pt>
                <c:pt idx="36">
                  <c:v>95.741309660495787</c:v>
                </c:pt>
                <c:pt idx="37">
                  <c:v>96.459683603729459</c:v>
                </c:pt>
                <c:pt idx="38">
                  <c:v>97.721009647096253</c:v>
                </c:pt>
                <c:pt idx="39">
                  <c:v>97.62958817011318</c:v>
                </c:pt>
                <c:pt idx="40">
                  <c:v>97.234130117437616</c:v>
                </c:pt>
              </c:numCache>
            </c:numRef>
          </c:val>
          <c:smooth val="1"/>
          <c:extLst>
            <c:ext xmlns:c16="http://schemas.microsoft.com/office/drawing/2014/chart" uri="{C3380CC4-5D6E-409C-BE32-E72D297353CC}">
              <c16:uniqueId val="{00000001-2155-41EE-B8AF-17470AAD9ED8}"/>
            </c:ext>
          </c:extLst>
        </c:ser>
        <c:dLbls>
          <c:showLegendKey val="0"/>
          <c:showVal val="0"/>
          <c:showCatName val="0"/>
          <c:showSerName val="0"/>
          <c:showPercent val="0"/>
          <c:showBubbleSize val="0"/>
        </c:dLbls>
        <c:smooth val="0"/>
        <c:axId val="1842436447"/>
        <c:axId val="1842436863"/>
      </c:lineChart>
      <c:dateAx>
        <c:axId val="18424364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75000"/>
                    <a:lumOff val="25000"/>
                  </a:schemeClr>
                </a:solidFill>
                <a:latin typeface="Tw Cen MT" panose="020B0602020104020603" pitchFamily="34" charset="0"/>
                <a:ea typeface="+mn-ea"/>
                <a:cs typeface="+mn-cs"/>
              </a:defRPr>
            </a:pPr>
            <a:endParaRPr lang="en-US"/>
          </a:p>
        </c:txPr>
        <c:crossAx val="1842436863"/>
        <c:crosses val="autoZero"/>
        <c:auto val="0"/>
        <c:lblOffset val="100"/>
        <c:baseTimeUnit val="days"/>
      </c:dateAx>
      <c:valAx>
        <c:axId val="184243686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75000"/>
                        <a:lumOff val="25000"/>
                      </a:schemeClr>
                    </a:solidFill>
                    <a:latin typeface="Tw Cen MT" panose="020B0602020104020603" pitchFamily="34" charset="0"/>
                    <a:ea typeface="+mn-ea"/>
                    <a:cs typeface="+mn-cs"/>
                  </a:defRPr>
                </a:pPr>
                <a:r>
                  <a:rPr lang="en-US" sz="1200"/>
                  <a:t>Indexed at 100 for 1980</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75000"/>
                      <a:lumOff val="25000"/>
                    </a:schemeClr>
                  </a:solidFill>
                  <a:latin typeface="Tw Cen MT" panose="020B0602020104020603"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75000"/>
                    <a:lumOff val="25000"/>
                  </a:schemeClr>
                </a:solidFill>
                <a:latin typeface="Tw Cen MT" panose="020B0602020104020603" pitchFamily="34" charset="0"/>
                <a:ea typeface="+mn-ea"/>
                <a:cs typeface="+mn-cs"/>
              </a:defRPr>
            </a:pPr>
            <a:endParaRPr lang="en-US"/>
          </a:p>
        </c:txPr>
        <c:crossAx val="1842436447"/>
        <c:crosses val="autoZero"/>
        <c:crossBetween val="between"/>
        <c:majorUnit val="50"/>
      </c:valAx>
      <c:spPr>
        <a:noFill/>
        <a:ln>
          <a:noFill/>
        </a:ln>
        <a:effectLst/>
      </c:spPr>
    </c:plotArea>
    <c:legend>
      <c:legendPos val="b"/>
      <c:layout>
        <c:manualLayout>
          <c:xMode val="edge"/>
          <c:yMode val="edge"/>
          <c:x val="0.14700460844679061"/>
          <c:y val="0.90264003766318668"/>
          <c:w val="0.7032005456095185"/>
          <c:h val="8.5967449301527429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w Cen MT" panose="020B06020201040206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4000">
          <a:solidFill>
            <a:schemeClr val="tx1">
              <a:lumMod val="75000"/>
              <a:lumOff val="25000"/>
            </a:schemeClr>
          </a:solidFill>
          <a:latin typeface="Tw Cen MT" panose="020B0602020104020603" pitchFamily="34" charset="0"/>
        </a:defRPr>
      </a:pPr>
      <a:endParaRPr lang="en-US"/>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r>
              <a:rPr lang="en-US" sz="1400">
                <a:solidFill>
                  <a:sysClr val="windowText" lastClr="000000"/>
                </a:solidFill>
              </a:rPr>
              <a:t>SNHPC Age Groups as a Percentage of the Total Population</a:t>
            </a:r>
          </a:p>
        </c:rich>
      </c:tx>
      <c:layout>
        <c:manualLayout>
          <c:xMode val="edge"/>
          <c:yMode val="edge"/>
          <c:x val="0.111363184079602"/>
          <c:y val="4.232804232804232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endParaRPr lang="en-US"/>
        </a:p>
      </c:txPr>
    </c:title>
    <c:autoTitleDeleted val="0"/>
    <c:plotArea>
      <c:layout>
        <c:manualLayout>
          <c:layoutTarget val="inner"/>
          <c:xMode val="edge"/>
          <c:yMode val="edge"/>
          <c:x val="0.1270880244447056"/>
          <c:y val="4.1112694246552513E-2"/>
          <c:w val="0.8438123359580052"/>
          <c:h val="0.69546806649168857"/>
        </c:manualLayout>
      </c:layout>
      <c:lineChart>
        <c:grouping val="standard"/>
        <c:varyColors val="0"/>
        <c:ser>
          <c:idx val="0"/>
          <c:order val="0"/>
          <c:tx>
            <c:v>Less than 20 Years Old</c:v>
          </c:tx>
          <c:spPr>
            <a:ln w="38100" cap="sq">
              <a:solidFill>
                <a:schemeClr val="tx1"/>
              </a:solidFill>
              <a:round/>
            </a:ln>
            <a:effectLst/>
          </c:spPr>
          <c:marker>
            <c:symbol val="none"/>
          </c:marker>
          <c:dLbls>
            <c:dLbl>
              <c:idx val="6"/>
              <c:layout>
                <c:manualLayout>
                  <c:x val="-0.31612770791710737"/>
                  <c:y val="8.9418072740907392E-2"/>
                </c:manualLayout>
              </c:layout>
              <c:tx>
                <c:rich>
                  <a:bodyPr/>
                  <a:lstStyle/>
                  <a:p>
                    <a:r>
                      <a:rPr lang="en-US">
                        <a:solidFill>
                          <a:sysClr val="windowText" lastClr="000000"/>
                        </a:solidFill>
                      </a:rPr>
                      <a:t>Less than 20 Years Old</a:t>
                    </a:r>
                  </a:p>
                </c:rich>
              </c:tx>
              <c:showLegendKey val="0"/>
              <c:showVal val="1"/>
              <c:showCatName val="0"/>
              <c:showSerName val="0"/>
              <c:showPercent val="0"/>
              <c:showBubbleSize val="0"/>
              <c:extLst>
                <c:ext xmlns:c15="http://schemas.microsoft.com/office/drawing/2012/chart" uri="{CE6537A1-D6FC-4f65-9D91-7224C49458BB}">
                  <c15:layout>
                    <c:manualLayout>
                      <c:w val="0.3559907548869824"/>
                      <c:h val="8.3339895013123361E-2"/>
                    </c:manualLayout>
                  </c15:layout>
                  <c15:showDataLabelsRange val="0"/>
                </c:ext>
                <c:ext xmlns:c16="http://schemas.microsoft.com/office/drawing/2014/chart" uri="{C3380CC4-5D6E-409C-BE32-E72D297353CC}">
                  <c16:uniqueId val="{00000000-1AB4-4DBD-830B-97ECD4376162}"/>
                </c:ext>
              </c:extLst>
            </c:dLbl>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w Cen MT" panose="020B0602020104020603" pitchFamily="34" charset="0"/>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Sheet1!$KT$27:$LJ$27</c:f>
              <c:numCache>
                <c:formatCode>General</c:formatCode>
                <c:ptCount val="17"/>
                <c:pt idx="0">
                  <c:v>1970</c:v>
                </c:pt>
                <c:pt idx="1">
                  <c:v>1975</c:v>
                </c:pt>
                <c:pt idx="2">
                  <c:v>1980</c:v>
                </c:pt>
                <c:pt idx="3">
                  <c:v>1985</c:v>
                </c:pt>
                <c:pt idx="4">
                  <c:v>1990</c:v>
                </c:pt>
                <c:pt idx="5">
                  <c:v>1995</c:v>
                </c:pt>
                <c:pt idx="6">
                  <c:v>2000</c:v>
                </c:pt>
                <c:pt idx="7">
                  <c:v>2005</c:v>
                </c:pt>
                <c:pt idx="8">
                  <c:v>2010</c:v>
                </c:pt>
                <c:pt idx="9">
                  <c:v>2015</c:v>
                </c:pt>
                <c:pt idx="10">
                  <c:v>2020</c:v>
                </c:pt>
                <c:pt idx="11">
                  <c:v>2025</c:v>
                </c:pt>
                <c:pt idx="12">
                  <c:v>2030</c:v>
                </c:pt>
                <c:pt idx="13">
                  <c:v>2035</c:v>
                </c:pt>
                <c:pt idx="14">
                  <c:v>2040</c:v>
                </c:pt>
                <c:pt idx="15">
                  <c:v>2045</c:v>
                </c:pt>
                <c:pt idx="16">
                  <c:v>2050</c:v>
                </c:pt>
              </c:numCache>
            </c:numRef>
          </c:cat>
          <c:val>
            <c:numRef>
              <c:f>Sheet1!$KT$49:$LJ$49</c:f>
              <c:numCache>
                <c:formatCode>0.0%</c:formatCode>
                <c:ptCount val="17"/>
                <c:pt idx="0">
                  <c:v>0.38915653753478874</c:v>
                </c:pt>
                <c:pt idx="1">
                  <c:v>0.35888629693418278</c:v>
                </c:pt>
                <c:pt idx="2">
                  <c:v>0.32812616868758798</c:v>
                </c:pt>
                <c:pt idx="3">
                  <c:v>0.3062037361505191</c:v>
                </c:pt>
                <c:pt idx="4">
                  <c:v>0.28437921531465465</c:v>
                </c:pt>
                <c:pt idx="5">
                  <c:v>0.28528961919970719</c:v>
                </c:pt>
                <c:pt idx="6">
                  <c:v>0.28618262934674171</c:v>
                </c:pt>
                <c:pt idx="7">
                  <c:v>0.27118485327794756</c:v>
                </c:pt>
                <c:pt idx="8">
                  <c:v>0.25618711243699738</c:v>
                </c:pt>
                <c:pt idx="9">
                  <c:v>0.23614006038331453</c:v>
                </c:pt>
                <c:pt idx="10">
                  <c:v>0.20501301797006732</c:v>
                </c:pt>
              </c:numCache>
            </c:numRef>
          </c:val>
          <c:smooth val="0"/>
          <c:extLst>
            <c:ext xmlns:c16="http://schemas.microsoft.com/office/drawing/2014/chart" uri="{C3380CC4-5D6E-409C-BE32-E72D297353CC}">
              <c16:uniqueId val="{00000001-1AB4-4DBD-830B-97ECD4376162}"/>
            </c:ext>
          </c:extLst>
        </c:ser>
        <c:ser>
          <c:idx val="2"/>
          <c:order val="1"/>
          <c:tx>
            <c:v>Less than 20 Years Old</c:v>
          </c:tx>
          <c:spPr>
            <a:ln w="38100" cap="sq">
              <a:solidFill>
                <a:schemeClr val="tx1"/>
              </a:solidFill>
              <a:prstDash val="sysDash"/>
              <a:round/>
            </a:ln>
            <a:effectLst/>
          </c:spPr>
          <c:marker>
            <c:symbol val="none"/>
          </c:marker>
          <c:val>
            <c:numRef>
              <c:f>Sheet1!$KT$50:$LJ$50</c:f>
              <c:numCache>
                <c:formatCode>General</c:formatCode>
                <c:ptCount val="17"/>
                <c:pt idx="10" formatCode="0.0%">
                  <c:v>0.20501301797006732</c:v>
                </c:pt>
                <c:pt idx="11" formatCode="0.0%">
                  <c:v>0.20986909427378736</c:v>
                </c:pt>
                <c:pt idx="12" formatCode="0.0%">
                  <c:v>0.20654071259268375</c:v>
                </c:pt>
                <c:pt idx="13" formatCode="0.0%">
                  <c:v>0.20824036345131719</c:v>
                </c:pt>
                <c:pt idx="14" formatCode="0.0%">
                  <c:v>0.21096711662259721</c:v>
                </c:pt>
                <c:pt idx="15" formatCode="0.0%">
                  <c:v>0.20726544975858446</c:v>
                </c:pt>
                <c:pt idx="16" formatCode="0.0%">
                  <c:v>0.20312638387953605</c:v>
                </c:pt>
              </c:numCache>
            </c:numRef>
          </c:val>
          <c:smooth val="0"/>
          <c:extLst>
            <c:ext xmlns:c16="http://schemas.microsoft.com/office/drawing/2014/chart" uri="{C3380CC4-5D6E-409C-BE32-E72D297353CC}">
              <c16:uniqueId val="{00000002-1AB4-4DBD-830B-97ECD4376162}"/>
            </c:ext>
          </c:extLst>
        </c:ser>
        <c:ser>
          <c:idx val="1"/>
          <c:order val="2"/>
          <c:tx>
            <c:v>65 Years or Older</c:v>
          </c:tx>
          <c:spPr>
            <a:ln w="38100" cap="sq">
              <a:solidFill>
                <a:srgbClr val="C00000"/>
              </a:solidFill>
              <a:round/>
            </a:ln>
            <a:effectLst/>
          </c:spPr>
          <c:marker>
            <c:symbol val="none"/>
          </c:marker>
          <c:dLbls>
            <c:dLbl>
              <c:idx val="8"/>
              <c:layout>
                <c:manualLayout>
                  <c:x val="1.6583852391585455E-2"/>
                  <c:y val="7.4603091280256717E-2"/>
                </c:manualLayout>
              </c:layout>
              <c:tx>
                <c:rich>
                  <a:bodyPr rot="0" spcFirstLastPara="1" vertOverflow="ellipsis" vert="horz" wrap="square" lIns="38100" tIns="19050" rIns="38100" bIns="19050" anchor="ctr" anchorCtr="1">
                    <a:noAutofit/>
                  </a:bodyPr>
                  <a:lstStyle/>
                  <a:p>
                    <a:pPr>
                      <a:defRPr sz="1400" b="0" i="0" u="none" strike="noStrike" kern="1200" baseline="0">
                        <a:solidFill>
                          <a:srgbClr val="C00000"/>
                        </a:solidFill>
                        <a:latin typeface="Tw Cen MT" panose="020B0602020104020603" pitchFamily="34" charset="0"/>
                        <a:ea typeface="+mn-ea"/>
                        <a:cs typeface="+mn-cs"/>
                      </a:defRPr>
                    </a:pPr>
                    <a:r>
                      <a:rPr lang="en-US"/>
                      <a:t>65 Years or</a:t>
                    </a:r>
                    <a:r>
                      <a:rPr lang="en-US" baseline="0"/>
                      <a:t> Older</a:t>
                    </a:r>
                    <a:endParaRPr lang="en-US"/>
                  </a:p>
                </c:rich>
              </c:tx>
              <c:spPr>
                <a:noFill/>
                <a:ln>
                  <a:noFill/>
                </a:ln>
                <a:effectLst/>
              </c:spPr>
              <c:txPr>
                <a:bodyPr rot="0" spcFirstLastPara="1" vertOverflow="ellipsis" vert="horz" wrap="square" lIns="38100" tIns="19050" rIns="38100" bIns="19050" anchor="ctr" anchorCtr="1">
                  <a:noAutofit/>
                </a:bodyPr>
                <a:lstStyle/>
                <a:p>
                  <a:pPr>
                    <a:defRPr sz="1400" b="0" i="0" u="none" strike="noStrike" kern="1200" baseline="0">
                      <a:solidFill>
                        <a:srgbClr val="C00000"/>
                      </a:solidFill>
                      <a:latin typeface="Tw Cen MT" panose="020B0602020104020603"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5174129353233832"/>
                      <c:h val="8.5148148148148126E-2"/>
                    </c:manualLayout>
                  </c15:layout>
                  <c15:showDataLabelsRange val="0"/>
                </c:ext>
                <c:ext xmlns:c16="http://schemas.microsoft.com/office/drawing/2014/chart" uri="{C3380CC4-5D6E-409C-BE32-E72D297353CC}">
                  <c16:uniqueId val="{00000003-1AB4-4DBD-830B-97ECD4376162}"/>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rgbClr val="C00000"/>
                    </a:solidFill>
                    <a:latin typeface="Tw Cen MT" panose="020B0602020104020603" pitchFamily="34" charset="0"/>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C00000"/>
                      </a:solidFill>
                      <a:round/>
                    </a:ln>
                    <a:effectLst/>
                  </c:spPr>
                </c15:leaderLines>
              </c:ext>
            </c:extLst>
          </c:dLbls>
          <c:cat>
            <c:numRef>
              <c:f>Sheet1!$KT$27:$LJ$27</c:f>
              <c:numCache>
                <c:formatCode>General</c:formatCode>
                <c:ptCount val="17"/>
                <c:pt idx="0">
                  <c:v>1970</c:v>
                </c:pt>
                <c:pt idx="1">
                  <c:v>1975</c:v>
                </c:pt>
                <c:pt idx="2">
                  <c:v>1980</c:v>
                </c:pt>
                <c:pt idx="3">
                  <c:v>1985</c:v>
                </c:pt>
                <c:pt idx="4">
                  <c:v>1990</c:v>
                </c:pt>
                <c:pt idx="5">
                  <c:v>1995</c:v>
                </c:pt>
                <c:pt idx="6">
                  <c:v>2000</c:v>
                </c:pt>
                <c:pt idx="7">
                  <c:v>2005</c:v>
                </c:pt>
                <c:pt idx="8">
                  <c:v>2010</c:v>
                </c:pt>
                <c:pt idx="9">
                  <c:v>2015</c:v>
                </c:pt>
                <c:pt idx="10">
                  <c:v>2020</c:v>
                </c:pt>
                <c:pt idx="11">
                  <c:v>2025</c:v>
                </c:pt>
                <c:pt idx="12">
                  <c:v>2030</c:v>
                </c:pt>
                <c:pt idx="13">
                  <c:v>2035</c:v>
                </c:pt>
                <c:pt idx="14">
                  <c:v>2040</c:v>
                </c:pt>
                <c:pt idx="15">
                  <c:v>2045</c:v>
                </c:pt>
                <c:pt idx="16">
                  <c:v>2050</c:v>
                </c:pt>
              </c:numCache>
            </c:numRef>
          </c:cat>
          <c:val>
            <c:numRef>
              <c:f>Sheet1!$KT$51:$LJ$51</c:f>
              <c:numCache>
                <c:formatCode>0.0%</c:formatCode>
                <c:ptCount val="17"/>
                <c:pt idx="0">
                  <c:v>9.9489075019396911E-2</c:v>
                </c:pt>
                <c:pt idx="1">
                  <c:v>9.9919880240619874E-2</c:v>
                </c:pt>
                <c:pt idx="2">
                  <c:v>0.1006658039561622</c:v>
                </c:pt>
                <c:pt idx="3">
                  <c:v>0.10019873533068258</c:v>
                </c:pt>
                <c:pt idx="4">
                  <c:v>9.974400504608251E-2</c:v>
                </c:pt>
                <c:pt idx="5">
                  <c:v>0.10263162853310344</c:v>
                </c:pt>
                <c:pt idx="6">
                  <c:v>0.10552233128939262</c:v>
                </c:pt>
                <c:pt idx="7">
                  <c:v>0.11388239838877277</c:v>
                </c:pt>
                <c:pt idx="8">
                  <c:v>0.12223394192505772</c:v>
                </c:pt>
                <c:pt idx="9">
                  <c:v>0.14937325234979862</c:v>
                </c:pt>
                <c:pt idx="10">
                  <c:v>0.16608433998900085</c:v>
                </c:pt>
              </c:numCache>
            </c:numRef>
          </c:val>
          <c:smooth val="0"/>
          <c:extLst>
            <c:ext xmlns:c16="http://schemas.microsoft.com/office/drawing/2014/chart" uri="{C3380CC4-5D6E-409C-BE32-E72D297353CC}">
              <c16:uniqueId val="{00000004-1AB4-4DBD-830B-97ECD4376162}"/>
            </c:ext>
          </c:extLst>
        </c:ser>
        <c:ser>
          <c:idx val="3"/>
          <c:order val="3"/>
          <c:tx>
            <c:v>65 Years or Older</c:v>
          </c:tx>
          <c:spPr>
            <a:ln w="38100" cap="sq">
              <a:solidFill>
                <a:srgbClr val="C00000"/>
              </a:solidFill>
              <a:prstDash val="sysDash"/>
              <a:round/>
            </a:ln>
            <a:effectLst/>
          </c:spPr>
          <c:marker>
            <c:symbol val="none"/>
          </c:marker>
          <c:val>
            <c:numRef>
              <c:f>Sheet1!$KT$52:$LJ$52</c:f>
              <c:numCache>
                <c:formatCode>General</c:formatCode>
                <c:ptCount val="17"/>
                <c:pt idx="10" formatCode="0.0%">
                  <c:v>0.16608433998900085</c:v>
                </c:pt>
                <c:pt idx="11" formatCode="0.0%">
                  <c:v>0.21154925504458921</c:v>
                </c:pt>
                <c:pt idx="12" formatCode="0.0%">
                  <c:v>0.24353414651120045</c:v>
                </c:pt>
                <c:pt idx="13" formatCode="0.0%">
                  <c:v>0.26065130323700875</c:v>
                </c:pt>
                <c:pt idx="14" formatCode="0.0%">
                  <c:v>0.26284095728753393</c:v>
                </c:pt>
                <c:pt idx="15" formatCode="0.0%">
                  <c:v>0.25681784368759464</c:v>
                </c:pt>
                <c:pt idx="16" formatCode="0.0%">
                  <c:v>0.25087292665047212</c:v>
                </c:pt>
              </c:numCache>
            </c:numRef>
          </c:val>
          <c:smooth val="0"/>
          <c:extLst>
            <c:ext xmlns:c16="http://schemas.microsoft.com/office/drawing/2014/chart" uri="{C3380CC4-5D6E-409C-BE32-E72D297353CC}">
              <c16:uniqueId val="{00000005-1AB4-4DBD-830B-97ECD4376162}"/>
            </c:ext>
          </c:extLst>
        </c:ser>
        <c:dLbls>
          <c:showLegendKey val="0"/>
          <c:showVal val="0"/>
          <c:showCatName val="0"/>
          <c:showSerName val="0"/>
          <c:showPercent val="0"/>
          <c:showBubbleSize val="0"/>
        </c:dLbls>
        <c:smooth val="0"/>
        <c:axId val="727611424"/>
        <c:axId val="727591456"/>
      </c:lineChart>
      <c:catAx>
        <c:axId val="72761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727591456"/>
        <c:crosses val="autoZero"/>
        <c:auto val="1"/>
        <c:lblAlgn val="ctr"/>
        <c:lblOffset val="100"/>
        <c:noMultiLvlLbl val="0"/>
      </c:catAx>
      <c:valAx>
        <c:axId val="7275914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w Cen MT" panose="020B0602020104020603" pitchFamily="34" charset="0"/>
                <a:ea typeface="+mn-ea"/>
                <a:cs typeface="+mn-cs"/>
              </a:defRPr>
            </a:pPr>
            <a:endParaRPr lang="en-US"/>
          </a:p>
        </c:txPr>
        <c:crossAx val="7276114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latin typeface="Tw Cen MT" panose="020B0602020104020603" pitchFamily="34" charset="0"/>
        </a:defRPr>
      </a:pPr>
      <a:endParaRPr lang="en-U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r>
              <a:rPr lang="en-US" sz="1400">
                <a:solidFill>
                  <a:sysClr val="windowText" lastClr="000000"/>
                </a:solidFill>
              </a:rPr>
              <a:t>New Hampshire's</a:t>
            </a:r>
            <a:r>
              <a:rPr lang="en-US" sz="1400" baseline="0">
                <a:solidFill>
                  <a:sysClr val="windowText" lastClr="000000"/>
                </a:solidFill>
              </a:rPr>
              <a:t> Population</a:t>
            </a:r>
          </a:p>
          <a:p>
            <a:pPr>
              <a:defRPr>
                <a:solidFill>
                  <a:sysClr val="windowText" lastClr="000000"/>
                </a:solidFill>
              </a:defRPr>
            </a:pPr>
            <a:r>
              <a:rPr lang="en-US" sz="1400" baseline="0">
                <a:solidFill>
                  <a:sysClr val="windowText" lastClr="000000"/>
                </a:solidFill>
              </a:rPr>
              <a:t>Growth Rate Over Time</a:t>
            </a:r>
            <a:endParaRPr lang="en-US" sz="140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endParaRPr lang="en-US"/>
        </a:p>
      </c:txPr>
    </c:title>
    <c:autoTitleDeleted val="0"/>
    <c:plotArea>
      <c:layout/>
      <c:lineChart>
        <c:grouping val="standard"/>
        <c:varyColors val="0"/>
        <c:ser>
          <c:idx val="14"/>
          <c:order val="0"/>
          <c:tx>
            <c:strRef>
              <c:f>Sheet3!$A$37</c:f>
              <c:strCache>
                <c:ptCount val="1"/>
                <c:pt idx="0">
                  <c:v>New Hampshire</c:v>
                </c:pt>
              </c:strCache>
            </c:strRef>
          </c:tx>
          <c:spPr>
            <a:ln w="25400" cap="sq">
              <a:solidFill>
                <a:schemeClr val="tx1">
                  <a:alpha val="75000"/>
                </a:schemeClr>
              </a:solidFill>
              <a:round/>
            </a:ln>
            <a:effectLst/>
          </c:spPr>
          <c:marker>
            <c:symbol val="none"/>
          </c:marker>
          <c:cat>
            <c:numRef>
              <c:f>Sheet3!$B$36:$P$36</c:f>
              <c:numCache>
                <c:formatCode>General</c:formatCode>
                <c:ptCount val="15"/>
                <c:pt idx="0">
                  <c:v>1910</c:v>
                </c:pt>
                <c:pt idx="1">
                  <c:v>1920</c:v>
                </c:pt>
                <c:pt idx="2">
                  <c:v>1930</c:v>
                </c:pt>
                <c:pt idx="3">
                  <c:v>1940</c:v>
                </c:pt>
                <c:pt idx="4">
                  <c:v>1950</c:v>
                </c:pt>
                <c:pt idx="5">
                  <c:v>1960</c:v>
                </c:pt>
                <c:pt idx="6">
                  <c:v>1970</c:v>
                </c:pt>
                <c:pt idx="7">
                  <c:v>1980</c:v>
                </c:pt>
                <c:pt idx="8">
                  <c:v>1990</c:v>
                </c:pt>
                <c:pt idx="9">
                  <c:v>2000</c:v>
                </c:pt>
                <c:pt idx="10">
                  <c:v>2010</c:v>
                </c:pt>
                <c:pt idx="11">
                  <c:v>2020</c:v>
                </c:pt>
                <c:pt idx="12">
                  <c:v>2030</c:v>
                </c:pt>
                <c:pt idx="13">
                  <c:v>2040</c:v>
                </c:pt>
                <c:pt idx="14">
                  <c:v>2050</c:v>
                </c:pt>
              </c:numCache>
            </c:numRef>
          </c:cat>
          <c:val>
            <c:numRef>
              <c:f>Sheet3!$B$37:$P$37</c:f>
              <c:numCache>
                <c:formatCode>0%</c:formatCode>
                <c:ptCount val="15"/>
                <c:pt idx="0">
                  <c:v>4.6123793696609232E-2</c:v>
                </c:pt>
                <c:pt idx="1">
                  <c:v>2.9056696673262543E-2</c:v>
                </c:pt>
                <c:pt idx="2">
                  <c:v>5.0126048618430404E-2</c:v>
                </c:pt>
                <c:pt idx="3">
                  <c:v>5.6375230231273631E-2</c:v>
                </c:pt>
                <c:pt idx="4">
                  <c:v>8.4874797568379165E-2</c:v>
                </c:pt>
                <c:pt idx="5">
                  <c:v>0.13817178691850979</c:v>
                </c:pt>
                <c:pt idx="6">
                  <c:v>0.21544813904939852</c:v>
                </c:pt>
                <c:pt idx="7">
                  <c:v>0.24797846223503114</c:v>
                </c:pt>
                <c:pt idx="8">
                  <c:v>0.20490978807529789</c:v>
                </c:pt>
                <c:pt idx="9">
                  <c:v>0.1140714643741909</c:v>
                </c:pt>
                <c:pt idx="10">
                  <c:v>6.5289621342206505E-2</c:v>
                </c:pt>
                <c:pt idx="11">
                  <c:v>4.6383890251961685E-2</c:v>
                </c:pt>
                <c:pt idx="12">
                  <c:v>2.983711041723024E-2</c:v>
                </c:pt>
                <c:pt idx="13">
                  <c:v>7.1450223011302128E-3</c:v>
                </c:pt>
                <c:pt idx="14">
                  <c:v>-5.3286356215913721E-3</c:v>
                </c:pt>
              </c:numCache>
            </c:numRef>
          </c:val>
          <c:smooth val="1"/>
          <c:extLst>
            <c:ext xmlns:c16="http://schemas.microsoft.com/office/drawing/2014/chart" uri="{C3380CC4-5D6E-409C-BE32-E72D297353CC}">
              <c16:uniqueId val="{00000000-8D25-4345-9335-29B1E728AE09}"/>
            </c:ext>
          </c:extLst>
        </c:ser>
        <c:dLbls>
          <c:showLegendKey val="0"/>
          <c:showVal val="0"/>
          <c:showCatName val="0"/>
          <c:showSerName val="0"/>
          <c:showPercent val="0"/>
          <c:showBubbleSize val="0"/>
        </c:dLbls>
        <c:smooth val="0"/>
        <c:axId val="817592048"/>
        <c:axId val="817591632"/>
      </c:lineChart>
      <c:catAx>
        <c:axId val="817592048"/>
        <c:scaling>
          <c:orientation val="minMax"/>
        </c:scaling>
        <c:delete val="0"/>
        <c:axPos val="b"/>
        <c:numFmt formatCode="General" sourceLinked="1"/>
        <c:majorTickMark val="none"/>
        <c:minorTickMark val="none"/>
        <c:tickLblPos val="low"/>
        <c:spPr>
          <a:noFill/>
          <a:ln w="9525" cap="flat" cmpd="sng" algn="ctr">
            <a:solidFill>
              <a:schemeClr val="bg1">
                <a:lumMod val="6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w Cen MT" panose="020B0602020104020603" pitchFamily="34" charset="0"/>
                <a:ea typeface="+mn-ea"/>
                <a:cs typeface="+mn-cs"/>
              </a:defRPr>
            </a:pPr>
            <a:endParaRPr lang="en-US"/>
          </a:p>
        </c:txPr>
        <c:crossAx val="817591632"/>
        <c:crosses val="autoZero"/>
        <c:auto val="1"/>
        <c:lblAlgn val="ctr"/>
        <c:lblOffset val="100"/>
        <c:tickMarkSkip val="1"/>
        <c:noMultiLvlLbl val="0"/>
      </c:catAx>
      <c:valAx>
        <c:axId val="817591632"/>
        <c:scaling>
          <c:orientation val="minMax"/>
          <c:min val="-5.000000000000001E-2"/>
        </c:scaling>
        <c:delete val="0"/>
        <c:axPos val="l"/>
        <c:majorGridlines>
          <c:spPr>
            <a:ln w="9525" cap="flat" cmpd="sng" algn="ctr">
              <a:solidFill>
                <a:schemeClr val="bg1">
                  <a:lumMod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r>
                  <a:rPr lang="en-US" sz="1200">
                    <a:solidFill>
                      <a:sysClr val="windowText" lastClr="000000"/>
                    </a:solidFill>
                  </a:rPr>
                  <a:t>Actual &amp; projected</a:t>
                </a:r>
                <a:r>
                  <a:rPr lang="en-US" sz="1200" baseline="0">
                    <a:solidFill>
                      <a:sysClr val="windowText" lastClr="000000"/>
                    </a:solidFill>
                  </a:rPr>
                  <a:t> decadal population growth</a:t>
                </a:r>
                <a:endParaRPr lang="en-US" sz="120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w Cen MT" panose="020B0602020104020603" pitchFamily="34" charset="0"/>
                <a:ea typeface="+mn-ea"/>
                <a:cs typeface="+mn-cs"/>
              </a:defRPr>
            </a:pPr>
            <a:endParaRPr lang="en-US"/>
          </a:p>
        </c:txPr>
        <c:crossAx val="8175920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w Cen MT" panose="020B0602020104020603" pitchFamily="34"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Tw Cen MT" panose="020B0602020104020603" pitchFamily="34" charset="0"/>
                <a:ea typeface="+mn-ea"/>
                <a:cs typeface="+mn-cs"/>
              </a:defRPr>
            </a:pPr>
            <a:r>
              <a:rPr lang="en-US"/>
              <a:t>Average Annual SNHPC Net New Housing Units</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Tw Cen MT" panose="020B0602020104020603" pitchFamily="34" charset="0"/>
              <a:ea typeface="+mn-ea"/>
              <a:cs typeface="+mn-cs"/>
            </a:defRPr>
          </a:pPr>
          <a:endParaRPr lang="en-US"/>
        </a:p>
      </c:txPr>
    </c:title>
    <c:autoTitleDeleted val="0"/>
    <c:plotArea>
      <c:layout>
        <c:manualLayout>
          <c:layoutTarget val="inner"/>
          <c:xMode val="edge"/>
          <c:yMode val="edge"/>
          <c:x val="0.16425262467191601"/>
          <c:y val="8.606659461684936E-2"/>
          <c:w val="0.80519181977252841"/>
          <c:h val="0.76069111681895374"/>
        </c:manualLayout>
      </c:layout>
      <c:lineChart>
        <c:grouping val="standard"/>
        <c:varyColors val="0"/>
        <c:ser>
          <c:idx val="0"/>
          <c:order val="0"/>
          <c:tx>
            <c:strRef>
              <c:f>Sheet3!$AE$26</c:f>
              <c:strCache>
                <c:ptCount val="1"/>
                <c:pt idx="0">
                  <c:v>Auburn</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Sheet3!$AF$26:$AK$26</c:f>
              <c:numCache>
                <c:formatCode>0.0%</c:formatCode>
                <c:ptCount val="6"/>
                <c:pt idx="0">
                  <c:v>3.8304392236976507E-2</c:v>
                </c:pt>
                <c:pt idx="1">
                  <c:v>1.9793205317577549E-2</c:v>
                </c:pt>
                <c:pt idx="2">
                  <c:v>1.1837237977805179E-2</c:v>
                </c:pt>
                <c:pt idx="3">
                  <c:v>1.7861080485115765E-2</c:v>
                </c:pt>
                <c:pt idx="4">
                  <c:v>1.2242460755065741E-2</c:v>
                </c:pt>
                <c:pt idx="5">
                  <c:v>5.2529211269564616E-3</c:v>
                </c:pt>
              </c:numCache>
            </c:numRef>
          </c:val>
          <c:smooth val="1"/>
          <c:extLst>
            <c:ext xmlns:c16="http://schemas.microsoft.com/office/drawing/2014/chart" uri="{C3380CC4-5D6E-409C-BE32-E72D297353CC}">
              <c16:uniqueId val="{00000000-1C0D-49E5-878D-09D9F675B389}"/>
            </c:ext>
          </c:extLst>
        </c:ser>
        <c:ser>
          <c:idx val="1"/>
          <c:order val="1"/>
          <c:tx>
            <c:strRef>
              <c:f>Sheet3!$AE$27</c:f>
              <c:strCache>
                <c:ptCount val="1"/>
                <c:pt idx="0">
                  <c:v>Bedford</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Sheet3!$AF$27:$AK$27</c:f>
              <c:numCache>
                <c:formatCode>0.0%</c:formatCode>
                <c:ptCount val="6"/>
                <c:pt idx="0">
                  <c:v>4.5416375087473759E-2</c:v>
                </c:pt>
                <c:pt idx="1">
                  <c:v>5.4018286814244462E-2</c:v>
                </c:pt>
                <c:pt idx="2">
                  <c:v>1.9262615216372441E-2</c:v>
                </c:pt>
                <c:pt idx="3">
                  <c:v>8.4490437516374119E-3</c:v>
                </c:pt>
                <c:pt idx="4">
                  <c:v>1.2606894250605172E-2</c:v>
                </c:pt>
                <c:pt idx="5">
                  <c:v>5.7609576939192195E-3</c:v>
                </c:pt>
              </c:numCache>
            </c:numRef>
          </c:val>
          <c:smooth val="1"/>
          <c:extLst>
            <c:ext xmlns:c16="http://schemas.microsoft.com/office/drawing/2014/chart" uri="{C3380CC4-5D6E-409C-BE32-E72D297353CC}">
              <c16:uniqueId val="{00000001-1C0D-49E5-878D-09D9F675B389}"/>
            </c:ext>
          </c:extLst>
        </c:ser>
        <c:ser>
          <c:idx val="2"/>
          <c:order val="2"/>
          <c:tx>
            <c:strRef>
              <c:f>Sheet3!$AE$28</c:f>
              <c:strCache>
                <c:ptCount val="1"/>
                <c:pt idx="0">
                  <c:v>Candia</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Sheet3!$AF$28:$AK$28</c:f>
              <c:numCache>
                <c:formatCode>0.0%</c:formatCode>
                <c:ptCount val="6"/>
                <c:pt idx="0">
                  <c:v>1.9798994974874373E-2</c:v>
                </c:pt>
                <c:pt idx="1">
                  <c:v>1.6107382550335569E-2</c:v>
                </c:pt>
                <c:pt idx="2">
                  <c:v>7.9479768786127163E-3</c:v>
                </c:pt>
                <c:pt idx="3">
                  <c:v>5.3547523427041497E-3</c:v>
                </c:pt>
                <c:pt idx="4">
                  <c:v>1.1866921766771213E-2</c:v>
                </c:pt>
                <c:pt idx="5">
                  <c:v>5.1122118327280195E-3</c:v>
                </c:pt>
              </c:numCache>
            </c:numRef>
          </c:val>
          <c:smooth val="1"/>
          <c:extLst>
            <c:ext xmlns:c16="http://schemas.microsoft.com/office/drawing/2014/chart" uri="{C3380CC4-5D6E-409C-BE32-E72D297353CC}">
              <c16:uniqueId val="{00000002-1C0D-49E5-878D-09D9F675B389}"/>
            </c:ext>
          </c:extLst>
        </c:ser>
        <c:ser>
          <c:idx val="3"/>
          <c:order val="3"/>
          <c:tx>
            <c:strRef>
              <c:f>Sheet3!$AE$29</c:f>
              <c:strCache>
                <c:ptCount val="1"/>
                <c:pt idx="0">
                  <c:v>Chester</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Sheet3!$AF$29:$AK$29</c:f>
              <c:numCache>
                <c:formatCode>0.0%</c:formatCode>
                <c:ptCount val="6"/>
                <c:pt idx="0">
                  <c:v>3.9788199697428139E-2</c:v>
                </c:pt>
                <c:pt idx="1">
                  <c:v>3.4956709956709957E-2</c:v>
                </c:pt>
                <c:pt idx="2">
                  <c:v>2.7987169206094627E-2</c:v>
                </c:pt>
                <c:pt idx="3">
                  <c:v>1.5789473684210527E-2</c:v>
                </c:pt>
                <c:pt idx="4">
                  <c:v>1.1477734080307571E-2</c:v>
                </c:pt>
                <c:pt idx="5">
                  <c:v>4.9788574333028161E-3</c:v>
                </c:pt>
              </c:numCache>
            </c:numRef>
          </c:val>
          <c:smooth val="1"/>
          <c:extLst>
            <c:ext xmlns:c16="http://schemas.microsoft.com/office/drawing/2014/chart" uri="{C3380CC4-5D6E-409C-BE32-E72D297353CC}">
              <c16:uniqueId val="{00000003-1C0D-49E5-878D-09D9F675B389}"/>
            </c:ext>
          </c:extLst>
        </c:ser>
        <c:ser>
          <c:idx val="4"/>
          <c:order val="4"/>
          <c:tx>
            <c:strRef>
              <c:f>Sheet3!$AE$30</c:f>
              <c:strCache>
                <c:ptCount val="1"/>
                <c:pt idx="0">
                  <c:v>Deerfield</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Sheet3!$AF$30:$AK$30</c:f>
              <c:numCache>
                <c:formatCode>0.0%</c:formatCode>
                <c:ptCount val="6"/>
                <c:pt idx="0">
                  <c:v>4.8188405797101444E-2</c:v>
                </c:pt>
                <c:pt idx="1">
                  <c:v>1.4588427057864711E-2</c:v>
                </c:pt>
                <c:pt idx="2">
                  <c:v>2.3968705547652916E-2</c:v>
                </c:pt>
                <c:pt idx="3">
                  <c:v>1.0154905335628227E-2</c:v>
                </c:pt>
                <c:pt idx="4">
                  <c:v>8.103112393798545E-3</c:v>
                </c:pt>
                <c:pt idx="5">
                  <c:v>3.6282039191650496E-3</c:v>
                </c:pt>
              </c:numCache>
            </c:numRef>
          </c:val>
          <c:smooth val="1"/>
          <c:extLst>
            <c:ext xmlns:c16="http://schemas.microsoft.com/office/drawing/2014/chart" uri="{C3380CC4-5D6E-409C-BE32-E72D297353CC}">
              <c16:uniqueId val="{00000004-1C0D-49E5-878D-09D9F675B389}"/>
            </c:ext>
          </c:extLst>
        </c:ser>
        <c:ser>
          <c:idx val="5"/>
          <c:order val="5"/>
          <c:tx>
            <c:strRef>
              <c:f>Sheet3!$AE$31</c:f>
              <c:strCache>
                <c:ptCount val="1"/>
                <c:pt idx="0">
                  <c:v>Derry</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Sheet3!$AF$31:$AK$31</c:f>
              <c:numCache>
                <c:formatCode>0.0%</c:formatCode>
                <c:ptCount val="6"/>
                <c:pt idx="0">
                  <c:v>6.3035714285714278E-2</c:v>
                </c:pt>
                <c:pt idx="1">
                  <c:v>7.2963181396916337E-3</c:v>
                </c:pt>
                <c:pt idx="2">
                  <c:v>4.25598743619945E-3</c:v>
                </c:pt>
                <c:pt idx="3">
                  <c:v>5.5132936657377417E-3</c:v>
                </c:pt>
                <c:pt idx="4">
                  <c:v>1.1128308330387022E-2</c:v>
                </c:pt>
                <c:pt idx="5">
                  <c:v>4.8180566306979238E-3</c:v>
                </c:pt>
              </c:numCache>
            </c:numRef>
          </c:val>
          <c:smooth val="1"/>
          <c:extLst>
            <c:ext xmlns:c16="http://schemas.microsoft.com/office/drawing/2014/chart" uri="{C3380CC4-5D6E-409C-BE32-E72D297353CC}">
              <c16:uniqueId val="{00000005-1C0D-49E5-878D-09D9F675B389}"/>
            </c:ext>
          </c:extLst>
        </c:ser>
        <c:ser>
          <c:idx val="6"/>
          <c:order val="6"/>
          <c:tx>
            <c:strRef>
              <c:f>Sheet3!$AE$32</c:f>
              <c:strCache>
                <c:ptCount val="1"/>
                <c:pt idx="0">
                  <c:v>Francestown</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Sheet3!$AF$32:$AK$32</c:f>
              <c:numCache>
                <c:formatCode>0.0%</c:formatCode>
                <c:ptCount val="6"/>
                <c:pt idx="0">
                  <c:v>6.95906432748538E-2</c:v>
                </c:pt>
                <c:pt idx="1">
                  <c:v>1.3103448275862069E-2</c:v>
                </c:pt>
                <c:pt idx="2">
                  <c:v>1.5091463414634146E-2</c:v>
                </c:pt>
                <c:pt idx="3">
                  <c:v>-1.9867549668874172E-3</c:v>
                </c:pt>
                <c:pt idx="4">
                  <c:v>8.7492680073528901E-3</c:v>
                </c:pt>
                <c:pt idx="5">
                  <c:v>4.158059217885755E-3</c:v>
                </c:pt>
              </c:numCache>
            </c:numRef>
          </c:val>
          <c:smooth val="1"/>
          <c:extLst>
            <c:ext xmlns:c16="http://schemas.microsoft.com/office/drawing/2014/chart" uri="{C3380CC4-5D6E-409C-BE32-E72D297353CC}">
              <c16:uniqueId val="{00000006-1C0D-49E5-878D-09D9F675B389}"/>
            </c:ext>
          </c:extLst>
        </c:ser>
        <c:ser>
          <c:idx val="7"/>
          <c:order val="7"/>
          <c:tx>
            <c:strRef>
              <c:f>Sheet3!$AE$33</c:f>
              <c:strCache>
                <c:ptCount val="1"/>
                <c:pt idx="0">
                  <c:v>Goffstown</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Sheet3!$AF$33:$AK$33</c:f>
              <c:numCache>
                <c:formatCode>0.0%</c:formatCode>
                <c:ptCount val="6"/>
                <c:pt idx="0">
                  <c:v>4.5270465721724037E-2</c:v>
                </c:pt>
                <c:pt idx="1">
                  <c:v>1.5452011150935882E-2</c:v>
                </c:pt>
                <c:pt idx="2">
                  <c:v>9.3652983787512935E-3</c:v>
                </c:pt>
                <c:pt idx="3">
                  <c:v>4.3841665352468062E-3</c:v>
                </c:pt>
                <c:pt idx="4">
                  <c:v>1.2644690034907827E-2</c:v>
                </c:pt>
                <c:pt idx="5">
                  <c:v>5.7720838145622014E-3</c:v>
                </c:pt>
              </c:numCache>
            </c:numRef>
          </c:val>
          <c:smooth val="1"/>
          <c:extLst>
            <c:ext xmlns:c16="http://schemas.microsoft.com/office/drawing/2014/chart" uri="{C3380CC4-5D6E-409C-BE32-E72D297353CC}">
              <c16:uniqueId val="{00000007-1C0D-49E5-878D-09D9F675B389}"/>
            </c:ext>
          </c:extLst>
        </c:ser>
        <c:ser>
          <c:idx val="8"/>
          <c:order val="8"/>
          <c:tx>
            <c:strRef>
              <c:f>Sheet3!$AE$34</c:f>
              <c:strCache>
                <c:ptCount val="1"/>
                <c:pt idx="0">
                  <c:v>Hooksett</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Sheet3!$AF$34:$AK$34</c:f>
              <c:numCache>
                <c:formatCode>0.0%</c:formatCode>
                <c:ptCount val="6"/>
                <c:pt idx="0">
                  <c:v>3.9807383627608342E-2</c:v>
                </c:pt>
                <c:pt idx="1">
                  <c:v>2.362227324913892E-2</c:v>
                </c:pt>
                <c:pt idx="2">
                  <c:v>2.0362201068028791E-2</c:v>
                </c:pt>
                <c:pt idx="3">
                  <c:v>1.1593364197530865E-2</c:v>
                </c:pt>
                <c:pt idx="4">
                  <c:v>1.1336330206731944E-2</c:v>
                </c:pt>
                <c:pt idx="5">
                  <c:v>4.8502769718219091E-3</c:v>
                </c:pt>
              </c:numCache>
            </c:numRef>
          </c:val>
          <c:smooth val="1"/>
          <c:extLst>
            <c:ext xmlns:c16="http://schemas.microsoft.com/office/drawing/2014/chart" uri="{C3380CC4-5D6E-409C-BE32-E72D297353CC}">
              <c16:uniqueId val="{00000008-1C0D-49E5-878D-09D9F675B389}"/>
            </c:ext>
          </c:extLst>
        </c:ser>
        <c:ser>
          <c:idx val="9"/>
          <c:order val="9"/>
          <c:tx>
            <c:strRef>
              <c:f>Sheet3!$AE$35</c:f>
              <c:strCache>
                <c:ptCount val="1"/>
                <c:pt idx="0">
                  <c:v>Londonderry</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Sheet3!$AF$35:$AK$35</c:f>
              <c:numCache>
                <c:formatCode>0.0%</c:formatCode>
                <c:ptCount val="6"/>
                <c:pt idx="0">
                  <c:v>4.7011343804537517E-2</c:v>
                </c:pt>
                <c:pt idx="1">
                  <c:v>1.4527377949250631E-2</c:v>
                </c:pt>
                <c:pt idx="2">
                  <c:v>1.3643430940658202E-2</c:v>
                </c:pt>
                <c:pt idx="3">
                  <c:v>1.2290502793296089E-2</c:v>
                </c:pt>
                <c:pt idx="4">
                  <c:v>1.1378187997128173E-2</c:v>
                </c:pt>
                <c:pt idx="5">
                  <c:v>4.9207266996518706E-3</c:v>
                </c:pt>
              </c:numCache>
            </c:numRef>
          </c:val>
          <c:smooth val="1"/>
          <c:extLst>
            <c:ext xmlns:c16="http://schemas.microsoft.com/office/drawing/2014/chart" uri="{C3380CC4-5D6E-409C-BE32-E72D297353CC}">
              <c16:uniqueId val="{00000009-1C0D-49E5-878D-09D9F675B389}"/>
            </c:ext>
          </c:extLst>
        </c:ser>
        <c:ser>
          <c:idx val="10"/>
          <c:order val="10"/>
          <c:tx>
            <c:strRef>
              <c:f>Sheet3!$AE$36</c:f>
              <c:strCache>
                <c:ptCount val="1"/>
                <c:pt idx="0">
                  <c:v>Manchester</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Sheet3!$AF$36:$AK$36</c:f>
              <c:numCache>
                <c:formatCode>0.0%</c:formatCode>
                <c:ptCount val="6"/>
                <c:pt idx="0">
                  <c:v>2.3675039727898743E-2</c:v>
                </c:pt>
                <c:pt idx="1">
                  <c:v>3.451229683731205E-3</c:v>
                </c:pt>
                <c:pt idx="2">
                  <c:v>7.3999825677678027E-3</c:v>
                </c:pt>
                <c:pt idx="3">
                  <c:v>4.362116539522805E-3</c:v>
                </c:pt>
                <c:pt idx="4">
                  <c:v>1.1249783167709531E-2</c:v>
                </c:pt>
                <c:pt idx="5">
                  <c:v>5.157435892576054E-3</c:v>
                </c:pt>
              </c:numCache>
            </c:numRef>
          </c:val>
          <c:smooth val="1"/>
          <c:extLst>
            <c:ext xmlns:c16="http://schemas.microsoft.com/office/drawing/2014/chart" uri="{C3380CC4-5D6E-409C-BE32-E72D297353CC}">
              <c16:uniqueId val="{0000000A-1C0D-49E5-878D-09D9F675B389}"/>
            </c:ext>
          </c:extLst>
        </c:ser>
        <c:ser>
          <c:idx val="11"/>
          <c:order val="11"/>
          <c:tx>
            <c:strRef>
              <c:f>Sheet3!$AE$37</c:f>
              <c:strCache>
                <c:ptCount val="1"/>
                <c:pt idx="0">
                  <c:v>New Boston</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Sheet3!$AF$37:$AK$37</c:f>
              <c:numCache>
                <c:formatCode>0.0%</c:formatCode>
                <c:ptCount val="6"/>
                <c:pt idx="0">
                  <c:v>6.8094534711964555E-2</c:v>
                </c:pt>
                <c:pt idx="1">
                  <c:v>2.8471001757469243E-2</c:v>
                </c:pt>
                <c:pt idx="2">
                  <c:v>3.4541723666210673E-2</c:v>
                </c:pt>
                <c:pt idx="3">
                  <c:v>1.0523640061006609E-2</c:v>
                </c:pt>
                <c:pt idx="4">
                  <c:v>1.212812826917602E-2</c:v>
                </c:pt>
                <c:pt idx="5">
                  <c:v>5.5588187018123219E-3</c:v>
                </c:pt>
              </c:numCache>
            </c:numRef>
          </c:val>
          <c:smooth val="1"/>
          <c:extLst>
            <c:ext xmlns:c16="http://schemas.microsoft.com/office/drawing/2014/chart" uri="{C3380CC4-5D6E-409C-BE32-E72D297353CC}">
              <c16:uniqueId val="{0000000B-1C0D-49E5-878D-09D9F675B389}"/>
            </c:ext>
          </c:extLst>
        </c:ser>
        <c:ser>
          <c:idx val="12"/>
          <c:order val="12"/>
          <c:tx>
            <c:strRef>
              <c:f>Sheet3!$AE$38</c:f>
              <c:strCache>
                <c:ptCount val="1"/>
                <c:pt idx="0">
                  <c:v>Weare</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Sheet3!$AF$38:$AK$38</c:f>
              <c:numCache>
                <c:formatCode>0.0%</c:formatCode>
                <c:ptCount val="6"/>
                <c:pt idx="0">
                  <c:v>7.66812865497076E-2</c:v>
                </c:pt>
                <c:pt idx="1">
                  <c:v>1.7004551096400498E-2</c:v>
                </c:pt>
                <c:pt idx="2">
                  <c:v>2.256011315417256E-2</c:v>
                </c:pt>
                <c:pt idx="3">
                  <c:v>4.7605308713214081E-3</c:v>
                </c:pt>
                <c:pt idx="4">
                  <c:v>1.1536265549284871E-2</c:v>
                </c:pt>
                <c:pt idx="5">
                  <c:v>5.3004614871924429E-3</c:v>
                </c:pt>
              </c:numCache>
            </c:numRef>
          </c:val>
          <c:smooth val="1"/>
          <c:extLst>
            <c:ext xmlns:c16="http://schemas.microsoft.com/office/drawing/2014/chart" uri="{C3380CC4-5D6E-409C-BE32-E72D297353CC}">
              <c16:uniqueId val="{0000000C-1C0D-49E5-878D-09D9F675B389}"/>
            </c:ext>
          </c:extLst>
        </c:ser>
        <c:ser>
          <c:idx val="13"/>
          <c:order val="13"/>
          <c:tx>
            <c:strRef>
              <c:f>Sheet3!$AE$39</c:f>
              <c:strCache>
                <c:ptCount val="1"/>
                <c:pt idx="0">
                  <c:v>Windham</c:v>
                </c:pt>
              </c:strCache>
            </c:strRef>
          </c:tx>
          <c:spPr>
            <a:ln w="101600" cap="flat">
              <a:solidFill>
                <a:schemeClr val="tx1">
                  <a:alpha val="10000"/>
                </a:schemeClr>
              </a:solidFill>
              <a:round/>
            </a:ln>
            <a:effectLst/>
          </c:spPr>
          <c:marker>
            <c:symbol val="none"/>
          </c:marker>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Sheet3!$AF$39:$AK$39</c:f>
              <c:numCache>
                <c:formatCode>0.0%</c:formatCode>
                <c:ptCount val="6"/>
                <c:pt idx="0">
                  <c:v>5.2895220588235294E-2</c:v>
                </c:pt>
                <c:pt idx="1">
                  <c:v>1.7403065825067628E-2</c:v>
                </c:pt>
                <c:pt idx="2">
                  <c:v>3.2206861239119304E-2</c:v>
                </c:pt>
                <c:pt idx="3">
                  <c:v>7.9589465530596447E-3</c:v>
                </c:pt>
                <c:pt idx="4">
                  <c:v>1.1313811613669488E-2</c:v>
                </c:pt>
                <c:pt idx="5">
                  <c:v>4.9069099556265355E-3</c:v>
                </c:pt>
              </c:numCache>
            </c:numRef>
          </c:val>
          <c:smooth val="1"/>
          <c:extLst>
            <c:ext xmlns:c16="http://schemas.microsoft.com/office/drawing/2014/chart" uri="{C3380CC4-5D6E-409C-BE32-E72D297353CC}">
              <c16:uniqueId val="{0000000D-1C0D-49E5-878D-09D9F675B389}"/>
            </c:ext>
          </c:extLst>
        </c:ser>
        <c:ser>
          <c:idx val="15"/>
          <c:order val="14"/>
          <c:tx>
            <c:strRef>
              <c:f>Sheet3!$AE$41</c:f>
              <c:strCache>
                <c:ptCount val="1"/>
                <c:pt idx="0">
                  <c:v>NH</c:v>
                </c:pt>
              </c:strCache>
            </c:strRef>
          </c:tx>
          <c:spPr>
            <a:ln w="38100" cap="flat">
              <a:solidFill>
                <a:srgbClr val="00B0F0"/>
              </a:solidFill>
              <a:prstDash val="solid"/>
              <a:round/>
            </a:ln>
            <a:effectLst/>
          </c:spPr>
          <c:marker>
            <c:symbol val="none"/>
          </c:marker>
          <c:dLbls>
            <c:dLbl>
              <c:idx val="1"/>
              <c:layout>
                <c:manualLayout>
                  <c:x val="-0.10277777777777777"/>
                  <c:y val="0.10357994020800876"/>
                </c:manualLayout>
              </c:layout>
              <c:tx>
                <c:rich>
                  <a:bodyPr/>
                  <a:lstStyle/>
                  <a:p>
                    <a:r>
                      <a:rPr lang="en-US" b="1"/>
                      <a:t>NH</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1C0D-49E5-878D-09D9F675B389}"/>
                </c:ext>
              </c:extLst>
            </c:dLbl>
            <c:spPr>
              <a:solidFill>
                <a:srgbClr val="00B0F0"/>
              </a:solid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Tw Cen MT" panose="020B0602020104020603" pitchFamily="34" charset="0"/>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00B0F0"/>
                      </a:solidFill>
                      <a:round/>
                    </a:ln>
                    <a:effectLst/>
                  </c:spPr>
                </c15:leaderLines>
              </c:ext>
            </c:extLst>
          </c:dLbls>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Sheet3!$AF$41:$AK$41</c:f>
              <c:numCache>
                <c:formatCode>0.0%</c:formatCode>
                <c:ptCount val="6"/>
                <c:pt idx="0">
                  <c:v>3.0195739114088016E-2</c:v>
                </c:pt>
                <c:pt idx="1">
                  <c:v>8.5812334348668862E-3</c:v>
                </c:pt>
                <c:pt idx="2">
                  <c:v>1.2319728944468226E-2</c:v>
                </c:pt>
                <c:pt idx="3">
                  <c:v>3.9354780115342953E-3</c:v>
                </c:pt>
                <c:pt idx="4">
                  <c:v>9.3496957539872787E-3</c:v>
                </c:pt>
                <c:pt idx="5">
                  <c:v>4.0590228025611666E-3</c:v>
                </c:pt>
              </c:numCache>
            </c:numRef>
          </c:val>
          <c:smooth val="1"/>
          <c:extLst>
            <c:ext xmlns:c16="http://schemas.microsoft.com/office/drawing/2014/chart" uri="{C3380CC4-5D6E-409C-BE32-E72D297353CC}">
              <c16:uniqueId val="{0000000F-1C0D-49E5-878D-09D9F675B389}"/>
            </c:ext>
          </c:extLst>
        </c:ser>
        <c:ser>
          <c:idx val="14"/>
          <c:order val="15"/>
          <c:tx>
            <c:strRef>
              <c:f>Sheet3!$AE$40</c:f>
              <c:strCache>
                <c:ptCount val="1"/>
                <c:pt idx="0">
                  <c:v>SNHPC</c:v>
                </c:pt>
              </c:strCache>
            </c:strRef>
          </c:tx>
          <c:spPr>
            <a:ln w="38100" cap="flat">
              <a:solidFill>
                <a:srgbClr val="FF0000"/>
              </a:solidFill>
              <a:prstDash val="solid"/>
              <a:round/>
            </a:ln>
            <a:effectLst/>
          </c:spPr>
          <c:marker>
            <c:symbol val="none"/>
          </c:marker>
          <c:dLbls>
            <c:dLbl>
              <c:idx val="2"/>
              <c:layout>
                <c:manualLayout>
                  <c:x val="4.7172134733158358E-2"/>
                  <c:y val="-0.18058528780159164"/>
                </c:manualLayout>
              </c:layout>
              <c:tx>
                <c:rich>
                  <a:bodyPr/>
                  <a:lstStyle/>
                  <a:p>
                    <a:r>
                      <a:rPr lang="en-US"/>
                      <a:t>SNHPC</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1C0D-49E5-878D-09D9F675B389}"/>
                </c:ext>
              </c:extLst>
            </c:dLbl>
            <c:spPr>
              <a:solidFill>
                <a:srgbClr val="FF0000"/>
              </a:solid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Tw Cen MT" panose="020B0602020104020603" pitchFamily="34" charset="0"/>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FF5B5B"/>
                      </a:solidFill>
                      <a:round/>
                    </a:ln>
                    <a:effectLst/>
                  </c:spPr>
                </c15:leaderLines>
              </c:ext>
            </c:extLst>
          </c:dLbls>
          <c:cat>
            <c:strRef>
              <c:f>Sheet3!$AF$25:$AK$25</c:f>
              <c:strCache>
                <c:ptCount val="6"/>
                <c:pt idx="0">
                  <c:v>1980 to 1990</c:v>
                </c:pt>
                <c:pt idx="1">
                  <c:v>1990 to 2000</c:v>
                </c:pt>
                <c:pt idx="2">
                  <c:v>2000 to 2010</c:v>
                </c:pt>
                <c:pt idx="3">
                  <c:v>2010 to 2020</c:v>
                </c:pt>
                <c:pt idx="4">
                  <c:v>2020 to 2030</c:v>
                </c:pt>
                <c:pt idx="5">
                  <c:v>2030 to 2040</c:v>
                </c:pt>
              </c:strCache>
            </c:strRef>
          </c:cat>
          <c:val>
            <c:numRef>
              <c:f>Sheet3!$AF$40:$AK$40</c:f>
              <c:numCache>
                <c:formatCode>0.0%</c:formatCode>
                <c:ptCount val="6"/>
                <c:pt idx="0">
                  <c:v>3.5969395657157018E-2</c:v>
                </c:pt>
                <c:pt idx="1">
                  <c:v>1.0903291946690968E-2</c:v>
                </c:pt>
                <c:pt idx="2">
                  <c:v>1.1433618865676547E-2</c:v>
                </c:pt>
                <c:pt idx="3">
                  <c:v>6.530315040463067E-3</c:v>
                </c:pt>
                <c:pt idx="4">
                  <c:v>1.1418167453625059E-2</c:v>
                </c:pt>
                <c:pt idx="5">
                  <c:v>5.1275945441967199E-3</c:v>
                </c:pt>
              </c:numCache>
            </c:numRef>
          </c:val>
          <c:smooth val="1"/>
          <c:extLst>
            <c:ext xmlns:c16="http://schemas.microsoft.com/office/drawing/2014/chart" uri="{C3380CC4-5D6E-409C-BE32-E72D297353CC}">
              <c16:uniqueId val="{00000011-1C0D-49E5-878D-09D9F675B389}"/>
            </c:ext>
          </c:extLst>
        </c:ser>
        <c:ser>
          <c:idx val="16"/>
          <c:order val="16"/>
          <c:tx>
            <c:v>Dummy</c:v>
          </c:tx>
          <c:spPr>
            <a:ln w="25400" cap="flat">
              <a:solidFill>
                <a:schemeClr val="tx1">
                  <a:lumMod val="65000"/>
                  <a:lumOff val="35000"/>
                  <a:alpha val="10000"/>
                </a:schemeClr>
              </a:solidFill>
              <a:prstDash val="sysDot"/>
              <a:round/>
            </a:ln>
            <a:effectLst/>
          </c:spPr>
          <c:marker>
            <c:symbol val="none"/>
          </c:marker>
          <c:val>
            <c:numRef>
              <c:f>Sheet3!$AN$44:$AS$44</c:f>
              <c:numCache>
                <c:formatCode>General</c:formatCode>
                <c:ptCount val="6"/>
                <c:pt idx="0">
                  <c:v>0</c:v>
                </c:pt>
                <c:pt idx="1">
                  <c:v>0</c:v>
                </c:pt>
                <c:pt idx="2">
                  <c:v>0</c:v>
                </c:pt>
                <c:pt idx="3">
                  <c:v>0</c:v>
                </c:pt>
                <c:pt idx="4">
                  <c:v>0</c:v>
                </c:pt>
                <c:pt idx="5">
                  <c:v>0</c:v>
                </c:pt>
              </c:numCache>
            </c:numRef>
          </c:val>
          <c:smooth val="0"/>
          <c:extLst>
            <c:ext xmlns:c16="http://schemas.microsoft.com/office/drawing/2014/chart" uri="{C3380CC4-5D6E-409C-BE32-E72D297353CC}">
              <c16:uniqueId val="{00000012-1C0D-49E5-878D-09D9F675B389}"/>
            </c:ext>
          </c:extLst>
        </c:ser>
        <c:dLbls>
          <c:showLegendKey val="0"/>
          <c:showVal val="0"/>
          <c:showCatName val="0"/>
          <c:showSerName val="0"/>
          <c:showPercent val="0"/>
          <c:showBubbleSize val="0"/>
        </c:dLbls>
        <c:smooth val="0"/>
        <c:axId val="150415632"/>
        <c:axId val="150430192"/>
      </c:lineChart>
      <c:catAx>
        <c:axId val="150415632"/>
        <c:scaling>
          <c:orientation val="minMax"/>
        </c:scaling>
        <c:delete val="0"/>
        <c:axPos val="b"/>
        <c:numFmt formatCode="General" sourceLinked="1"/>
        <c:majorTickMark val="none"/>
        <c:minorTickMark val="none"/>
        <c:tickLblPos val="low"/>
        <c:spPr>
          <a:noFill/>
          <a:ln w="9525" cap="flat" cmpd="sng" algn="ctr">
            <a:solidFill>
              <a:schemeClr val="bg1">
                <a:lumMod val="9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150430192"/>
        <c:crosses val="autoZero"/>
        <c:auto val="1"/>
        <c:lblAlgn val="ctr"/>
        <c:lblOffset val="100"/>
        <c:noMultiLvlLbl val="0"/>
      </c:catAx>
      <c:valAx>
        <c:axId val="150430192"/>
        <c:scaling>
          <c:orientation val="minMax"/>
        </c:scaling>
        <c:delete val="0"/>
        <c:axPos val="l"/>
        <c:majorGridlines>
          <c:spPr>
            <a:ln w="9525" cap="flat" cmpd="sng" algn="ctr">
              <a:solidFill>
                <a:schemeClr val="bg1">
                  <a:lumMod val="9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r>
                  <a:rPr lang="en-US">
                    <a:solidFill>
                      <a:sysClr val="windowText" lastClr="000000"/>
                    </a:solidFill>
                  </a:rPr>
                  <a:t>Average Annual</a:t>
                </a:r>
                <a:r>
                  <a:rPr lang="en-US" baseline="0">
                    <a:solidFill>
                      <a:sysClr val="windowText" lastClr="000000"/>
                    </a:solidFill>
                  </a:rPr>
                  <a:t> Growth</a:t>
                </a:r>
                <a:endParaRPr lang="en-US">
                  <a:solidFill>
                    <a:sysClr val="windowText" lastClr="000000"/>
                  </a:solidFill>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150415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w Cen MT" panose="020B0602020104020603" pitchFamily="34" charset="0"/>
        </a:defRPr>
      </a:pPr>
      <a:endParaRPr lang="en-US"/>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r>
              <a:rPr lang="en-US" sz="1400" dirty="0"/>
              <a:t>SNHPC Single-Family Homes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15"/>
            <c:spPr>
              <a:solidFill>
                <a:srgbClr val="C00000">
                  <a:alpha val="50000"/>
                </a:srgbClr>
              </a:solidFill>
              <a:ln w="9525">
                <a:noFill/>
              </a:ln>
              <a:effectLst/>
            </c:spPr>
          </c:marker>
          <c:trendline>
            <c:spPr>
              <a:ln w="19050" cap="rnd">
                <a:solidFill>
                  <a:schemeClr val="tx1"/>
                </a:solidFill>
                <a:prstDash val="lgDash"/>
              </a:ln>
              <a:effectLst/>
            </c:spPr>
            <c:trendlineType val="movingAvg"/>
            <c:period val="2"/>
            <c:dispRSqr val="0"/>
            <c:dispEq val="0"/>
          </c:trendline>
          <c:xVal>
            <c:numRef>
              <c:f>SNHPC!$S$3:$S$12</c:f>
              <c:numCache>
                <c:formatCode>0.00</c:formatCode>
                <c:ptCount val="10"/>
                <c:pt idx="0">
                  <c:v>0.12712936537936784</c:v>
                </c:pt>
                <c:pt idx="1">
                  <c:v>0.19713880483690202</c:v>
                </c:pt>
                <c:pt idx="2">
                  <c:v>0.28156222752755444</c:v>
                </c:pt>
                <c:pt idx="3">
                  <c:v>0.48475919328484446</c:v>
                </c:pt>
                <c:pt idx="4">
                  <c:v>0.86410195146848967</c:v>
                </c:pt>
                <c:pt idx="5">
                  <c:v>1.1130990712580169</c:v>
                </c:pt>
                <c:pt idx="6">
                  <c:v>1.4597570693034811</c:v>
                </c:pt>
                <c:pt idx="7">
                  <c:v>1.9910779673894892</c:v>
                </c:pt>
                <c:pt idx="8">
                  <c:v>2.8604414580014281</c:v>
                </c:pt>
                <c:pt idx="9">
                  <c:v>11.498484953205512</c:v>
                </c:pt>
              </c:numCache>
            </c:numRef>
          </c:xVal>
          <c:yVal>
            <c:numRef>
              <c:f>SNHPC!$T$3:$T$12</c:f>
              <c:numCache>
                <c:formatCode>"$"#,##0</c:formatCode>
                <c:ptCount val="10"/>
                <c:pt idx="0">
                  <c:v>188872.06492335437</c:v>
                </c:pt>
                <c:pt idx="1">
                  <c:v>216674.06672678087</c:v>
                </c:pt>
                <c:pt idx="2">
                  <c:v>247102.12804328222</c:v>
                </c:pt>
                <c:pt idx="3">
                  <c:v>295639.74968440033</c:v>
                </c:pt>
                <c:pt idx="4">
                  <c:v>358458.88890892698</c:v>
                </c:pt>
                <c:pt idx="5">
                  <c:v>360705.86762849416</c:v>
                </c:pt>
                <c:pt idx="6">
                  <c:v>403420.77060414787</c:v>
                </c:pt>
                <c:pt idx="7">
                  <c:v>400456.65807033365</c:v>
                </c:pt>
                <c:pt idx="8">
                  <c:v>413291.52804328222</c:v>
                </c:pt>
                <c:pt idx="9">
                  <c:v>403654.0898106402</c:v>
                </c:pt>
              </c:numCache>
            </c:numRef>
          </c:yVal>
          <c:smooth val="0"/>
          <c:extLst>
            <c:ext xmlns:c16="http://schemas.microsoft.com/office/drawing/2014/chart" uri="{C3380CC4-5D6E-409C-BE32-E72D297353CC}">
              <c16:uniqueId val="{00000001-E308-42FE-9633-11F2E5258877}"/>
            </c:ext>
          </c:extLst>
        </c:ser>
        <c:dLbls>
          <c:showLegendKey val="0"/>
          <c:showVal val="0"/>
          <c:showCatName val="0"/>
          <c:showSerName val="0"/>
          <c:showPercent val="0"/>
          <c:showBubbleSize val="0"/>
        </c:dLbls>
        <c:axId val="836238672"/>
        <c:axId val="836244080"/>
      </c:scatterChart>
      <c:valAx>
        <c:axId val="836238672"/>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r>
                  <a:rPr lang="en-US" sz="1200"/>
                  <a:t>Acreage</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title>
        <c:numFmt formatCode="0" sourceLinked="0"/>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836244080"/>
        <c:crosses val="autoZero"/>
        <c:crossBetween val="midCat"/>
      </c:valAx>
      <c:valAx>
        <c:axId val="836244080"/>
        <c:scaling>
          <c:orientation val="minMax"/>
          <c:min val="15000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r>
                  <a:rPr lang="en-US" sz="1200" dirty="0"/>
                  <a:t>Average Property Value</a:t>
                </a:r>
              </a:p>
              <a:p>
                <a:pPr>
                  <a:defRPr sz="1200"/>
                </a:pPr>
                <a:r>
                  <a:rPr lang="en-US" sz="1200" dirty="0"/>
                  <a:t>by Acreage Decile</a:t>
                </a:r>
                <a:br>
                  <a:rPr lang="en-US" sz="1200" dirty="0"/>
                </a:br>
                <a:r>
                  <a:rPr lang="en-US" sz="1200" dirty="0"/>
                  <a:t>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title>
        <c:numFmt formatCode="&quot;$&quot;#,##0"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83623867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600">
          <a:solidFill>
            <a:sysClr val="windowText" lastClr="000000"/>
          </a:solidFill>
          <a:latin typeface="Tw Cen MT" panose="020B0602020104020603" pitchFamily="34" charset="0"/>
        </a:defRPr>
      </a:pPr>
      <a:endParaRPr lang="en-US"/>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r>
              <a:rPr lang="en-US" sz="1400"/>
              <a:t>Derry Single-Family Homes:</a:t>
            </a:r>
            <a:br>
              <a:rPr lang="en-US" sz="1400"/>
            </a:br>
            <a:r>
              <a:rPr lang="en-US" sz="1400"/>
              <a:t>Value per Acre</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endParaRPr lang="en-US"/>
        </a:p>
      </c:txPr>
    </c:title>
    <c:autoTitleDeleted val="0"/>
    <c:plotArea>
      <c:layout/>
      <c:scatterChart>
        <c:scatterStyle val="lineMarker"/>
        <c:varyColors val="0"/>
        <c:ser>
          <c:idx val="0"/>
          <c:order val="0"/>
          <c:spPr>
            <a:ln w="19050" cap="rnd">
              <a:noFill/>
              <a:round/>
            </a:ln>
            <a:effectLst/>
          </c:spPr>
          <c:marker>
            <c:symbol val="circle"/>
            <c:size val="15"/>
            <c:spPr>
              <a:solidFill>
                <a:srgbClr val="C00000">
                  <a:alpha val="60000"/>
                </a:srgbClr>
              </a:solidFill>
              <a:ln w="9525">
                <a:noFill/>
              </a:ln>
              <a:effectLst/>
            </c:spPr>
          </c:marker>
          <c:dLbls>
            <c:dLbl>
              <c:idx val="1"/>
              <c:layout>
                <c:manualLayout>
                  <c:x val="5.5295745298648898E-2"/>
                  <c:y val="6.9813345822478515E-2"/>
                </c:manualLayout>
              </c:layout>
              <c:tx>
                <c:rich>
                  <a:bodyPr/>
                  <a:lstStyle/>
                  <a:p>
                    <a:r>
                      <a:rPr lang="en-US"/>
                      <a:t>Single-family home property averages by acreage ventiles</a:t>
                    </a:r>
                  </a:p>
                </c:rich>
              </c:tx>
              <c:showLegendKey val="0"/>
              <c:showVal val="1"/>
              <c:showCatName val="0"/>
              <c:showSerName val="0"/>
              <c:showPercent val="0"/>
              <c:showBubbleSize val="0"/>
              <c:extLst>
                <c:ext xmlns:c15="http://schemas.microsoft.com/office/drawing/2012/chart" uri="{CE6537A1-D6FC-4f65-9D91-7224C49458BB}">
                  <c15:layout>
                    <c:manualLayout>
                      <c:w val="0.30368786331209685"/>
                      <c:h val="0.1295766374928041"/>
                    </c:manualLayout>
                  </c15:layout>
                  <c15:showDataLabelsRange val="0"/>
                </c:ext>
                <c:ext xmlns:c16="http://schemas.microsoft.com/office/drawing/2014/chart" uri="{C3380CC4-5D6E-409C-BE32-E72D297353CC}">
                  <c16:uniqueId val="{00000000-44AA-43AE-9EAC-A64FBA1AC4B8}"/>
                </c:ext>
              </c:extLst>
            </c:dLbl>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85000"/>
                          <a:lumOff val="15000"/>
                        </a:schemeClr>
                      </a:solidFill>
                      <a:round/>
                    </a:ln>
                    <a:effectLst/>
                  </c:spPr>
                </c15:leaderLines>
              </c:ext>
            </c:extLst>
          </c:dLbls>
          <c:trendline>
            <c:spPr>
              <a:ln w="25400" cap="rnd">
                <a:solidFill>
                  <a:schemeClr val="tx1"/>
                </a:solidFill>
                <a:prstDash val="dash"/>
              </a:ln>
              <a:effectLst/>
            </c:spPr>
            <c:trendlineType val="power"/>
            <c:forward val="10"/>
            <c:backward val="10"/>
            <c:dispRSqr val="0"/>
            <c:dispEq val="0"/>
          </c:trendline>
          <c:xVal>
            <c:numRef>
              <c:f>Derry!$K$25:$K$44</c:f>
              <c:numCache>
                <c:formatCode>0.00</c:formatCode>
                <c:ptCount val="20"/>
                <c:pt idx="0">
                  <c:v>0.14466499139439976</c:v>
                </c:pt>
                <c:pt idx="1">
                  <c:v>0.25112106644306753</c:v>
                </c:pt>
                <c:pt idx="2">
                  <c:v>0.34425773389782605</c:v>
                </c:pt>
                <c:pt idx="3">
                  <c:v>0.44316806221327576</c:v>
                </c:pt>
                <c:pt idx="4">
                  <c:v>0.56501960714725086</c:v>
                </c:pt>
                <c:pt idx="5">
                  <c:v>0.65995745542648909</c:v>
                </c:pt>
                <c:pt idx="6">
                  <c:v>0.81226506721509584</c:v>
                </c:pt>
                <c:pt idx="7">
                  <c:v>0.96043150020540691</c:v>
                </c:pt>
                <c:pt idx="8">
                  <c:v>1.0192736788186096</c:v>
                </c:pt>
                <c:pt idx="9">
                  <c:v>1.0687531850706871</c:v>
                </c:pt>
                <c:pt idx="10">
                  <c:v>1.1260613975530125</c:v>
                </c:pt>
                <c:pt idx="11">
                  <c:v>1.1888554923869781</c:v>
                </c:pt>
                <c:pt idx="12">
                  <c:v>1.2703067262249153</c:v>
                </c:pt>
                <c:pt idx="13">
                  <c:v>1.3886297558706704</c:v>
                </c:pt>
                <c:pt idx="14">
                  <c:v>1.555773996641266</c:v>
                </c:pt>
                <c:pt idx="15">
                  <c:v>1.7920778391400649</c:v>
                </c:pt>
                <c:pt idx="16">
                  <c:v>2.1054343188830127</c:v>
                </c:pt>
                <c:pt idx="17">
                  <c:v>2.7094102888634741</c:v>
                </c:pt>
                <c:pt idx="18">
                  <c:v>3.5290964860709049</c:v>
                </c:pt>
                <c:pt idx="19">
                  <c:v>11.339522745553946</c:v>
                </c:pt>
              </c:numCache>
            </c:numRef>
          </c:xVal>
          <c:yVal>
            <c:numRef>
              <c:f>Derry!$M$25:$M$44</c:f>
              <c:numCache>
                <c:formatCode>"$"#,##0</c:formatCode>
                <c:ptCount val="20"/>
                <c:pt idx="0">
                  <c:v>1937736.7976176958</c:v>
                </c:pt>
                <c:pt idx="1">
                  <c:v>1093799.7228576441</c:v>
                </c:pt>
                <c:pt idx="2">
                  <c:v>823259.50229228928</c:v>
                </c:pt>
                <c:pt idx="3">
                  <c:v>657770.86498885648</c:v>
                </c:pt>
                <c:pt idx="4">
                  <c:v>530964.45977094083</c:v>
                </c:pt>
                <c:pt idx="5">
                  <c:v>455029.37109897874</c:v>
                </c:pt>
                <c:pt idx="6">
                  <c:v>397341.52262301795</c:v>
                </c:pt>
                <c:pt idx="7">
                  <c:v>351661.92493416881</c:v>
                </c:pt>
                <c:pt idx="8">
                  <c:v>322195.19921365933</c:v>
                </c:pt>
                <c:pt idx="9">
                  <c:v>301611.54459654499</c:v>
                </c:pt>
                <c:pt idx="10">
                  <c:v>282991.02924965427</c:v>
                </c:pt>
                <c:pt idx="11">
                  <c:v>265487.01384211628</c:v>
                </c:pt>
                <c:pt idx="12">
                  <c:v>249570.19673940848</c:v>
                </c:pt>
                <c:pt idx="13">
                  <c:v>231298.38970919608</c:v>
                </c:pt>
                <c:pt idx="14">
                  <c:v>211669.91723333881</c:v>
                </c:pt>
                <c:pt idx="15">
                  <c:v>190382.46671817536</c:v>
                </c:pt>
                <c:pt idx="16">
                  <c:v>165555.87769390116</c:v>
                </c:pt>
                <c:pt idx="17">
                  <c:v>139424.16259537896</c:v>
                </c:pt>
                <c:pt idx="18">
                  <c:v>104784.75207841583</c:v>
                </c:pt>
                <c:pt idx="19">
                  <c:v>52022.537765395384</c:v>
                </c:pt>
              </c:numCache>
            </c:numRef>
          </c:yVal>
          <c:smooth val="0"/>
          <c:extLst>
            <c:ext xmlns:c16="http://schemas.microsoft.com/office/drawing/2014/chart" uri="{C3380CC4-5D6E-409C-BE32-E72D297353CC}">
              <c16:uniqueId val="{00000002-44AA-43AE-9EAC-A64FBA1AC4B8}"/>
            </c:ext>
          </c:extLst>
        </c:ser>
        <c:dLbls>
          <c:showLegendKey val="0"/>
          <c:showVal val="0"/>
          <c:showCatName val="0"/>
          <c:showSerName val="0"/>
          <c:showPercent val="0"/>
          <c:showBubbleSize val="0"/>
        </c:dLbls>
        <c:axId val="836238672"/>
        <c:axId val="836244080"/>
      </c:scatterChart>
      <c:valAx>
        <c:axId val="836238672"/>
        <c:scaling>
          <c:orientation val="minMax"/>
          <c:max val="15"/>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r>
                  <a:rPr lang="en-US" sz="1200"/>
                  <a:t>Average Parcel Acreage</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title>
        <c:numFmt formatCode="0" sourceLinked="0"/>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836244080"/>
        <c:crosses val="autoZero"/>
        <c:crossBetween val="midCat"/>
      </c:valAx>
      <c:valAx>
        <c:axId val="83624408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r>
                  <a:rPr lang="en-US" sz="1200" dirty="0"/>
                  <a:t>Average</a:t>
                </a:r>
                <a:r>
                  <a:rPr lang="en-US" sz="1200" baseline="0" dirty="0"/>
                  <a:t> </a:t>
                </a:r>
                <a:r>
                  <a:rPr lang="en-US" sz="1200" dirty="0"/>
                  <a:t>Property</a:t>
                </a:r>
                <a:br>
                  <a:rPr lang="en-US" sz="1200" dirty="0"/>
                </a:br>
                <a:r>
                  <a:rPr lang="en-US" sz="1200" dirty="0"/>
                  <a:t>Value per Acre</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title>
        <c:numFmt formatCode="&quot;$&quot;#,##0"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83623867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600">
          <a:solidFill>
            <a:sysClr val="windowText" lastClr="000000"/>
          </a:solidFill>
          <a:latin typeface="Tw Cen MT" panose="020B0602020104020603" pitchFamily="34" charset="0"/>
        </a:defRPr>
      </a:pPr>
      <a:endParaRPr lang="en-US"/>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Housing for People with Physical Disabilities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06A2-4505-9B2E-B87675A9FDFB}"/>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06A2-4505-9B2E-B87675A9FDFB}"/>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06A2-4505-9B2E-B87675A9FDFB}"/>
              </c:ext>
            </c:extLst>
          </c:dPt>
          <c:dPt>
            <c:idx val="3"/>
            <c:bubble3D val="0"/>
            <c:spPr>
              <a:solidFill>
                <a:srgbClr val="FF5050"/>
              </a:solidFill>
              <a:ln w="19050">
                <a:solidFill>
                  <a:schemeClr val="lt1"/>
                </a:solidFill>
              </a:ln>
              <a:effectLst/>
            </c:spPr>
            <c:extLst>
              <c:ext xmlns:c16="http://schemas.microsoft.com/office/drawing/2014/chart" uri="{C3380CC4-5D6E-409C-BE32-E72D297353CC}">
                <c16:uniqueId val="{00000007-06A2-4505-9B2E-B87675A9FDFB}"/>
              </c:ext>
            </c:extLst>
          </c:dPt>
          <c:dPt>
            <c:idx val="4"/>
            <c:bubble3D val="0"/>
            <c:spPr>
              <a:solidFill>
                <a:srgbClr val="C00000"/>
              </a:solidFill>
              <a:ln w="19050">
                <a:solidFill>
                  <a:schemeClr val="lt1"/>
                </a:solidFill>
              </a:ln>
              <a:effectLst/>
            </c:spPr>
            <c:extLst>
              <c:ext xmlns:c16="http://schemas.microsoft.com/office/drawing/2014/chart" uri="{C3380CC4-5D6E-409C-BE32-E72D297353CC}">
                <c16:uniqueId val="{00000009-06A2-4505-9B2E-B87675A9FDFB}"/>
              </c:ext>
            </c:extLst>
          </c:dPt>
          <c:dLbls>
            <c:dLbl>
              <c:idx val="4"/>
              <c:layout>
                <c:manualLayout>
                  <c:x val="0.32067523648470114"/>
                  <c:y val="2.57957859434237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6A2-4505-9B2E-B87675A9FDF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Sheet1!$Z$8:$AD$8</c:f>
              <c:strCache>
                <c:ptCount val="5"/>
                <c:pt idx="0">
                  <c:v>Strongly Agree</c:v>
                </c:pt>
                <c:pt idx="1">
                  <c:v>Agree</c:v>
                </c:pt>
                <c:pt idx="2">
                  <c:v>Neutral</c:v>
                </c:pt>
                <c:pt idx="3">
                  <c:v>Disagree</c:v>
                </c:pt>
                <c:pt idx="4">
                  <c:v>Strongly Disagree</c:v>
                </c:pt>
              </c:strCache>
            </c:strRef>
          </c:cat>
          <c:val>
            <c:numRef>
              <c:f>Sheet1!$Z$9:$AD$9</c:f>
              <c:numCache>
                <c:formatCode>General</c:formatCode>
                <c:ptCount val="5"/>
                <c:pt idx="0">
                  <c:v>129</c:v>
                </c:pt>
                <c:pt idx="1">
                  <c:v>160</c:v>
                </c:pt>
                <c:pt idx="2">
                  <c:v>96</c:v>
                </c:pt>
                <c:pt idx="3">
                  <c:v>19</c:v>
                </c:pt>
                <c:pt idx="4">
                  <c:v>20</c:v>
                </c:pt>
              </c:numCache>
            </c:numRef>
          </c:val>
          <c:extLst>
            <c:ext xmlns:c16="http://schemas.microsoft.com/office/drawing/2014/chart" uri="{C3380CC4-5D6E-409C-BE32-E72D297353CC}">
              <c16:uniqueId val="{0000000A-06A2-4505-9B2E-B87675A9FDF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Rental Housing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CC50-43D2-AF5E-DA9EA9E12FDC}"/>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CC50-43D2-AF5E-DA9EA9E12FDC}"/>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CC50-43D2-AF5E-DA9EA9E12FDC}"/>
              </c:ext>
            </c:extLst>
          </c:dPt>
          <c:dPt>
            <c:idx val="3"/>
            <c:bubble3D val="0"/>
            <c:spPr>
              <a:solidFill>
                <a:srgbClr val="FF5050"/>
              </a:solidFill>
              <a:ln w="19050">
                <a:solidFill>
                  <a:schemeClr val="lt1"/>
                </a:solidFill>
              </a:ln>
              <a:effectLst/>
            </c:spPr>
            <c:extLst>
              <c:ext xmlns:c16="http://schemas.microsoft.com/office/drawing/2014/chart" uri="{C3380CC4-5D6E-409C-BE32-E72D297353CC}">
                <c16:uniqueId val="{00000007-CC50-43D2-AF5E-DA9EA9E12FDC}"/>
              </c:ext>
            </c:extLst>
          </c:dPt>
          <c:dPt>
            <c:idx val="4"/>
            <c:bubble3D val="0"/>
            <c:spPr>
              <a:solidFill>
                <a:srgbClr val="C00000"/>
              </a:solidFill>
              <a:ln w="19050">
                <a:solidFill>
                  <a:schemeClr val="lt1"/>
                </a:solidFill>
              </a:ln>
              <a:effectLst/>
            </c:spPr>
            <c:extLst>
              <c:ext xmlns:c16="http://schemas.microsoft.com/office/drawing/2014/chart" uri="{C3380CC4-5D6E-409C-BE32-E72D297353CC}">
                <c16:uniqueId val="{00000009-CC50-43D2-AF5E-DA9EA9E12FDC}"/>
              </c:ext>
            </c:extLst>
          </c:dPt>
          <c:dLbls>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6="http://schemas.microsoft.com/office/drawing/2014/chart" uri="{C3380CC4-5D6E-409C-BE32-E72D297353CC}">
                  <c16:uniqueId val="{00000009-CC50-43D2-AF5E-DA9EA9E12FD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Sheet1!$Z$2:$AD$2</c:f>
              <c:strCache>
                <c:ptCount val="5"/>
                <c:pt idx="0">
                  <c:v>Strongly Agree</c:v>
                </c:pt>
                <c:pt idx="1">
                  <c:v>Agree</c:v>
                </c:pt>
                <c:pt idx="2">
                  <c:v>Neutral</c:v>
                </c:pt>
                <c:pt idx="3">
                  <c:v>Disagree</c:v>
                </c:pt>
                <c:pt idx="4">
                  <c:v>Strongly Disagree</c:v>
                </c:pt>
              </c:strCache>
            </c:strRef>
          </c:cat>
          <c:val>
            <c:numRef>
              <c:f>Sheet1!$Z$3:$AD$3</c:f>
              <c:numCache>
                <c:formatCode>General</c:formatCode>
                <c:ptCount val="5"/>
                <c:pt idx="0">
                  <c:v>162</c:v>
                </c:pt>
                <c:pt idx="1">
                  <c:v>122</c:v>
                </c:pt>
                <c:pt idx="2">
                  <c:v>56</c:v>
                </c:pt>
                <c:pt idx="3">
                  <c:v>40</c:v>
                </c:pt>
                <c:pt idx="4">
                  <c:v>60</c:v>
                </c:pt>
              </c:numCache>
            </c:numRef>
          </c:val>
          <c:extLst>
            <c:ext xmlns:c16="http://schemas.microsoft.com/office/drawing/2014/chart" uri="{C3380CC4-5D6E-409C-BE32-E72D297353CC}">
              <c16:uniqueId val="{0000000A-CC50-43D2-AF5E-DA9EA9E12FD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0" cap="flat" cmpd="sng" algn="ctr">
      <a:no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Moderate Income Housing</a:t>
            </a:r>
          </a:p>
        </c:rich>
      </c:tx>
      <c:layout>
        <c:manualLayout>
          <c:xMode val="edge"/>
          <c:yMode val="edge"/>
          <c:x val="0.14567799878095802"/>
          <c:y val="3.172445048719691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F395-4054-924A-E7FDE3E63F6E}"/>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F395-4054-924A-E7FDE3E63F6E}"/>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F395-4054-924A-E7FDE3E63F6E}"/>
              </c:ext>
            </c:extLst>
          </c:dPt>
          <c:dPt>
            <c:idx val="3"/>
            <c:bubble3D val="0"/>
            <c:spPr>
              <a:solidFill>
                <a:srgbClr val="FF5050"/>
              </a:solidFill>
              <a:ln w="19050">
                <a:solidFill>
                  <a:schemeClr val="lt1"/>
                </a:solidFill>
              </a:ln>
              <a:effectLst/>
            </c:spPr>
            <c:extLst>
              <c:ext xmlns:c16="http://schemas.microsoft.com/office/drawing/2014/chart" uri="{C3380CC4-5D6E-409C-BE32-E72D297353CC}">
                <c16:uniqueId val="{00000007-F395-4054-924A-E7FDE3E63F6E}"/>
              </c:ext>
            </c:extLst>
          </c:dPt>
          <c:dPt>
            <c:idx val="4"/>
            <c:bubble3D val="0"/>
            <c:spPr>
              <a:solidFill>
                <a:srgbClr val="C00000"/>
              </a:solidFill>
              <a:ln w="19050">
                <a:solidFill>
                  <a:schemeClr val="lt1"/>
                </a:solidFill>
              </a:ln>
              <a:effectLst/>
            </c:spPr>
            <c:extLst>
              <c:ext xmlns:c16="http://schemas.microsoft.com/office/drawing/2014/chart" uri="{C3380CC4-5D6E-409C-BE32-E72D297353CC}">
                <c16:uniqueId val="{00000009-F395-4054-924A-E7FDE3E63F6E}"/>
              </c:ext>
            </c:extLst>
          </c:dPt>
          <c:dLbls>
            <c:dLbl>
              <c:idx val="4"/>
              <c:layout>
                <c:manualLayout>
                  <c:x val="0.3602101869967676"/>
                  <c:y val="4.923142255076715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395-4054-924A-E7FDE3E63F6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Sheet1!$T$5:$X$5</c:f>
              <c:strCache>
                <c:ptCount val="5"/>
                <c:pt idx="0">
                  <c:v>Strongly Agree</c:v>
                </c:pt>
                <c:pt idx="1">
                  <c:v>Agree</c:v>
                </c:pt>
                <c:pt idx="2">
                  <c:v>Neutral</c:v>
                </c:pt>
                <c:pt idx="3">
                  <c:v>Disagree</c:v>
                </c:pt>
                <c:pt idx="4">
                  <c:v>Strongly Disagree</c:v>
                </c:pt>
              </c:strCache>
            </c:strRef>
          </c:cat>
          <c:val>
            <c:numRef>
              <c:f>Sheet1!$T$6:$X$6</c:f>
              <c:numCache>
                <c:formatCode>General</c:formatCode>
                <c:ptCount val="5"/>
                <c:pt idx="0">
                  <c:v>161</c:v>
                </c:pt>
                <c:pt idx="1">
                  <c:v>207</c:v>
                </c:pt>
                <c:pt idx="2">
                  <c:v>44</c:v>
                </c:pt>
                <c:pt idx="3">
                  <c:v>15</c:v>
                </c:pt>
                <c:pt idx="4">
                  <c:v>17</c:v>
                </c:pt>
              </c:numCache>
            </c:numRef>
          </c:val>
          <c:extLst>
            <c:ext xmlns:c16="http://schemas.microsoft.com/office/drawing/2014/chart" uri="{C3380CC4-5D6E-409C-BE32-E72D297353CC}">
              <c16:uniqueId val="{0000000A-F395-4054-924A-E7FDE3E63F6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High End Housing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9EEE-469D-AA9D-4C15F1107934}"/>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9EEE-469D-AA9D-4C15F1107934}"/>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9EEE-469D-AA9D-4C15F1107934}"/>
              </c:ext>
            </c:extLst>
          </c:dPt>
          <c:dPt>
            <c:idx val="3"/>
            <c:bubble3D val="0"/>
            <c:spPr>
              <a:solidFill>
                <a:srgbClr val="FF5050"/>
              </a:solidFill>
              <a:ln w="19050">
                <a:solidFill>
                  <a:schemeClr val="lt1"/>
                </a:solidFill>
              </a:ln>
              <a:effectLst/>
            </c:spPr>
            <c:extLst>
              <c:ext xmlns:c16="http://schemas.microsoft.com/office/drawing/2014/chart" uri="{C3380CC4-5D6E-409C-BE32-E72D297353CC}">
                <c16:uniqueId val="{00000007-9EEE-469D-AA9D-4C15F1107934}"/>
              </c:ext>
            </c:extLst>
          </c:dPt>
          <c:dPt>
            <c:idx val="4"/>
            <c:bubble3D val="0"/>
            <c:spPr>
              <a:solidFill>
                <a:srgbClr val="C00000"/>
              </a:solidFill>
              <a:ln w="19050">
                <a:solidFill>
                  <a:schemeClr val="lt1"/>
                </a:solidFill>
              </a:ln>
              <a:effectLst/>
            </c:spPr>
            <c:extLst>
              <c:ext xmlns:c16="http://schemas.microsoft.com/office/drawing/2014/chart" uri="{C3380CC4-5D6E-409C-BE32-E72D297353CC}">
                <c16:uniqueId val="{00000009-9EEE-469D-AA9D-4C15F1107934}"/>
              </c:ext>
            </c:extLst>
          </c:dPt>
          <c:dLbls>
            <c:dLbl>
              <c:idx val="3"/>
              <c:tx>
                <c:rich>
                  <a:bodyPr/>
                  <a:lstStyle/>
                  <a:p>
                    <a:fld id="{A2485547-53F0-4383-8587-D12C11D9B187}" type="CATEGORYNAME">
                      <a:rPr lang="en-US">
                        <a:solidFill>
                          <a:schemeClr val="tx1"/>
                        </a:solidFill>
                      </a:rPr>
                      <a:pPr/>
                      <a:t>[CATEGORY NAME]</a:t>
                    </a:fld>
                    <a:r>
                      <a:rPr lang="en-US" baseline="0">
                        <a:solidFill>
                          <a:schemeClr val="tx1"/>
                        </a:solidFill>
                      </a:rPr>
                      <a:t>
</a:t>
                    </a:r>
                    <a:fld id="{1B3E23D1-E9E7-4C48-ADB1-5614045659BF}" type="PERCENTAGE">
                      <a:rPr lang="en-US" baseline="0">
                        <a:solidFill>
                          <a:schemeClr val="tx1"/>
                        </a:solidFill>
                      </a:rPr>
                      <a:pPr/>
                      <a:t>[PERCENTAGE]</a:t>
                    </a:fld>
                    <a:endParaRPr lang="en-US" baseline="0">
                      <a:solidFill>
                        <a:schemeClr val="tx1"/>
                      </a:solidFill>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EEE-469D-AA9D-4C15F1107934}"/>
                </c:ext>
              </c:extLst>
            </c:dLbl>
            <c:dLbl>
              <c:idx val="4"/>
              <c:tx>
                <c:rich>
                  <a:bodyPr/>
                  <a:lstStyle/>
                  <a:p>
                    <a:fld id="{3E4A2914-505A-4740-BC8B-B4422B6EA703}" type="CATEGORYNAME">
                      <a:rPr lang="en-US">
                        <a:solidFill>
                          <a:schemeClr val="bg1"/>
                        </a:solidFill>
                      </a:rPr>
                      <a:pPr/>
                      <a:t>[CATEGORY NAME]</a:t>
                    </a:fld>
                    <a:r>
                      <a:rPr lang="en-US" baseline="0">
                        <a:solidFill>
                          <a:schemeClr val="bg1"/>
                        </a:solidFill>
                      </a:rPr>
                      <a:t>
</a:t>
                    </a:r>
                    <a:fld id="{BAB2E03B-041B-49EB-9DF6-9595B6FB0F41}" type="PERCENTAGE">
                      <a:rPr lang="en-US" baseline="0">
                        <a:solidFill>
                          <a:schemeClr val="bg1"/>
                        </a:solidFill>
                      </a:rPr>
                      <a:pPr/>
                      <a:t>[PERCENTAGE]</a:t>
                    </a:fld>
                    <a:endParaRPr lang="en-US" baseline="0">
                      <a:solidFill>
                        <a:schemeClr val="bg1"/>
                      </a:solidFill>
                    </a:endParaRP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EEE-469D-AA9D-4C15F110793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Sheet1!$T$2:$X$2</c:f>
              <c:strCache>
                <c:ptCount val="5"/>
                <c:pt idx="0">
                  <c:v>Strongly Agree</c:v>
                </c:pt>
                <c:pt idx="1">
                  <c:v>Agree</c:v>
                </c:pt>
                <c:pt idx="2">
                  <c:v>Neutral</c:v>
                </c:pt>
                <c:pt idx="3">
                  <c:v>Disagree</c:v>
                </c:pt>
                <c:pt idx="4">
                  <c:v>Strongly Disagree</c:v>
                </c:pt>
              </c:strCache>
            </c:strRef>
          </c:cat>
          <c:val>
            <c:numRef>
              <c:f>Sheet1!$T$3:$X$3</c:f>
              <c:numCache>
                <c:formatCode>General</c:formatCode>
                <c:ptCount val="5"/>
                <c:pt idx="0">
                  <c:v>32</c:v>
                </c:pt>
                <c:pt idx="1">
                  <c:v>50</c:v>
                </c:pt>
                <c:pt idx="2">
                  <c:v>77</c:v>
                </c:pt>
                <c:pt idx="3">
                  <c:v>128</c:v>
                </c:pt>
                <c:pt idx="4">
                  <c:v>149</c:v>
                </c:pt>
              </c:numCache>
            </c:numRef>
          </c:val>
          <c:extLst>
            <c:ext xmlns:c16="http://schemas.microsoft.com/office/drawing/2014/chart" uri="{C3380CC4-5D6E-409C-BE32-E72D297353CC}">
              <c16:uniqueId val="{0000000A-9EEE-469D-AA9D-4C15F1107934}"/>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spc="0" baseline="0">
                <a:solidFill>
                  <a:schemeClr val="tx1">
                    <a:lumMod val="65000"/>
                    <a:lumOff val="35000"/>
                  </a:schemeClr>
                </a:solidFill>
                <a:latin typeface="Tw Cen MT" panose="020B0602020104020603" pitchFamily="34" charset="0"/>
                <a:ea typeface="+mn-ea"/>
                <a:cs typeface="+mn-cs"/>
              </a:defRPr>
            </a:pPr>
            <a:r>
              <a:rPr lang="en-US" sz="1800">
                <a:solidFill>
                  <a:schemeClr val="tx1">
                    <a:lumMod val="75000"/>
                    <a:lumOff val="25000"/>
                  </a:schemeClr>
                </a:solidFill>
              </a:rPr>
              <a:t>As a % of NH's Homeless Population</a:t>
            </a:r>
            <a:br>
              <a:rPr lang="en-US" sz="1600">
                <a:solidFill>
                  <a:schemeClr val="tx1">
                    <a:lumMod val="75000"/>
                    <a:lumOff val="25000"/>
                  </a:schemeClr>
                </a:solidFill>
              </a:rPr>
            </a:br>
            <a:r>
              <a:rPr lang="en-US" sz="1600">
                <a:solidFill>
                  <a:schemeClr val="tx1">
                    <a:lumMod val="75000"/>
                    <a:lumOff val="25000"/>
                  </a:schemeClr>
                </a:solidFill>
              </a:rPr>
              <a:t>(2020)</a:t>
            </a:r>
          </a:p>
        </c:rich>
      </c:tx>
      <c:overlay val="0"/>
      <c:spPr>
        <a:noFill/>
        <a:ln>
          <a:noFill/>
        </a:ln>
        <a:effectLst/>
      </c:spPr>
      <c:txPr>
        <a:bodyPr rot="0" spcFirstLastPara="1" vertOverflow="ellipsis" vert="horz" wrap="square" anchor="ctr" anchorCtr="1"/>
        <a:lstStyle/>
        <a:p>
          <a:pPr>
            <a:defRPr sz="2000" b="0" i="0" u="none" strike="noStrike" kern="1200" spc="0" baseline="0">
              <a:solidFill>
                <a:schemeClr val="tx1">
                  <a:lumMod val="65000"/>
                  <a:lumOff val="35000"/>
                </a:schemeClr>
              </a:solidFill>
              <a:latin typeface="Tw Cen MT" panose="020B0602020104020603" pitchFamily="34" charset="0"/>
              <a:ea typeface="+mn-ea"/>
              <a:cs typeface="+mn-cs"/>
            </a:defRPr>
          </a:pPr>
          <a:endParaRPr lang="en-US"/>
        </a:p>
      </c:txPr>
    </c:title>
    <c:autoTitleDeleted val="0"/>
    <c:plotArea>
      <c:layout/>
      <c:pieChart>
        <c:varyColors val="1"/>
        <c:ser>
          <c:idx val="0"/>
          <c:order val="0"/>
          <c:dPt>
            <c:idx val="0"/>
            <c:bubble3D val="0"/>
            <c:spPr>
              <a:solidFill>
                <a:srgbClr val="ED7D31"/>
              </a:solidFill>
              <a:ln w="19050">
                <a:solidFill>
                  <a:schemeClr val="lt1"/>
                </a:solidFill>
              </a:ln>
              <a:effectLst/>
            </c:spPr>
            <c:extLst>
              <c:ext xmlns:c16="http://schemas.microsoft.com/office/drawing/2014/chart" uri="{C3380CC4-5D6E-409C-BE32-E72D297353CC}">
                <c16:uniqueId val="{00000001-E19B-4D01-9035-405617E83BDB}"/>
              </c:ext>
            </c:extLst>
          </c:dPt>
          <c:dPt>
            <c:idx val="1"/>
            <c:bubble3D val="0"/>
            <c:spPr>
              <a:solidFill>
                <a:srgbClr val="A5A5A5"/>
              </a:solidFill>
              <a:ln w="19050">
                <a:solidFill>
                  <a:schemeClr val="lt1"/>
                </a:solidFill>
              </a:ln>
              <a:effectLst/>
            </c:spPr>
            <c:extLst>
              <c:ext xmlns:c16="http://schemas.microsoft.com/office/drawing/2014/chart" uri="{C3380CC4-5D6E-409C-BE32-E72D297353CC}">
                <c16:uniqueId val="{00000003-E19B-4D01-9035-405617E83BDB}"/>
              </c:ext>
            </c:extLst>
          </c:dPt>
          <c:dPt>
            <c:idx val="2"/>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5-E19B-4D01-9035-405617E83BDB}"/>
              </c:ext>
            </c:extLst>
          </c:dPt>
          <c:dLbls>
            <c:dLbl>
              <c:idx val="0"/>
              <c:layout>
                <c:manualLayout>
                  <c:x val="-8.7586805555555633E-2"/>
                  <c:y val="0.10468100667104112"/>
                </c:manualLayout>
              </c:layout>
              <c:tx>
                <c:rich>
                  <a:bodyPr rot="0" spcFirstLastPara="1" vertOverflow="ellipsis" vert="horz" wrap="square" lIns="38100" tIns="19050" rIns="38100" bIns="19050" anchor="ctr" anchorCtr="1">
                    <a:noAutofit/>
                  </a:bodyPr>
                  <a:lstStyle/>
                  <a:p>
                    <a:pPr>
                      <a:defRPr sz="1600" b="1" i="0" u="none" strike="noStrike" kern="1200" baseline="0">
                        <a:solidFill>
                          <a:sysClr val="windowText" lastClr="000000"/>
                        </a:solidFill>
                        <a:effectLst>
                          <a:glow rad="101600">
                            <a:schemeClr val="bg1">
                              <a:alpha val="60000"/>
                            </a:schemeClr>
                          </a:glow>
                        </a:effectLst>
                        <a:latin typeface="Tw Cen MT" panose="020B0602020104020603" pitchFamily="34" charset="0"/>
                        <a:ea typeface="+mn-ea"/>
                        <a:cs typeface="+mn-cs"/>
                      </a:defRPr>
                    </a:pPr>
                    <a:r>
                      <a:rPr lang="en-US">
                        <a:effectLst>
                          <a:glow rad="101600">
                            <a:schemeClr val="bg1">
                              <a:alpha val="60000"/>
                            </a:schemeClr>
                          </a:glow>
                        </a:effectLst>
                      </a:rPr>
                      <a:t>Manchester</a:t>
                    </a:r>
                  </a:p>
                  <a:p>
                    <a:pPr>
                      <a:defRPr sz="1600" b="1">
                        <a:solidFill>
                          <a:sysClr val="windowText" lastClr="000000"/>
                        </a:solidFill>
                        <a:effectLst>
                          <a:glow rad="101600">
                            <a:schemeClr val="bg1">
                              <a:alpha val="60000"/>
                            </a:schemeClr>
                          </a:glow>
                        </a:effectLst>
                      </a:defRPr>
                    </a:pPr>
                    <a:fld id="{195FF70E-0D5B-43F9-91F5-AAC39DB53997}" type="VALUE">
                      <a:rPr lang="en-US">
                        <a:effectLst>
                          <a:glow rad="101600">
                            <a:schemeClr val="bg1">
                              <a:alpha val="60000"/>
                            </a:schemeClr>
                          </a:glow>
                        </a:effectLst>
                      </a:rPr>
                      <a:pPr>
                        <a:defRPr sz="1600" b="1">
                          <a:solidFill>
                            <a:sysClr val="windowText" lastClr="000000"/>
                          </a:solidFill>
                          <a:effectLst>
                            <a:glow rad="101600">
                              <a:schemeClr val="bg1">
                                <a:alpha val="60000"/>
                              </a:schemeClr>
                            </a:glow>
                          </a:effectLst>
                        </a:defRPr>
                      </a:pPr>
                      <a:t>[VALUE]</a:t>
                    </a:fld>
                    <a:endParaRPr lang="en-US"/>
                  </a:p>
                </c:rich>
              </c:tx>
              <c:spPr>
                <a:noFill/>
                <a:ln>
                  <a:noFill/>
                </a:ln>
                <a:effectLst/>
              </c:spPr>
              <c:txPr>
                <a:bodyPr rot="0" spcFirstLastPara="1" vertOverflow="ellipsis" vert="horz" wrap="square" lIns="38100" tIns="19050" rIns="38100" bIns="19050" anchor="ctr" anchorCtr="1">
                  <a:noAutofit/>
                </a:bodyPr>
                <a:lstStyle/>
                <a:p>
                  <a:pPr>
                    <a:defRPr sz="1600" b="1" i="0" u="none" strike="noStrike" kern="1200" baseline="0">
                      <a:solidFill>
                        <a:sysClr val="windowText" lastClr="000000"/>
                      </a:solidFill>
                      <a:effectLst>
                        <a:glow rad="101600">
                          <a:schemeClr val="bg1">
                            <a:alpha val="60000"/>
                          </a:schemeClr>
                        </a:glow>
                      </a:effectLst>
                      <a:latin typeface="Tw Cen MT" panose="020B0602020104020603"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41197916666666667"/>
                      <c:h val="0.18020833333333333"/>
                    </c:manualLayout>
                  </c15:layout>
                  <c15:dlblFieldTable/>
                  <c15:showDataLabelsRange val="0"/>
                </c:ext>
                <c:ext xmlns:c16="http://schemas.microsoft.com/office/drawing/2014/chart" uri="{C3380CC4-5D6E-409C-BE32-E72D297353CC}">
                  <c16:uniqueId val="{00000001-E19B-4D01-9035-405617E83BDB}"/>
                </c:ext>
              </c:extLst>
            </c:dLbl>
            <c:dLbl>
              <c:idx val="1"/>
              <c:layout>
                <c:manualLayout>
                  <c:x val="-0.18744224354768163"/>
                  <c:y val="-5.1980465332458439E-2"/>
                </c:manualLayout>
              </c:layout>
              <c:tx>
                <c:rich>
                  <a:bodyPr rot="0" spcFirstLastPara="1" vertOverflow="ellipsis" vert="horz" wrap="square" lIns="38100" tIns="19050" rIns="38100" bIns="19050" anchor="ctr" anchorCtr="1">
                    <a:spAutoFit/>
                  </a:bodyPr>
                  <a:lstStyle/>
                  <a:p>
                    <a:pPr>
                      <a:defRPr sz="1600" b="1" i="0" u="none" strike="noStrike" kern="1200" baseline="0">
                        <a:solidFill>
                          <a:sysClr val="windowText" lastClr="000000"/>
                        </a:solidFill>
                        <a:effectLst>
                          <a:glow rad="101600">
                            <a:schemeClr val="bg1">
                              <a:alpha val="60000"/>
                            </a:schemeClr>
                          </a:glow>
                        </a:effectLst>
                        <a:latin typeface="Tw Cen MT" panose="020B0602020104020603" pitchFamily="34" charset="0"/>
                        <a:ea typeface="+mn-ea"/>
                        <a:cs typeface="+mn-cs"/>
                      </a:defRPr>
                    </a:pPr>
                    <a:r>
                      <a:rPr lang="en-US">
                        <a:effectLst>
                          <a:glow rad="101600">
                            <a:schemeClr val="bg1">
                              <a:alpha val="60000"/>
                            </a:schemeClr>
                          </a:glow>
                        </a:effectLst>
                      </a:rPr>
                      <a:t>Nashua</a:t>
                    </a:r>
                    <a:br>
                      <a:rPr lang="en-US">
                        <a:effectLst>
                          <a:glow rad="101600">
                            <a:schemeClr val="bg1">
                              <a:alpha val="60000"/>
                            </a:schemeClr>
                          </a:glow>
                        </a:effectLst>
                      </a:rPr>
                    </a:br>
                    <a:fld id="{484E2AF0-ECE2-490D-A5A8-FD3550532C56}" type="VALUE">
                      <a:rPr lang="en-US">
                        <a:effectLst>
                          <a:glow rad="101600">
                            <a:schemeClr val="bg1">
                              <a:alpha val="60000"/>
                            </a:schemeClr>
                          </a:glow>
                        </a:effectLst>
                      </a:rPr>
                      <a:pPr>
                        <a:defRPr sz="1600" b="1">
                          <a:solidFill>
                            <a:sysClr val="windowText" lastClr="000000"/>
                          </a:solidFill>
                          <a:effectLst>
                            <a:glow rad="101600">
                              <a:schemeClr val="bg1">
                                <a:alpha val="60000"/>
                              </a:schemeClr>
                            </a:glow>
                          </a:effectLst>
                        </a:defRPr>
                      </a:pPr>
                      <a:t>[VALUE]</a:t>
                    </a:fld>
                    <a:endParaRPr lang="en-US">
                      <a:effectLst>
                        <a:glow rad="101600">
                          <a:schemeClr val="bg1">
                            <a:alpha val="60000"/>
                          </a:schemeClr>
                        </a:glow>
                      </a:effectLst>
                    </a:endParaRPr>
                  </a:p>
                </c:rich>
              </c:tx>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ysClr val="windowText" lastClr="000000"/>
                      </a:solidFill>
                      <a:effectLst>
                        <a:glow rad="101600">
                          <a:schemeClr val="bg1">
                            <a:alpha val="60000"/>
                          </a:schemeClr>
                        </a:glow>
                      </a:effectLst>
                      <a:latin typeface="Tw Cen MT" panose="020B0602020104020603"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33946166885389328"/>
                      <c:h val="0.19187513670166234"/>
                    </c:manualLayout>
                  </c15:layout>
                  <c15:dlblFieldTable/>
                  <c15:showDataLabelsRange val="0"/>
                </c:ext>
                <c:ext xmlns:c16="http://schemas.microsoft.com/office/drawing/2014/chart" uri="{C3380CC4-5D6E-409C-BE32-E72D297353CC}">
                  <c16:uniqueId val="{00000003-E19B-4D01-9035-405617E83BDB}"/>
                </c:ext>
              </c:extLst>
            </c:dLbl>
            <c:dLbl>
              <c:idx val="2"/>
              <c:layout>
                <c:manualLayout>
                  <c:x val="0.2191770218175853"/>
                  <c:y val="2.3943296150481189E-3"/>
                </c:manualLayout>
              </c:layout>
              <c:tx>
                <c:rich>
                  <a:bodyPr rot="0" spcFirstLastPara="1" vertOverflow="ellipsis" vert="horz" wrap="square" lIns="38100" tIns="19050" rIns="38100" bIns="19050" anchor="ctr" anchorCtr="1">
                    <a:noAutofit/>
                  </a:bodyPr>
                  <a:lstStyle/>
                  <a:p>
                    <a:pPr>
                      <a:defRPr sz="1600" b="1" i="0" u="none" strike="noStrike" kern="1200" baseline="0">
                        <a:solidFill>
                          <a:sysClr val="windowText" lastClr="000000"/>
                        </a:solidFill>
                        <a:effectLst>
                          <a:glow rad="101600">
                            <a:schemeClr val="bg1">
                              <a:alpha val="60000"/>
                            </a:schemeClr>
                          </a:glow>
                        </a:effectLst>
                        <a:latin typeface="Tw Cen MT" panose="020B0602020104020603" pitchFamily="34" charset="0"/>
                        <a:ea typeface="+mn-ea"/>
                        <a:cs typeface="+mn-cs"/>
                      </a:defRPr>
                    </a:pPr>
                    <a:endParaRPr lang="en-US">
                      <a:effectLst>
                        <a:glow rad="101600">
                          <a:schemeClr val="bg1">
                            <a:alpha val="60000"/>
                          </a:schemeClr>
                        </a:glow>
                      </a:effectLst>
                    </a:endParaRPr>
                  </a:p>
                  <a:p>
                    <a:pPr>
                      <a:defRPr sz="1600" b="1">
                        <a:solidFill>
                          <a:sysClr val="windowText" lastClr="000000"/>
                        </a:solidFill>
                        <a:effectLst>
                          <a:glow rad="101600">
                            <a:schemeClr val="bg1">
                              <a:alpha val="60000"/>
                            </a:schemeClr>
                          </a:glow>
                        </a:effectLst>
                      </a:defRPr>
                    </a:pPr>
                    <a:r>
                      <a:rPr lang="en-US">
                        <a:effectLst>
                          <a:glow rad="101600">
                            <a:schemeClr val="bg1">
                              <a:alpha val="60000"/>
                            </a:schemeClr>
                          </a:glow>
                        </a:effectLst>
                      </a:rPr>
                      <a:t>Rest of NH</a:t>
                    </a:r>
                  </a:p>
                  <a:p>
                    <a:pPr>
                      <a:defRPr sz="1600" b="1">
                        <a:solidFill>
                          <a:sysClr val="windowText" lastClr="000000"/>
                        </a:solidFill>
                        <a:effectLst>
                          <a:glow rad="101600">
                            <a:schemeClr val="bg1">
                              <a:alpha val="60000"/>
                            </a:schemeClr>
                          </a:glow>
                        </a:effectLst>
                      </a:defRPr>
                    </a:pPr>
                    <a:fld id="{DCEB342F-858C-461A-A75E-6F655001F4E0}" type="VALUE">
                      <a:rPr lang="en-US">
                        <a:effectLst>
                          <a:glow rad="101600">
                            <a:schemeClr val="bg1">
                              <a:alpha val="60000"/>
                            </a:schemeClr>
                          </a:glow>
                        </a:effectLst>
                      </a:rPr>
                      <a:pPr>
                        <a:defRPr sz="1600" b="1">
                          <a:solidFill>
                            <a:sysClr val="windowText" lastClr="000000"/>
                          </a:solidFill>
                          <a:effectLst>
                            <a:glow rad="101600">
                              <a:schemeClr val="bg1">
                                <a:alpha val="60000"/>
                              </a:schemeClr>
                            </a:glow>
                          </a:effectLst>
                        </a:defRPr>
                      </a:pPr>
                      <a:t>[VALUE]</a:t>
                    </a:fld>
                    <a:endParaRPr lang="en-US"/>
                  </a:p>
                </c:rich>
              </c:tx>
              <c:spPr>
                <a:noFill/>
                <a:ln>
                  <a:noFill/>
                </a:ln>
                <a:effectLst/>
              </c:spPr>
              <c:txPr>
                <a:bodyPr rot="0" spcFirstLastPara="1" vertOverflow="ellipsis" vert="horz" wrap="square" lIns="38100" tIns="19050" rIns="38100" bIns="19050" anchor="ctr" anchorCtr="1">
                  <a:noAutofit/>
                </a:bodyPr>
                <a:lstStyle/>
                <a:p>
                  <a:pPr>
                    <a:defRPr sz="1600" b="1" i="0" u="none" strike="noStrike" kern="1200" baseline="0">
                      <a:solidFill>
                        <a:sysClr val="windowText" lastClr="000000"/>
                      </a:solidFill>
                      <a:effectLst>
                        <a:glow rad="101600">
                          <a:schemeClr val="bg1">
                            <a:alpha val="60000"/>
                          </a:schemeClr>
                        </a:glow>
                      </a:effectLst>
                      <a:latin typeface="Tw Cen MT" panose="020B0602020104020603"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30833333333333329"/>
                      <c:h val="0.31545138888888891"/>
                    </c:manualLayout>
                  </c15:layout>
                  <c15:dlblFieldTable/>
                  <c15:showDataLabelsRange val="0"/>
                </c:ext>
                <c:ext xmlns:c16="http://schemas.microsoft.com/office/drawing/2014/chart" uri="{C3380CC4-5D6E-409C-BE32-E72D297353CC}">
                  <c16:uniqueId val="{00000005-E19B-4D01-9035-405617E83BDB}"/>
                </c:ext>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ysClr val="windowText" lastClr="000000"/>
                    </a:solidFill>
                    <a:latin typeface="Tw Cen MT" panose="020B0602020104020603" pitchFamily="34" charset="0"/>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'21-IV(B)(1)-Homeless Population'!$M$4:$M$6</c:f>
              <c:strCache>
                <c:ptCount val="3"/>
                <c:pt idx="0">
                  <c:v>Manchester</c:v>
                </c:pt>
                <c:pt idx="1">
                  <c:v>Nashua</c:v>
                </c:pt>
                <c:pt idx="2">
                  <c:v>Rest of State</c:v>
                </c:pt>
              </c:strCache>
            </c:strRef>
          </c:cat>
          <c:val>
            <c:numRef>
              <c:f>'21-IV(B)(1)-Homeless Population'!$O$4:$O$6</c:f>
              <c:numCache>
                <c:formatCode>0%</c:formatCode>
                <c:ptCount val="3"/>
                <c:pt idx="0">
                  <c:v>0.33724045545880776</c:v>
                </c:pt>
                <c:pt idx="1">
                  <c:v>0.18084393837910248</c:v>
                </c:pt>
                <c:pt idx="2">
                  <c:v>0.48191560616208973</c:v>
                </c:pt>
              </c:numCache>
            </c:numRef>
          </c:val>
          <c:extLst>
            <c:ext xmlns:c16="http://schemas.microsoft.com/office/drawing/2014/chart" uri="{C3380CC4-5D6E-409C-BE32-E72D297353CC}">
              <c16:uniqueId val="{00000006-E19B-4D01-9035-405617E83BDB}"/>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w Cen MT" panose="020B0602020104020603" pitchFamily="34" charset="0"/>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Low Income</a:t>
            </a:r>
            <a:r>
              <a:rPr lang="en-US" baseline="0"/>
              <a:t> Housing</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CBA3-4732-8150-347BC2E7CCA2}"/>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CBA3-4732-8150-347BC2E7CCA2}"/>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CBA3-4732-8150-347BC2E7CCA2}"/>
              </c:ext>
            </c:extLst>
          </c:dPt>
          <c:dPt>
            <c:idx val="3"/>
            <c:bubble3D val="0"/>
            <c:spPr>
              <a:solidFill>
                <a:srgbClr val="FF5050"/>
              </a:solidFill>
              <a:ln w="19050">
                <a:solidFill>
                  <a:schemeClr val="lt1"/>
                </a:solidFill>
              </a:ln>
              <a:effectLst/>
            </c:spPr>
            <c:extLst>
              <c:ext xmlns:c16="http://schemas.microsoft.com/office/drawing/2014/chart" uri="{C3380CC4-5D6E-409C-BE32-E72D297353CC}">
                <c16:uniqueId val="{00000007-CBA3-4732-8150-347BC2E7CCA2}"/>
              </c:ext>
            </c:extLst>
          </c:dPt>
          <c:dPt>
            <c:idx val="4"/>
            <c:bubble3D val="0"/>
            <c:spPr>
              <a:solidFill>
                <a:srgbClr val="C00000"/>
              </a:solidFill>
              <a:ln w="19050">
                <a:solidFill>
                  <a:schemeClr val="lt1"/>
                </a:solidFill>
              </a:ln>
              <a:effectLst/>
            </c:spPr>
            <c:extLst>
              <c:ext xmlns:c16="http://schemas.microsoft.com/office/drawing/2014/chart" uri="{C3380CC4-5D6E-409C-BE32-E72D297353CC}">
                <c16:uniqueId val="{00000009-CBA3-4732-8150-347BC2E7CCA2}"/>
              </c:ext>
            </c:extLst>
          </c:dPt>
          <c:dLbls>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1"/>
              <c:showSerName val="0"/>
              <c:showPercent val="1"/>
              <c:showBubbleSize val="0"/>
              <c:extLst>
                <c:ext xmlns:c16="http://schemas.microsoft.com/office/drawing/2014/chart" uri="{C3380CC4-5D6E-409C-BE32-E72D297353CC}">
                  <c16:uniqueId val="{00000009-CBA3-4732-8150-347BC2E7CC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Sheet1!$T$8:$X$8</c:f>
              <c:strCache>
                <c:ptCount val="5"/>
                <c:pt idx="0">
                  <c:v>Strongly Agree</c:v>
                </c:pt>
                <c:pt idx="1">
                  <c:v>Agree</c:v>
                </c:pt>
                <c:pt idx="2">
                  <c:v>Neutral</c:v>
                </c:pt>
                <c:pt idx="3">
                  <c:v>Disagree</c:v>
                </c:pt>
                <c:pt idx="4">
                  <c:v>Strongly Disagree</c:v>
                </c:pt>
              </c:strCache>
            </c:strRef>
          </c:cat>
          <c:val>
            <c:numRef>
              <c:f>Sheet1!$T$9:$X$9</c:f>
              <c:numCache>
                <c:formatCode>General</c:formatCode>
                <c:ptCount val="5"/>
                <c:pt idx="0">
                  <c:v>173</c:v>
                </c:pt>
                <c:pt idx="1">
                  <c:v>114</c:v>
                </c:pt>
                <c:pt idx="2">
                  <c:v>51</c:v>
                </c:pt>
                <c:pt idx="3">
                  <c:v>36</c:v>
                </c:pt>
                <c:pt idx="4">
                  <c:v>67</c:v>
                </c:pt>
              </c:numCache>
            </c:numRef>
          </c:val>
          <c:extLst>
            <c:ext xmlns:c16="http://schemas.microsoft.com/office/drawing/2014/chart" uri="{C3380CC4-5D6E-409C-BE32-E72D297353CC}">
              <c16:uniqueId val="{0000000A-CBA3-4732-8150-347BC2E7CCA2}"/>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Senior Housing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9538-4348-955B-830B5D24316E}"/>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9538-4348-955B-830B5D24316E}"/>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9538-4348-955B-830B5D24316E}"/>
              </c:ext>
            </c:extLst>
          </c:dPt>
          <c:dPt>
            <c:idx val="3"/>
            <c:bubble3D val="0"/>
            <c:spPr>
              <a:solidFill>
                <a:srgbClr val="FF5050"/>
              </a:solidFill>
              <a:ln w="19050">
                <a:solidFill>
                  <a:schemeClr val="lt1"/>
                </a:solidFill>
              </a:ln>
              <a:effectLst/>
            </c:spPr>
            <c:extLst>
              <c:ext xmlns:c16="http://schemas.microsoft.com/office/drawing/2014/chart" uri="{C3380CC4-5D6E-409C-BE32-E72D297353CC}">
                <c16:uniqueId val="{00000007-9538-4348-955B-830B5D24316E}"/>
              </c:ext>
            </c:extLst>
          </c:dPt>
          <c:dPt>
            <c:idx val="4"/>
            <c:bubble3D val="0"/>
            <c:spPr>
              <a:solidFill>
                <a:srgbClr val="C00000"/>
              </a:solidFill>
              <a:ln w="19050">
                <a:solidFill>
                  <a:schemeClr val="lt1"/>
                </a:solidFill>
              </a:ln>
              <a:effectLst/>
            </c:spPr>
            <c:extLst>
              <c:ext xmlns:c16="http://schemas.microsoft.com/office/drawing/2014/chart" uri="{C3380CC4-5D6E-409C-BE32-E72D297353CC}">
                <c16:uniqueId val="{00000009-9538-4348-955B-830B5D24316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Sheet1!$Z$5:$AD$5</c:f>
              <c:strCache>
                <c:ptCount val="5"/>
                <c:pt idx="0">
                  <c:v>Strongly Agree</c:v>
                </c:pt>
                <c:pt idx="1">
                  <c:v>Agree</c:v>
                </c:pt>
                <c:pt idx="2">
                  <c:v>Neutral</c:v>
                </c:pt>
                <c:pt idx="3">
                  <c:v>Disagree</c:v>
                </c:pt>
                <c:pt idx="4">
                  <c:v>Strongly Disagree</c:v>
                </c:pt>
              </c:strCache>
            </c:strRef>
          </c:cat>
          <c:val>
            <c:numRef>
              <c:f>Sheet1!$Z$6:$AD$6</c:f>
              <c:numCache>
                <c:formatCode>General</c:formatCode>
                <c:ptCount val="5"/>
                <c:pt idx="0">
                  <c:v>138</c:v>
                </c:pt>
                <c:pt idx="1">
                  <c:v>137</c:v>
                </c:pt>
                <c:pt idx="2">
                  <c:v>85</c:v>
                </c:pt>
                <c:pt idx="3">
                  <c:v>33</c:v>
                </c:pt>
                <c:pt idx="4">
                  <c:v>38</c:v>
                </c:pt>
              </c:numCache>
            </c:numRef>
          </c:val>
          <c:extLst>
            <c:ext xmlns:c16="http://schemas.microsoft.com/office/drawing/2014/chart" uri="{C3380CC4-5D6E-409C-BE32-E72D297353CC}">
              <c16:uniqueId val="{0000000A-9538-4348-955B-830B5D24316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ln>
                  <a:noFill/>
                </a:ln>
                <a:solidFill>
                  <a:schemeClr val="tx1">
                    <a:lumMod val="65000"/>
                    <a:lumOff val="35000"/>
                  </a:schemeClr>
                </a:solidFill>
                <a:latin typeface="+mn-lt"/>
                <a:ea typeface="+mn-ea"/>
                <a:cs typeface="+mn-cs"/>
              </a:defRPr>
            </a:pPr>
            <a:r>
              <a:rPr lang="en-US"/>
              <a:t>Housing with supportive services (such as mental wellness care, job training, dormitory, etc.) </a:t>
            </a:r>
          </a:p>
        </c:rich>
      </c:tx>
      <c:overlay val="0"/>
      <c:spPr>
        <a:noFill/>
        <a:ln>
          <a:noFill/>
        </a:ln>
        <a:effectLst/>
      </c:spPr>
      <c:txPr>
        <a:bodyPr rot="0" spcFirstLastPara="1" vertOverflow="ellipsis" vert="horz" wrap="square" anchor="ctr" anchorCtr="1"/>
        <a:lstStyle/>
        <a:p>
          <a:pPr>
            <a:defRPr sz="1400" b="0" i="0" u="none" strike="noStrike" kern="1200" spc="0" baseline="0">
              <a:ln>
                <a:noFill/>
              </a:ln>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F120-46A5-8845-42082B40AF3F}"/>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F120-46A5-8845-42082B40AF3F}"/>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F120-46A5-8845-42082B40AF3F}"/>
              </c:ext>
            </c:extLst>
          </c:dPt>
          <c:dPt>
            <c:idx val="3"/>
            <c:bubble3D val="0"/>
            <c:spPr>
              <a:solidFill>
                <a:srgbClr val="FF5050"/>
              </a:solidFill>
              <a:ln w="19050">
                <a:solidFill>
                  <a:schemeClr val="lt1"/>
                </a:solidFill>
              </a:ln>
              <a:effectLst/>
            </c:spPr>
            <c:extLst>
              <c:ext xmlns:c16="http://schemas.microsoft.com/office/drawing/2014/chart" uri="{C3380CC4-5D6E-409C-BE32-E72D297353CC}">
                <c16:uniqueId val="{00000007-F120-46A5-8845-42082B40AF3F}"/>
              </c:ext>
            </c:extLst>
          </c:dPt>
          <c:dPt>
            <c:idx val="4"/>
            <c:bubble3D val="0"/>
            <c:spPr>
              <a:solidFill>
                <a:srgbClr val="C00000"/>
              </a:solidFill>
              <a:ln w="19050">
                <a:solidFill>
                  <a:schemeClr val="lt1"/>
                </a:solidFill>
              </a:ln>
              <a:effectLst/>
            </c:spPr>
            <c:extLst>
              <c:ext xmlns:c16="http://schemas.microsoft.com/office/drawing/2014/chart" uri="{C3380CC4-5D6E-409C-BE32-E72D297353CC}">
                <c16:uniqueId val="{00000009-F120-46A5-8845-42082B40AF3F}"/>
              </c:ext>
            </c:extLst>
          </c:dPt>
          <c:dLbls>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Sheet1!$Z$11:$AD$11</c:f>
              <c:strCache>
                <c:ptCount val="5"/>
                <c:pt idx="0">
                  <c:v>Strongly Agree</c:v>
                </c:pt>
                <c:pt idx="1">
                  <c:v>Agree</c:v>
                </c:pt>
                <c:pt idx="2">
                  <c:v>Neutral</c:v>
                </c:pt>
                <c:pt idx="3">
                  <c:v>Disagree</c:v>
                </c:pt>
                <c:pt idx="4">
                  <c:v>Strongly Disagree</c:v>
                </c:pt>
              </c:strCache>
            </c:strRef>
          </c:cat>
          <c:val>
            <c:numRef>
              <c:f>Sheet1!$Z$12:$AD$12</c:f>
              <c:numCache>
                <c:formatCode>General</c:formatCode>
                <c:ptCount val="5"/>
                <c:pt idx="0">
                  <c:v>97</c:v>
                </c:pt>
                <c:pt idx="1">
                  <c:v>98</c:v>
                </c:pt>
                <c:pt idx="2">
                  <c:v>114</c:v>
                </c:pt>
                <c:pt idx="3">
                  <c:v>51</c:v>
                </c:pt>
                <c:pt idx="4">
                  <c:v>52</c:v>
                </c:pt>
              </c:numCache>
            </c:numRef>
          </c:val>
          <c:extLst>
            <c:ext xmlns:c16="http://schemas.microsoft.com/office/drawing/2014/chart" uri="{C3380CC4-5D6E-409C-BE32-E72D297353CC}">
              <c16:uniqueId val="{0000000A-F120-46A5-8845-42082B40AF3F}"/>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n>
            <a:noFill/>
          </a:ln>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spc="0" baseline="0">
                <a:solidFill>
                  <a:schemeClr val="tx1">
                    <a:lumMod val="65000"/>
                    <a:lumOff val="35000"/>
                  </a:schemeClr>
                </a:solidFill>
                <a:latin typeface="Tw Cen MT" panose="020B0602020104020603" pitchFamily="34" charset="0"/>
                <a:ea typeface="+mn-ea"/>
                <a:cs typeface="+mn-cs"/>
              </a:defRPr>
            </a:pPr>
            <a:r>
              <a:rPr lang="en-US" sz="1800">
                <a:solidFill>
                  <a:schemeClr val="tx1">
                    <a:lumMod val="75000"/>
                    <a:lumOff val="25000"/>
                  </a:schemeClr>
                </a:solidFill>
              </a:rPr>
              <a:t>As a % of NH's</a:t>
            </a:r>
            <a:r>
              <a:rPr lang="en-US" sz="1800" baseline="0">
                <a:solidFill>
                  <a:schemeClr val="tx1">
                    <a:lumMod val="75000"/>
                    <a:lumOff val="25000"/>
                  </a:schemeClr>
                </a:solidFill>
              </a:rPr>
              <a:t> Total Population</a:t>
            </a:r>
            <a:br>
              <a:rPr lang="en-US" sz="1600" baseline="0">
                <a:solidFill>
                  <a:schemeClr val="tx1">
                    <a:lumMod val="75000"/>
                    <a:lumOff val="25000"/>
                  </a:schemeClr>
                </a:solidFill>
              </a:rPr>
            </a:br>
            <a:r>
              <a:rPr lang="en-US" sz="1600" baseline="0">
                <a:solidFill>
                  <a:schemeClr val="tx1">
                    <a:lumMod val="75000"/>
                    <a:lumOff val="25000"/>
                  </a:schemeClr>
                </a:solidFill>
              </a:rPr>
              <a:t>(2020)</a:t>
            </a:r>
            <a:endParaRPr lang="en-US" sz="1600">
              <a:solidFill>
                <a:schemeClr val="tx1">
                  <a:lumMod val="75000"/>
                  <a:lumOff val="25000"/>
                </a:schemeClr>
              </a:solidFill>
            </a:endParaRPr>
          </a:p>
        </c:rich>
      </c:tx>
      <c:overlay val="0"/>
      <c:spPr>
        <a:noFill/>
        <a:ln>
          <a:noFill/>
        </a:ln>
        <a:effectLst/>
      </c:spPr>
      <c:txPr>
        <a:bodyPr rot="0" spcFirstLastPara="1" vertOverflow="ellipsis" vert="horz" wrap="square" anchor="ctr" anchorCtr="1"/>
        <a:lstStyle/>
        <a:p>
          <a:pPr>
            <a:defRPr sz="2000" b="0" i="0" u="none" strike="noStrike" kern="1200" spc="0" baseline="0">
              <a:solidFill>
                <a:schemeClr val="tx1">
                  <a:lumMod val="65000"/>
                  <a:lumOff val="35000"/>
                </a:schemeClr>
              </a:solidFill>
              <a:latin typeface="Tw Cen MT" panose="020B0602020104020603" pitchFamily="34" charset="0"/>
              <a:ea typeface="+mn-ea"/>
              <a:cs typeface="+mn-cs"/>
            </a:defRPr>
          </a:pPr>
          <a:endParaRPr lang="en-US"/>
        </a:p>
      </c:txPr>
    </c:title>
    <c:autoTitleDeleted val="0"/>
    <c:plotArea>
      <c:layout/>
      <c:pieChart>
        <c:varyColors val="1"/>
        <c:ser>
          <c:idx val="0"/>
          <c:order val="0"/>
          <c:dPt>
            <c:idx val="0"/>
            <c:bubble3D val="0"/>
            <c:spPr>
              <a:solidFill>
                <a:srgbClr val="ED7D31"/>
              </a:solidFill>
              <a:ln w="19050">
                <a:solidFill>
                  <a:schemeClr val="lt1"/>
                </a:solidFill>
              </a:ln>
              <a:effectLst/>
            </c:spPr>
            <c:extLst>
              <c:ext xmlns:c16="http://schemas.microsoft.com/office/drawing/2014/chart" uri="{C3380CC4-5D6E-409C-BE32-E72D297353CC}">
                <c16:uniqueId val="{00000001-1571-4D09-800F-11830D58C4FE}"/>
              </c:ext>
            </c:extLst>
          </c:dPt>
          <c:dPt>
            <c:idx val="1"/>
            <c:bubble3D val="0"/>
            <c:spPr>
              <a:solidFill>
                <a:srgbClr val="A5A5A5"/>
              </a:solidFill>
              <a:ln w="19050">
                <a:solidFill>
                  <a:schemeClr val="lt1"/>
                </a:solidFill>
              </a:ln>
              <a:effectLst/>
            </c:spPr>
            <c:extLst>
              <c:ext xmlns:c16="http://schemas.microsoft.com/office/drawing/2014/chart" uri="{C3380CC4-5D6E-409C-BE32-E72D297353CC}">
                <c16:uniqueId val="{00000003-1571-4D09-800F-11830D58C4FE}"/>
              </c:ext>
            </c:extLst>
          </c:dPt>
          <c:dPt>
            <c:idx val="2"/>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5-1571-4D09-800F-11830D58C4FE}"/>
              </c:ext>
            </c:extLst>
          </c:dPt>
          <c:dLbls>
            <c:dLbl>
              <c:idx val="0"/>
              <c:layout>
                <c:manualLayout>
                  <c:x val="-0.21480796833989504"/>
                  <c:y val="0.12524056075021867"/>
                </c:manualLayout>
              </c:layout>
              <c:tx>
                <c:rich>
                  <a:bodyPr rot="0" spcFirstLastPara="1" vertOverflow="ellipsis" vert="horz" wrap="square" lIns="38100" tIns="19050" rIns="38100" bIns="19050" anchor="ctr" anchorCtr="1">
                    <a:noAutofit/>
                  </a:bodyPr>
                  <a:lstStyle/>
                  <a:p>
                    <a:pPr>
                      <a:defRPr sz="1600" b="1" i="0" u="none" strike="noStrike" kern="1200" baseline="0">
                        <a:solidFill>
                          <a:sysClr val="windowText" lastClr="000000"/>
                        </a:solidFill>
                        <a:effectLst>
                          <a:glow rad="101600">
                            <a:schemeClr val="bg1">
                              <a:alpha val="60000"/>
                            </a:schemeClr>
                          </a:glow>
                        </a:effectLst>
                        <a:latin typeface="Tw Cen MT" panose="020B0602020104020603" pitchFamily="34" charset="0"/>
                        <a:ea typeface="+mn-ea"/>
                        <a:cs typeface="+mn-cs"/>
                      </a:defRPr>
                    </a:pPr>
                    <a:r>
                      <a:rPr lang="en-US">
                        <a:solidFill>
                          <a:sysClr val="windowText" lastClr="000000"/>
                        </a:solidFill>
                        <a:effectLst>
                          <a:glow rad="101600">
                            <a:schemeClr val="bg1">
                              <a:alpha val="60000"/>
                            </a:schemeClr>
                          </a:glow>
                        </a:effectLst>
                      </a:rPr>
                      <a:t>Manchester </a:t>
                    </a:r>
                    <a:fld id="{5A206D3D-CA71-4561-ADD7-043CD8716F5A}" type="VALUE">
                      <a:rPr lang="en-US">
                        <a:solidFill>
                          <a:sysClr val="windowText" lastClr="000000"/>
                        </a:solidFill>
                        <a:effectLst>
                          <a:glow rad="101600">
                            <a:schemeClr val="bg1">
                              <a:alpha val="60000"/>
                            </a:schemeClr>
                          </a:glow>
                        </a:effectLst>
                      </a:rPr>
                      <a:pPr>
                        <a:defRPr sz="1600" b="1">
                          <a:solidFill>
                            <a:sysClr val="windowText" lastClr="000000"/>
                          </a:solidFill>
                          <a:effectLst>
                            <a:glow rad="101600">
                              <a:schemeClr val="bg1">
                                <a:alpha val="60000"/>
                              </a:schemeClr>
                            </a:glow>
                          </a:effectLst>
                        </a:defRPr>
                      </a:pPr>
                      <a:t>[VALUE]</a:t>
                    </a:fld>
                    <a:endParaRPr lang="en-US">
                      <a:solidFill>
                        <a:sysClr val="windowText" lastClr="000000"/>
                      </a:solidFill>
                      <a:effectLst>
                        <a:glow rad="101600">
                          <a:schemeClr val="bg1">
                            <a:alpha val="60000"/>
                          </a:schemeClr>
                        </a:glow>
                      </a:effectLst>
                    </a:endParaRPr>
                  </a:p>
                </c:rich>
              </c:tx>
              <c:spPr>
                <a:noFill/>
                <a:ln>
                  <a:noFill/>
                </a:ln>
                <a:effectLst/>
              </c:spPr>
              <c:txPr>
                <a:bodyPr rot="0" spcFirstLastPara="1" vertOverflow="ellipsis" vert="horz" wrap="square" lIns="38100" tIns="19050" rIns="38100" bIns="19050" anchor="ctr" anchorCtr="1">
                  <a:noAutofit/>
                </a:bodyPr>
                <a:lstStyle/>
                <a:p>
                  <a:pPr>
                    <a:defRPr sz="1600" b="1" i="0" u="none" strike="noStrike" kern="1200" baseline="0">
                      <a:solidFill>
                        <a:sysClr val="windowText" lastClr="000000"/>
                      </a:solidFill>
                      <a:effectLst>
                        <a:glow rad="101600">
                          <a:schemeClr val="bg1">
                            <a:alpha val="60000"/>
                          </a:schemeClr>
                        </a:glow>
                      </a:effectLst>
                      <a:latin typeface="Tw Cen MT" panose="020B0602020104020603"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39049991797900263"/>
                      <c:h val="0.19191648895450564"/>
                    </c:manualLayout>
                  </c15:layout>
                  <c15:dlblFieldTable/>
                  <c15:showDataLabelsRange val="0"/>
                </c:ext>
                <c:ext xmlns:c16="http://schemas.microsoft.com/office/drawing/2014/chart" uri="{C3380CC4-5D6E-409C-BE32-E72D297353CC}">
                  <c16:uniqueId val="{00000001-1571-4D09-800F-11830D58C4FE}"/>
                </c:ext>
              </c:extLst>
            </c:dLbl>
            <c:dLbl>
              <c:idx val="1"/>
              <c:layout>
                <c:manualLayout>
                  <c:x val="-9.4322096456692997E-2"/>
                  <c:y val="0.21366264763779519"/>
                </c:manualLayout>
              </c:layout>
              <c:tx>
                <c:rich>
                  <a:bodyPr rot="0" spcFirstLastPara="1" vertOverflow="ellipsis" vert="horz" wrap="square" lIns="38100" tIns="19050" rIns="38100" bIns="19050" anchor="ctr" anchorCtr="1">
                    <a:noAutofit/>
                  </a:bodyPr>
                  <a:lstStyle/>
                  <a:p>
                    <a:pPr>
                      <a:defRPr sz="1600" b="1" i="0" u="none" strike="noStrike" kern="1200" baseline="0">
                        <a:solidFill>
                          <a:sysClr val="windowText" lastClr="000000"/>
                        </a:solidFill>
                        <a:effectLst>
                          <a:glow rad="101600">
                            <a:schemeClr val="bg1">
                              <a:alpha val="60000"/>
                            </a:schemeClr>
                          </a:glow>
                        </a:effectLst>
                        <a:latin typeface="Tw Cen MT" panose="020B0602020104020603" pitchFamily="34" charset="0"/>
                        <a:ea typeface="+mn-ea"/>
                        <a:cs typeface="+mn-cs"/>
                      </a:defRPr>
                    </a:pPr>
                    <a:r>
                      <a:rPr lang="en-US">
                        <a:effectLst>
                          <a:glow rad="101600">
                            <a:schemeClr val="bg1">
                              <a:alpha val="60000"/>
                            </a:schemeClr>
                          </a:glow>
                        </a:effectLst>
                      </a:rPr>
                      <a:t>Nashua</a:t>
                    </a:r>
                  </a:p>
                  <a:p>
                    <a:pPr>
                      <a:defRPr sz="1600" b="1">
                        <a:solidFill>
                          <a:sysClr val="windowText" lastClr="000000"/>
                        </a:solidFill>
                        <a:effectLst>
                          <a:glow rad="101600">
                            <a:schemeClr val="bg1">
                              <a:alpha val="60000"/>
                            </a:schemeClr>
                          </a:glow>
                        </a:effectLst>
                      </a:defRPr>
                    </a:pPr>
                    <a:fld id="{3622EAB3-2EAA-40E3-B085-1ED2F60FD767}" type="VALUE">
                      <a:rPr lang="en-US">
                        <a:effectLst>
                          <a:glow rad="101600">
                            <a:schemeClr val="bg1">
                              <a:alpha val="60000"/>
                            </a:schemeClr>
                          </a:glow>
                        </a:effectLst>
                      </a:rPr>
                      <a:pPr>
                        <a:defRPr sz="1600" b="1">
                          <a:solidFill>
                            <a:sysClr val="windowText" lastClr="000000"/>
                          </a:solidFill>
                          <a:effectLst>
                            <a:glow rad="101600">
                              <a:schemeClr val="bg1">
                                <a:alpha val="60000"/>
                              </a:schemeClr>
                            </a:glow>
                          </a:effectLst>
                        </a:defRPr>
                      </a:pPr>
                      <a:t>[VALUE]</a:t>
                    </a:fld>
                    <a:endParaRPr lang="en-US"/>
                  </a:p>
                </c:rich>
              </c:tx>
              <c:spPr>
                <a:noFill/>
                <a:ln>
                  <a:noFill/>
                </a:ln>
                <a:effectLst/>
              </c:spPr>
              <c:txPr>
                <a:bodyPr rot="0" spcFirstLastPara="1" vertOverflow="ellipsis" vert="horz" wrap="square" lIns="38100" tIns="19050" rIns="38100" bIns="19050" anchor="ctr" anchorCtr="1">
                  <a:noAutofit/>
                </a:bodyPr>
                <a:lstStyle/>
                <a:p>
                  <a:pPr>
                    <a:defRPr sz="1600" b="1" i="0" u="none" strike="noStrike" kern="1200" baseline="0">
                      <a:solidFill>
                        <a:sysClr val="windowText" lastClr="000000"/>
                      </a:solidFill>
                      <a:effectLst>
                        <a:glow rad="101600">
                          <a:schemeClr val="bg1">
                            <a:alpha val="60000"/>
                          </a:schemeClr>
                        </a:glow>
                      </a:effectLst>
                      <a:latin typeface="Tw Cen MT" panose="020B0602020104020603"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604686132983377"/>
                      <c:h val="0.25697930336832897"/>
                    </c:manualLayout>
                  </c15:layout>
                  <c15:dlblFieldTable/>
                  <c15:showDataLabelsRange val="0"/>
                </c:ext>
                <c:ext xmlns:c16="http://schemas.microsoft.com/office/drawing/2014/chart" uri="{C3380CC4-5D6E-409C-BE32-E72D297353CC}">
                  <c16:uniqueId val="{00000003-1571-4D09-800F-11830D58C4FE}"/>
                </c:ext>
              </c:extLst>
            </c:dLbl>
            <c:dLbl>
              <c:idx val="2"/>
              <c:layout>
                <c:manualLayout>
                  <c:x val="0.12541694006999121"/>
                  <c:y val="-0.16507614282589678"/>
                </c:manualLayout>
              </c:layout>
              <c:tx>
                <c:rich>
                  <a:bodyPr rot="0" spcFirstLastPara="1" vertOverflow="ellipsis" vert="horz" wrap="square" lIns="38100" tIns="19050" rIns="38100" bIns="19050" anchor="ctr" anchorCtr="1">
                    <a:spAutoFit/>
                  </a:bodyPr>
                  <a:lstStyle/>
                  <a:p>
                    <a:pPr>
                      <a:defRPr sz="1600" b="1" i="0" u="none" strike="noStrike" kern="1200" baseline="0">
                        <a:solidFill>
                          <a:sysClr val="windowText" lastClr="000000"/>
                        </a:solidFill>
                        <a:effectLst>
                          <a:glow rad="63500">
                            <a:schemeClr val="bg1">
                              <a:alpha val="80000"/>
                            </a:schemeClr>
                          </a:glow>
                        </a:effectLst>
                        <a:latin typeface="Tw Cen MT" panose="020B0602020104020603" pitchFamily="34" charset="0"/>
                        <a:ea typeface="+mn-ea"/>
                        <a:cs typeface="+mn-cs"/>
                      </a:defRPr>
                    </a:pPr>
                    <a:r>
                      <a:rPr lang="en-US">
                        <a:effectLst>
                          <a:glow rad="101600">
                            <a:schemeClr val="bg1">
                              <a:alpha val="60000"/>
                            </a:schemeClr>
                          </a:glow>
                        </a:effectLst>
                      </a:rPr>
                      <a:t>Rest of NH</a:t>
                    </a:r>
                    <a:br>
                      <a:rPr lang="en-US">
                        <a:effectLst>
                          <a:glow rad="101600">
                            <a:schemeClr val="bg1">
                              <a:alpha val="60000"/>
                            </a:schemeClr>
                          </a:glow>
                        </a:effectLst>
                      </a:rPr>
                    </a:br>
                    <a:fld id="{703A8AF1-97C7-45D8-ACC4-C4C755144414}" type="VALUE">
                      <a:rPr lang="en-US">
                        <a:effectLst>
                          <a:glow rad="101600">
                            <a:schemeClr val="bg1">
                              <a:alpha val="60000"/>
                            </a:schemeClr>
                          </a:glow>
                        </a:effectLst>
                      </a:rPr>
                      <a:pPr>
                        <a:defRPr sz="1600" b="1">
                          <a:solidFill>
                            <a:sysClr val="windowText" lastClr="000000"/>
                          </a:solidFill>
                          <a:effectLst>
                            <a:glow rad="63500">
                              <a:schemeClr val="bg1">
                                <a:alpha val="80000"/>
                              </a:schemeClr>
                            </a:glow>
                          </a:effectLst>
                        </a:defRPr>
                      </a:pPr>
                      <a:t>[VALUE]</a:t>
                    </a:fld>
                    <a:endParaRPr lang="en-US">
                      <a:effectLst>
                        <a:glow rad="101600">
                          <a:schemeClr val="bg1">
                            <a:alpha val="60000"/>
                          </a:schemeClr>
                        </a:glow>
                      </a:effectLst>
                    </a:endParaRPr>
                  </a:p>
                </c:rich>
              </c:tx>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ysClr val="windowText" lastClr="000000"/>
                      </a:solidFill>
                      <a:effectLst>
                        <a:glow rad="63500">
                          <a:schemeClr val="bg1">
                            <a:alpha val="80000"/>
                          </a:schemeClr>
                        </a:glow>
                      </a:effectLst>
                      <a:latin typeface="Tw Cen MT" panose="020B0602020104020603"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571-4D09-800F-11830D58C4FE}"/>
                </c:ext>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ysClr val="windowText" lastClr="000000"/>
                    </a:solidFill>
                    <a:latin typeface="Tw Cen MT" panose="020B0602020104020603"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extLst>
          </c:dLbls>
          <c:cat>
            <c:strRef>
              <c:f>'21-IV(B)(1)-Homeless Population'!$M$4:$M$6</c:f>
              <c:strCache>
                <c:ptCount val="3"/>
                <c:pt idx="0">
                  <c:v>Manchester</c:v>
                </c:pt>
                <c:pt idx="1">
                  <c:v>Nashua</c:v>
                </c:pt>
                <c:pt idx="2">
                  <c:v>Rest of State</c:v>
                </c:pt>
              </c:strCache>
            </c:strRef>
          </c:cat>
          <c:val>
            <c:numRef>
              <c:f>'21-IV(B)(1)-Homeless Population'!$N$4:$N$6</c:f>
              <c:numCache>
                <c:formatCode>0%</c:formatCode>
                <c:ptCount val="3"/>
                <c:pt idx="0">
                  <c:v>8.3947355048528891E-2</c:v>
                </c:pt>
                <c:pt idx="1">
                  <c:v>6.6294019005030749E-2</c:v>
                </c:pt>
                <c:pt idx="2">
                  <c:v>0.84975862594644036</c:v>
                </c:pt>
              </c:numCache>
            </c:numRef>
          </c:val>
          <c:extLst>
            <c:ext xmlns:c16="http://schemas.microsoft.com/office/drawing/2014/chart" uri="{C3380CC4-5D6E-409C-BE32-E72D297353CC}">
              <c16:uniqueId val="{00000006-1571-4D09-800F-11830D58C4FE}"/>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w Cen MT" panose="020B0602020104020603"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r>
              <a:rPr lang="en-US" sz="1100">
                <a:solidFill>
                  <a:sysClr val="windowText" lastClr="000000"/>
                </a:solidFill>
              </a:rPr>
              <a:t>SNHPC Active Property Listings (12-Month Moving Average)</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endParaRPr lang="en-US"/>
        </a:p>
      </c:txPr>
    </c:title>
    <c:autoTitleDeleted val="0"/>
    <c:plotArea>
      <c:layout>
        <c:manualLayout>
          <c:layoutTarget val="inner"/>
          <c:xMode val="edge"/>
          <c:yMode val="edge"/>
          <c:x val="0.11754396325459318"/>
          <c:y val="0.13482151079799237"/>
          <c:w val="0.83185170603674541"/>
          <c:h val="0.72236496753695256"/>
        </c:manualLayout>
      </c:layout>
      <c:lineChart>
        <c:grouping val="standard"/>
        <c:varyColors val="0"/>
        <c:ser>
          <c:idx val="0"/>
          <c:order val="0"/>
          <c:tx>
            <c:v>All Listings</c:v>
          </c:tx>
          <c:spPr>
            <a:ln w="28575" cap="flat">
              <a:solidFill>
                <a:schemeClr val="tx1"/>
              </a:solidFill>
              <a:round/>
            </a:ln>
            <a:effectLst/>
          </c:spPr>
          <c:marker>
            <c:symbol val="none"/>
          </c:marker>
          <c:cat>
            <c:numRef>
              <c:f>'52-IV(D)(2)-Months to Absorb'!$AC$40:$AC$180</c:f>
              <c:numCache>
                <c:formatCode>mmm\-yy</c:formatCode>
                <c:ptCount val="141"/>
                <c:pt idx="0">
                  <c:v>40513</c:v>
                </c:pt>
                <c:pt idx="1">
                  <c:v>40544</c:v>
                </c:pt>
                <c:pt idx="2">
                  <c:v>40575</c:v>
                </c:pt>
                <c:pt idx="3">
                  <c:v>40603</c:v>
                </c:pt>
                <c:pt idx="4">
                  <c:v>40634</c:v>
                </c:pt>
                <c:pt idx="5">
                  <c:v>40664</c:v>
                </c:pt>
                <c:pt idx="6">
                  <c:v>40695</c:v>
                </c:pt>
                <c:pt idx="7">
                  <c:v>40725</c:v>
                </c:pt>
                <c:pt idx="8">
                  <c:v>40756</c:v>
                </c:pt>
                <c:pt idx="9">
                  <c:v>40787</c:v>
                </c:pt>
                <c:pt idx="10">
                  <c:v>40817</c:v>
                </c:pt>
                <c:pt idx="11">
                  <c:v>40848</c:v>
                </c:pt>
                <c:pt idx="12">
                  <c:v>40878</c:v>
                </c:pt>
                <c:pt idx="13">
                  <c:v>40909</c:v>
                </c:pt>
                <c:pt idx="14">
                  <c:v>40940</c:v>
                </c:pt>
                <c:pt idx="15">
                  <c:v>40969</c:v>
                </c:pt>
                <c:pt idx="16">
                  <c:v>41000</c:v>
                </c:pt>
                <c:pt idx="17">
                  <c:v>41030</c:v>
                </c:pt>
                <c:pt idx="18">
                  <c:v>41061</c:v>
                </c:pt>
                <c:pt idx="19">
                  <c:v>41091</c:v>
                </c:pt>
                <c:pt idx="20">
                  <c:v>41122</c:v>
                </c:pt>
                <c:pt idx="21">
                  <c:v>41153</c:v>
                </c:pt>
                <c:pt idx="22">
                  <c:v>41183</c:v>
                </c:pt>
                <c:pt idx="23">
                  <c:v>41214</c:v>
                </c:pt>
                <c:pt idx="24">
                  <c:v>41244</c:v>
                </c:pt>
                <c:pt idx="25">
                  <c:v>41275</c:v>
                </c:pt>
                <c:pt idx="26">
                  <c:v>41306</c:v>
                </c:pt>
                <c:pt idx="27">
                  <c:v>41334</c:v>
                </c:pt>
                <c:pt idx="28">
                  <c:v>41365</c:v>
                </c:pt>
                <c:pt idx="29">
                  <c:v>41395</c:v>
                </c:pt>
                <c:pt idx="30">
                  <c:v>41426</c:v>
                </c:pt>
                <c:pt idx="31">
                  <c:v>41456</c:v>
                </c:pt>
                <c:pt idx="32">
                  <c:v>41487</c:v>
                </c:pt>
                <c:pt idx="33">
                  <c:v>41518</c:v>
                </c:pt>
                <c:pt idx="34">
                  <c:v>41548</c:v>
                </c:pt>
                <c:pt idx="35">
                  <c:v>41579</c:v>
                </c:pt>
                <c:pt idx="36">
                  <c:v>41609</c:v>
                </c:pt>
                <c:pt idx="37">
                  <c:v>41640</c:v>
                </c:pt>
                <c:pt idx="38">
                  <c:v>41671</c:v>
                </c:pt>
                <c:pt idx="39">
                  <c:v>41699</c:v>
                </c:pt>
                <c:pt idx="40">
                  <c:v>41730</c:v>
                </c:pt>
                <c:pt idx="41">
                  <c:v>41760</c:v>
                </c:pt>
                <c:pt idx="42">
                  <c:v>41791</c:v>
                </c:pt>
                <c:pt idx="43">
                  <c:v>41821</c:v>
                </c:pt>
                <c:pt idx="44">
                  <c:v>41852</c:v>
                </c:pt>
                <c:pt idx="45">
                  <c:v>41883</c:v>
                </c:pt>
                <c:pt idx="46">
                  <c:v>41913</c:v>
                </c:pt>
                <c:pt idx="47">
                  <c:v>41944</c:v>
                </c:pt>
                <c:pt idx="48">
                  <c:v>41974</c:v>
                </c:pt>
                <c:pt idx="49">
                  <c:v>42005</c:v>
                </c:pt>
                <c:pt idx="50">
                  <c:v>42036</c:v>
                </c:pt>
                <c:pt idx="51">
                  <c:v>42064</c:v>
                </c:pt>
                <c:pt idx="52">
                  <c:v>42095</c:v>
                </c:pt>
                <c:pt idx="53">
                  <c:v>42125</c:v>
                </c:pt>
                <c:pt idx="54">
                  <c:v>42156</c:v>
                </c:pt>
                <c:pt idx="55">
                  <c:v>42186</c:v>
                </c:pt>
                <c:pt idx="56">
                  <c:v>42217</c:v>
                </c:pt>
                <c:pt idx="57">
                  <c:v>42248</c:v>
                </c:pt>
                <c:pt idx="58">
                  <c:v>42278</c:v>
                </c:pt>
                <c:pt idx="59">
                  <c:v>42309</c:v>
                </c:pt>
                <c:pt idx="60">
                  <c:v>42339</c:v>
                </c:pt>
                <c:pt idx="61">
                  <c:v>42370</c:v>
                </c:pt>
                <c:pt idx="62">
                  <c:v>42401</c:v>
                </c:pt>
                <c:pt idx="63">
                  <c:v>42430</c:v>
                </c:pt>
                <c:pt idx="64">
                  <c:v>42461</c:v>
                </c:pt>
                <c:pt idx="65">
                  <c:v>42491</c:v>
                </c:pt>
                <c:pt idx="66">
                  <c:v>42522</c:v>
                </c:pt>
                <c:pt idx="67">
                  <c:v>42552</c:v>
                </c:pt>
                <c:pt idx="68">
                  <c:v>42583</c:v>
                </c:pt>
                <c:pt idx="69">
                  <c:v>42614</c:v>
                </c:pt>
                <c:pt idx="70">
                  <c:v>42644</c:v>
                </c:pt>
                <c:pt idx="71">
                  <c:v>42675</c:v>
                </c:pt>
                <c:pt idx="72">
                  <c:v>42705</c:v>
                </c:pt>
                <c:pt idx="73">
                  <c:v>42736</c:v>
                </c:pt>
                <c:pt idx="74">
                  <c:v>42767</c:v>
                </c:pt>
                <c:pt idx="75">
                  <c:v>42795</c:v>
                </c:pt>
                <c:pt idx="76">
                  <c:v>42826</c:v>
                </c:pt>
                <c:pt idx="77">
                  <c:v>42856</c:v>
                </c:pt>
                <c:pt idx="78">
                  <c:v>42887</c:v>
                </c:pt>
                <c:pt idx="79">
                  <c:v>42917</c:v>
                </c:pt>
                <c:pt idx="80">
                  <c:v>42948</c:v>
                </c:pt>
                <c:pt idx="81">
                  <c:v>42979</c:v>
                </c:pt>
                <c:pt idx="82">
                  <c:v>43009</c:v>
                </c:pt>
                <c:pt idx="83">
                  <c:v>43040</c:v>
                </c:pt>
                <c:pt idx="84">
                  <c:v>43070</c:v>
                </c:pt>
                <c:pt idx="85">
                  <c:v>43101</c:v>
                </c:pt>
                <c:pt idx="86">
                  <c:v>43132</c:v>
                </c:pt>
                <c:pt idx="87">
                  <c:v>43160</c:v>
                </c:pt>
                <c:pt idx="88">
                  <c:v>43191</c:v>
                </c:pt>
                <c:pt idx="89">
                  <c:v>43221</c:v>
                </c:pt>
                <c:pt idx="90">
                  <c:v>43252</c:v>
                </c:pt>
                <c:pt idx="91">
                  <c:v>43282</c:v>
                </c:pt>
                <c:pt idx="92">
                  <c:v>43313</c:v>
                </c:pt>
                <c:pt idx="93">
                  <c:v>43344</c:v>
                </c:pt>
                <c:pt idx="94">
                  <c:v>43374</c:v>
                </c:pt>
                <c:pt idx="95">
                  <c:v>43405</c:v>
                </c:pt>
                <c:pt idx="96">
                  <c:v>43435</c:v>
                </c:pt>
                <c:pt idx="97">
                  <c:v>43466</c:v>
                </c:pt>
                <c:pt idx="98">
                  <c:v>43497</c:v>
                </c:pt>
                <c:pt idx="99">
                  <c:v>43525</c:v>
                </c:pt>
                <c:pt idx="100">
                  <c:v>43556</c:v>
                </c:pt>
                <c:pt idx="101">
                  <c:v>43586</c:v>
                </c:pt>
                <c:pt idx="102">
                  <c:v>43617</c:v>
                </c:pt>
                <c:pt idx="103">
                  <c:v>43647</c:v>
                </c:pt>
                <c:pt idx="104">
                  <c:v>43678</c:v>
                </c:pt>
                <c:pt idx="105">
                  <c:v>43709</c:v>
                </c:pt>
                <c:pt idx="106">
                  <c:v>43739</c:v>
                </c:pt>
                <c:pt idx="107">
                  <c:v>43770</c:v>
                </c:pt>
                <c:pt idx="108">
                  <c:v>43800</c:v>
                </c:pt>
                <c:pt idx="109">
                  <c:v>43831</c:v>
                </c:pt>
                <c:pt idx="110">
                  <c:v>43862</c:v>
                </c:pt>
                <c:pt idx="111">
                  <c:v>43891</c:v>
                </c:pt>
                <c:pt idx="112">
                  <c:v>43922</c:v>
                </c:pt>
                <c:pt idx="113">
                  <c:v>43952</c:v>
                </c:pt>
                <c:pt idx="114">
                  <c:v>43983</c:v>
                </c:pt>
                <c:pt idx="115">
                  <c:v>44013</c:v>
                </c:pt>
                <c:pt idx="116">
                  <c:v>44044</c:v>
                </c:pt>
                <c:pt idx="117">
                  <c:v>44075</c:v>
                </c:pt>
                <c:pt idx="118">
                  <c:v>44105</c:v>
                </c:pt>
                <c:pt idx="119">
                  <c:v>44136</c:v>
                </c:pt>
                <c:pt idx="120">
                  <c:v>44166</c:v>
                </c:pt>
                <c:pt idx="121">
                  <c:v>44197</c:v>
                </c:pt>
                <c:pt idx="122">
                  <c:v>44228</c:v>
                </c:pt>
                <c:pt idx="123">
                  <c:v>44256</c:v>
                </c:pt>
                <c:pt idx="124">
                  <c:v>44287</c:v>
                </c:pt>
                <c:pt idx="125">
                  <c:v>44317</c:v>
                </c:pt>
                <c:pt idx="126">
                  <c:v>44348</c:v>
                </c:pt>
                <c:pt idx="127">
                  <c:v>44378</c:v>
                </c:pt>
                <c:pt idx="128">
                  <c:v>44409</c:v>
                </c:pt>
                <c:pt idx="129">
                  <c:v>44440</c:v>
                </c:pt>
                <c:pt idx="130">
                  <c:v>44470</c:v>
                </c:pt>
                <c:pt idx="131">
                  <c:v>44501</c:v>
                </c:pt>
                <c:pt idx="132">
                  <c:v>44531</c:v>
                </c:pt>
                <c:pt idx="133">
                  <c:v>44562</c:v>
                </c:pt>
                <c:pt idx="134">
                  <c:v>44593</c:v>
                </c:pt>
                <c:pt idx="135">
                  <c:v>44621</c:v>
                </c:pt>
                <c:pt idx="136">
                  <c:v>44652</c:v>
                </c:pt>
                <c:pt idx="137">
                  <c:v>44682</c:v>
                </c:pt>
                <c:pt idx="138">
                  <c:v>44713</c:v>
                </c:pt>
                <c:pt idx="139">
                  <c:v>44743</c:v>
                </c:pt>
              </c:numCache>
            </c:numRef>
          </c:cat>
          <c:val>
            <c:numRef>
              <c:f>'52-IV(D)(2)-Months to Absorb'!$R$40:$R$179</c:f>
              <c:numCache>
                <c:formatCode>#,##0</c:formatCode>
                <c:ptCount val="140"/>
                <c:pt idx="0">
                  <c:v>1651.75</c:v>
                </c:pt>
                <c:pt idx="1">
                  <c:v>1658.5</c:v>
                </c:pt>
                <c:pt idx="2">
                  <c:v>1657</c:v>
                </c:pt>
                <c:pt idx="3">
                  <c:v>1644.5</c:v>
                </c:pt>
                <c:pt idx="4">
                  <c:v>1625.5833333333333</c:v>
                </c:pt>
                <c:pt idx="5">
                  <c:v>1609.4166666666667</c:v>
                </c:pt>
                <c:pt idx="6">
                  <c:v>1602.6666666666667</c:v>
                </c:pt>
                <c:pt idx="7">
                  <c:v>1599.1666666666667</c:v>
                </c:pt>
                <c:pt idx="8">
                  <c:v>1593.0833333333333</c:v>
                </c:pt>
                <c:pt idx="9">
                  <c:v>1582.75</c:v>
                </c:pt>
                <c:pt idx="10">
                  <c:v>1562.5</c:v>
                </c:pt>
                <c:pt idx="11">
                  <c:v>1544.5833333333333</c:v>
                </c:pt>
                <c:pt idx="12">
                  <c:v>1527.8333333333333</c:v>
                </c:pt>
                <c:pt idx="13">
                  <c:v>1515.75</c:v>
                </c:pt>
                <c:pt idx="14">
                  <c:v>1501.3333333333333</c:v>
                </c:pt>
                <c:pt idx="15">
                  <c:v>1493.0833333333333</c:v>
                </c:pt>
                <c:pt idx="16">
                  <c:v>1480.8333333333333</c:v>
                </c:pt>
                <c:pt idx="17">
                  <c:v>1468.0833333333333</c:v>
                </c:pt>
                <c:pt idx="18">
                  <c:v>1450.5833333333333</c:v>
                </c:pt>
                <c:pt idx="19">
                  <c:v>1424.1666666666667</c:v>
                </c:pt>
                <c:pt idx="20">
                  <c:v>1396.75</c:v>
                </c:pt>
                <c:pt idx="21">
                  <c:v>1367.1666666666667</c:v>
                </c:pt>
                <c:pt idx="22">
                  <c:v>1338.75</c:v>
                </c:pt>
                <c:pt idx="23">
                  <c:v>1316</c:v>
                </c:pt>
                <c:pt idx="24">
                  <c:v>1295</c:v>
                </c:pt>
                <c:pt idx="25">
                  <c:v>1275</c:v>
                </c:pt>
                <c:pt idx="26">
                  <c:v>1260</c:v>
                </c:pt>
                <c:pt idx="27">
                  <c:v>1243</c:v>
                </c:pt>
                <c:pt idx="28">
                  <c:v>1224.5833333333333</c:v>
                </c:pt>
                <c:pt idx="29">
                  <c:v>1216.5</c:v>
                </c:pt>
                <c:pt idx="30">
                  <c:v>1215.0833333333333</c:v>
                </c:pt>
                <c:pt idx="31">
                  <c:v>1207.1666666666667</c:v>
                </c:pt>
                <c:pt idx="32">
                  <c:v>1199.5</c:v>
                </c:pt>
                <c:pt idx="33">
                  <c:v>1197.0833333333333</c:v>
                </c:pt>
                <c:pt idx="34">
                  <c:v>1194.5833333333333</c:v>
                </c:pt>
                <c:pt idx="35">
                  <c:v>1193.3333333333333</c:v>
                </c:pt>
                <c:pt idx="36">
                  <c:v>1193.6666666666667</c:v>
                </c:pt>
                <c:pt idx="37">
                  <c:v>1191.25</c:v>
                </c:pt>
                <c:pt idx="38">
                  <c:v>1197.1666666666667</c:v>
                </c:pt>
                <c:pt idx="39">
                  <c:v>1203.25</c:v>
                </c:pt>
                <c:pt idx="40">
                  <c:v>1214.3333333333333</c:v>
                </c:pt>
                <c:pt idx="41">
                  <c:v>1219</c:v>
                </c:pt>
                <c:pt idx="42">
                  <c:v>1223.0833333333333</c:v>
                </c:pt>
                <c:pt idx="43">
                  <c:v>1246</c:v>
                </c:pt>
                <c:pt idx="44">
                  <c:v>1271</c:v>
                </c:pt>
                <c:pt idx="45">
                  <c:v>1291.5833333333333</c:v>
                </c:pt>
                <c:pt idx="46">
                  <c:v>1311.25</c:v>
                </c:pt>
                <c:pt idx="47">
                  <c:v>1320.0833333333333</c:v>
                </c:pt>
                <c:pt idx="48">
                  <c:v>1320.3333333333333</c:v>
                </c:pt>
                <c:pt idx="49">
                  <c:v>1320.5833333333333</c:v>
                </c:pt>
                <c:pt idx="50">
                  <c:v>1305.9166666666667</c:v>
                </c:pt>
                <c:pt idx="51">
                  <c:v>1285.9166666666667</c:v>
                </c:pt>
                <c:pt idx="52">
                  <c:v>1262.4166666666667</c:v>
                </c:pt>
                <c:pt idx="53">
                  <c:v>1241.5833333333333</c:v>
                </c:pt>
                <c:pt idx="54">
                  <c:v>1216.0833333333333</c:v>
                </c:pt>
                <c:pt idx="55">
                  <c:v>1189.3333333333333</c:v>
                </c:pt>
                <c:pt idx="56">
                  <c:v>1160.5833333333333</c:v>
                </c:pt>
                <c:pt idx="57">
                  <c:v>1134.4166666666667</c:v>
                </c:pt>
                <c:pt idx="58">
                  <c:v>1112.5</c:v>
                </c:pt>
                <c:pt idx="59">
                  <c:v>1097.8333333333333</c:v>
                </c:pt>
                <c:pt idx="60">
                  <c:v>1089.5</c:v>
                </c:pt>
                <c:pt idx="61">
                  <c:v>1076.75</c:v>
                </c:pt>
                <c:pt idx="62">
                  <c:v>1067.0833333333333</c:v>
                </c:pt>
                <c:pt idx="63">
                  <c:v>1058.25</c:v>
                </c:pt>
                <c:pt idx="64">
                  <c:v>1057.9166666666667</c:v>
                </c:pt>
                <c:pt idx="65">
                  <c:v>1045.25</c:v>
                </c:pt>
                <c:pt idx="66">
                  <c:v>1028.1666666666667</c:v>
                </c:pt>
                <c:pt idx="67">
                  <c:v>1004.5833333333334</c:v>
                </c:pt>
                <c:pt idx="68">
                  <c:v>978.08333333333337</c:v>
                </c:pt>
                <c:pt idx="69">
                  <c:v>953.16666666666663</c:v>
                </c:pt>
                <c:pt idx="70">
                  <c:v>932.08333333333337</c:v>
                </c:pt>
                <c:pt idx="71">
                  <c:v>882.08333333333337</c:v>
                </c:pt>
                <c:pt idx="72">
                  <c:v>842.08333333333337</c:v>
                </c:pt>
                <c:pt idx="73">
                  <c:v>827.66666666666663</c:v>
                </c:pt>
                <c:pt idx="74">
                  <c:v>810.66666666666663</c:v>
                </c:pt>
                <c:pt idx="75">
                  <c:v>798.16666666666663</c:v>
                </c:pt>
                <c:pt idx="76">
                  <c:v>768.33333333333337</c:v>
                </c:pt>
                <c:pt idx="77">
                  <c:v>731.75</c:v>
                </c:pt>
                <c:pt idx="78">
                  <c:v>687.08333333333337</c:v>
                </c:pt>
                <c:pt idx="79">
                  <c:v>675.83333333333337</c:v>
                </c:pt>
                <c:pt idx="80">
                  <c:v>668.41666666666663</c:v>
                </c:pt>
                <c:pt idx="81">
                  <c:v>667.33333333333337</c:v>
                </c:pt>
                <c:pt idx="82">
                  <c:v>660.33333333333337</c:v>
                </c:pt>
                <c:pt idx="83">
                  <c:v>680</c:v>
                </c:pt>
                <c:pt idx="84">
                  <c:v>689.83333333333337</c:v>
                </c:pt>
                <c:pt idx="85">
                  <c:v>683.66666666666663</c:v>
                </c:pt>
                <c:pt idx="86">
                  <c:v>677.58333333333337</c:v>
                </c:pt>
                <c:pt idx="87">
                  <c:v>669</c:v>
                </c:pt>
                <c:pt idx="88">
                  <c:v>667.41666666666663</c:v>
                </c:pt>
                <c:pt idx="89">
                  <c:v>679.5</c:v>
                </c:pt>
                <c:pt idx="90">
                  <c:v>703.91666666666663</c:v>
                </c:pt>
                <c:pt idx="91">
                  <c:v>697.66666666666663</c:v>
                </c:pt>
                <c:pt idx="92">
                  <c:v>688.75</c:v>
                </c:pt>
                <c:pt idx="93">
                  <c:v>674.66666666666663</c:v>
                </c:pt>
                <c:pt idx="94">
                  <c:v>664</c:v>
                </c:pt>
                <c:pt idx="95">
                  <c:v>658.5</c:v>
                </c:pt>
                <c:pt idx="96">
                  <c:v>653.41666666666663</c:v>
                </c:pt>
                <c:pt idx="97">
                  <c:v>651.41666666666663</c:v>
                </c:pt>
                <c:pt idx="98">
                  <c:v>649.75</c:v>
                </c:pt>
                <c:pt idx="99">
                  <c:v>648.83333333333337</c:v>
                </c:pt>
                <c:pt idx="100">
                  <c:v>650.25</c:v>
                </c:pt>
                <c:pt idx="101">
                  <c:v>646.5</c:v>
                </c:pt>
                <c:pt idx="102">
                  <c:v>638</c:v>
                </c:pt>
                <c:pt idx="103">
                  <c:v>624.08333333333337</c:v>
                </c:pt>
                <c:pt idx="104">
                  <c:v>612.58333333333337</c:v>
                </c:pt>
                <c:pt idx="105">
                  <c:v>601.41666666666663</c:v>
                </c:pt>
                <c:pt idx="106">
                  <c:v>589.91666666666663</c:v>
                </c:pt>
                <c:pt idx="107">
                  <c:v>580.33333333333337</c:v>
                </c:pt>
                <c:pt idx="108">
                  <c:v>568.5</c:v>
                </c:pt>
                <c:pt idx="109">
                  <c:v>556.91666666666663</c:v>
                </c:pt>
                <c:pt idx="110">
                  <c:v>546.41666666666663</c:v>
                </c:pt>
                <c:pt idx="111">
                  <c:v>534.16666666666663</c:v>
                </c:pt>
                <c:pt idx="112">
                  <c:v>526.66666666666663</c:v>
                </c:pt>
                <c:pt idx="113">
                  <c:v>515.16666666666663</c:v>
                </c:pt>
                <c:pt idx="114">
                  <c:v>502.5</c:v>
                </c:pt>
                <c:pt idx="115">
                  <c:v>482.16666666666669</c:v>
                </c:pt>
                <c:pt idx="116">
                  <c:v>459.58333333333331</c:v>
                </c:pt>
                <c:pt idx="117">
                  <c:v>435.91666666666669</c:v>
                </c:pt>
                <c:pt idx="118">
                  <c:v>406.83333333333331</c:v>
                </c:pt>
                <c:pt idx="119">
                  <c:v>378.33333333333331</c:v>
                </c:pt>
                <c:pt idx="120">
                  <c:v>356</c:v>
                </c:pt>
                <c:pt idx="121">
                  <c:v>333.91666666666669</c:v>
                </c:pt>
                <c:pt idx="122">
                  <c:v>314.91666666666669</c:v>
                </c:pt>
                <c:pt idx="123">
                  <c:v>298.58333333333331</c:v>
                </c:pt>
                <c:pt idx="124">
                  <c:v>276.41666666666669</c:v>
                </c:pt>
                <c:pt idx="125">
                  <c:v>258.16666666666669</c:v>
                </c:pt>
                <c:pt idx="126">
                  <c:v>237.16666666666666</c:v>
                </c:pt>
                <c:pt idx="127">
                  <c:v>222.66666666666666</c:v>
                </c:pt>
                <c:pt idx="128">
                  <c:v>216.66666666666666</c:v>
                </c:pt>
                <c:pt idx="129">
                  <c:v>212.08333333333334</c:v>
                </c:pt>
                <c:pt idx="130">
                  <c:v>209.83333333333334</c:v>
                </c:pt>
                <c:pt idx="131">
                  <c:v>204.41666666666666</c:v>
                </c:pt>
                <c:pt idx="132">
                  <c:v>198.75</c:v>
                </c:pt>
                <c:pt idx="133">
                  <c:v>197.08333333333334</c:v>
                </c:pt>
                <c:pt idx="134">
                  <c:v>194.75</c:v>
                </c:pt>
                <c:pt idx="135">
                  <c:v>191.25</c:v>
                </c:pt>
                <c:pt idx="136">
                  <c:v>191.16666666666666</c:v>
                </c:pt>
                <c:pt idx="137">
                  <c:v>189.5</c:v>
                </c:pt>
                <c:pt idx="138">
                  <c:v>191</c:v>
                </c:pt>
                <c:pt idx="139">
                  <c:v>196.16666666666666</c:v>
                </c:pt>
              </c:numCache>
            </c:numRef>
          </c:val>
          <c:smooth val="1"/>
          <c:extLst>
            <c:ext xmlns:c16="http://schemas.microsoft.com/office/drawing/2014/chart" uri="{C3380CC4-5D6E-409C-BE32-E72D297353CC}">
              <c16:uniqueId val="{00000000-24C9-4FFE-9F2E-254E9411144C}"/>
            </c:ext>
          </c:extLst>
        </c:ser>
        <c:dLbls>
          <c:showLegendKey val="0"/>
          <c:showVal val="0"/>
          <c:showCatName val="0"/>
          <c:showSerName val="0"/>
          <c:showPercent val="0"/>
          <c:showBubbleSize val="0"/>
        </c:dLbls>
        <c:smooth val="0"/>
        <c:axId val="927497776"/>
        <c:axId val="927491952"/>
        <c:extLst/>
      </c:lineChart>
      <c:dateAx>
        <c:axId val="927497776"/>
        <c:scaling>
          <c:orientation val="minMax"/>
        </c:scaling>
        <c:delete val="0"/>
        <c:axPos val="b"/>
        <c:numFmt formatCode="yy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w Cen MT" panose="020B0602020104020603" pitchFamily="34" charset="0"/>
                <a:ea typeface="+mn-ea"/>
                <a:cs typeface="+mn-cs"/>
              </a:defRPr>
            </a:pPr>
            <a:endParaRPr lang="en-US"/>
          </a:p>
        </c:txPr>
        <c:crossAx val="927491952"/>
        <c:crosses val="autoZero"/>
        <c:auto val="0"/>
        <c:lblOffset val="100"/>
        <c:baseTimeUnit val="months"/>
        <c:majorUnit val="12"/>
        <c:majorTimeUnit val="months"/>
      </c:dateAx>
      <c:valAx>
        <c:axId val="927491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w Cen MT" panose="020B0602020104020603" pitchFamily="34" charset="0"/>
                <a:ea typeface="+mn-ea"/>
                <a:cs typeface="+mn-cs"/>
              </a:defRPr>
            </a:pPr>
            <a:endParaRPr lang="en-US"/>
          </a:p>
        </c:txPr>
        <c:crossAx val="927497776"/>
        <c:crosses val="autoZero"/>
        <c:crossBetween val="between"/>
        <c:majorUnit val="4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w Cen MT" panose="020B0602020104020603" pitchFamily="34"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ysClr val="windowText" lastClr="000000"/>
                </a:solidFill>
                <a:latin typeface="Tw Cen MT" panose="020B0602020104020603" pitchFamily="34" charset="0"/>
                <a:ea typeface="+mn-ea"/>
                <a:cs typeface="+mn-cs"/>
              </a:defRPr>
            </a:pPr>
            <a:r>
              <a:rPr lang="en-US" sz="1100"/>
              <a:t>SNHPC Nominal Median Purchase Price (12-Month Moving Average)</a:t>
            </a:r>
          </a:p>
        </c:rich>
      </c:tx>
      <c:overlay val="0"/>
      <c:spPr>
        <a:noFill/>
        <a:ln>
          <a:noFill/>
        </a:ln>
        <a:effectLst/>
      </c:spPr>
      <c:txPr>
        <a:bodyPr rot="0" spcFirstLastPara="1" vertOverflow="ellipsis" vert="horz" wrap="square" anchor="ctr" anchorCtr="1"/>
        <a:lstStyle/>
        <a:p>
          <a:pPr>
            <a:defRPr sz="1320" b="0" i="0" u="none" strike="noStrike" kern="1200" spc="0" baseline="0">
              <a:solidFill>
                <a:sysClr val="windowText" lastClr="000000"/>
              </a:solidFill>
              <a:latin typeface="Tw Cen MT" panose="020B0602020104020603" pitchFamily="34" charset="0"/>
              <a:ea typeface="+mn-ea"/>
              <a:cs typeface="+mn-cs"/>
            </a:defRPr>
          </a:pPr>
          <a:endParaRPr lang="en-US"/>
        </a:p>
      </c:txPr>
    </c:title>
    <c:autoTitleDeleted val="0"/>
    <c:plotArea>
      <c:layout>
        <c:manualLayout>
          <c:layoutTarget val="inner"/>
          <c:xMode val="edge"/>
          <c:yMode val="edge"/>
          <c:x val="0.16805774278215224"/>
          <c:y val="0.13862009025187644"/>
          <c:w val="0.79187914010748661"/>
          <c:h val="0.72197558364414993"/>
        </c:manualLayout>
      </c:layout>
      <c:lineChart>
        <c:grouping val="standard"/>
        <c:varyColors val="0"/>
        <c:ser>
          <c:idx val="0"/>
          <c:order val="0"/>
          <c:tx>
            <c:v>SNHPC</c:v>
          </c:tx>
          <c:spPr>
            <a:ln w="28575" cap="flat">
              <a:solidFill>
                <a:schemeClr val="tx1"/>
              </a:solidFill>
              <a:round/>
            </a:ln>
            <a:effectLst/>
          </c:spPr>
          <c:marker>
            <c:symbol val="none"/>
          </c:marker>
          <c:cat>
            <c:numRef>
              <c:f>'52-IV(D)(2)-Months to Absorb'!$AC$40:$AC$179</c:f>
              <c:numCache>
                <c:formatCode>mmm\-yy</c:formatCode>
                <c:ptCount val="140"/>
                <c:pt idx="0">
                  <c:v>40513</c:v>
                </c:pt>
                <c:pt idx="1">
                  <c:v>40544</c:v>
                </c:pt>
                <c:pt idx="2">
                  <c:v>40575</c:v>
                </c:pt>
                <c:pt idx="3">
                  <c:v>40603</c:v>
                </c:pt>
                <c:pt idx="4">
                  <c:v>40634</c:v>
                </c:pt>
                <c:pt idx="5">
                  <c:v>40664</c:v>
                </c:pt>
                <c:pt idx="6">
                  <c:v>40695</c:v>
                </c:pt>
                <c:pt idx="7">
                  <c:v>40725</c:v>
                </c:pt>
                <c:pt idx="8">
                  <c:v>40756</c:v>
                </c:pt>
                <c:pt idx="9">
                  <c:v>40787</c:v>
                </c:pt>
                <c:pt idx="10">
                  <c:v>40817</c:v>
                </c:pt>
                <c:pt idx="11">
                  <c:v>40848</c:v>
                </c:pt>
                <c:pt idx="12">
                  <c:v>40878</c:v>
                </c:pt>
                <c:pt idx="13">
                  <c:v>40909</c:v>
                </c:pt>
                <c:pt idx="14">
                  <c:v>40940</c:v>
                </c:pt>
                <c:pt idx="15">
                  <c:v>40969</c:v>
                </c:pt>
                <c:pt idx="16">
                  <c:v>41000</c:v>
                </c:pt>
                <c:pt idx="17">
                  <c:v>41030</c:v>
                </c:pt>
                <c:pt idx="18">
                  <c:v>41061</c:v>
                </c:pt>
                <c:pt idx="19">
                  <c:v>41091</c:v>
                </c:pt>
                <c:pt idx="20">
                  <c:v>41122</c:v>
                </c:pt>
                <c:pt idx="21">
                  <c:v>41153</c:v>
                </c:pt>
                <c:pt idx="22">
                  <c:v>41183</c:v>
                </c:pt>
                <c:pt idx="23">
                  <c:v>41214</c:v>
                </c:pt>
                <c:pt idx="24">
                  <c:v>41244</c:v>
                </c:pt>
                <c:pt idx="25">
                  <c:v>41275</c:v>
                </c:pt>
                <c:pt idx="26">
                  <c:v>41306</c:v>
                </c:pt>
                <c:pt idx="27">
                  <c:v>41334</c:v>
                </c:pt>
                <c:pt idx="28">
                  <c:v>41365</c:v>
                </c:pt>
                <c:pt idx="29">
                  <c:v>41395</c:v>
                </c:pt>
                <c:pt idx="30">
                  <c:v>41426</c:v>
                </c:pt>
                <c:pt idx="31">
                  <c:v>41456</c:v>
                </c:pt>
                <c:pt idx="32">
                  <c:v>41487</c:v>
                </c:pt>
                <c:pt idx="33">
                  <c:v>41518</c:v>
                </c:pt>
                <c:pt idx="34">
                  <c:v>41548</c:v>
                </c:pt>
                <c:pt idx="35">
                  <c:v>41579</c:v>
                </c:pt>
                <c:pt idx="36">
                  <c:v>41609</c:v>
                </c:pt>
                <c:pt idx="37">
                  <c:v>41640</c:v>
                </c:pt>
                <c:pt idx="38">
                  <c:v>41671</c:v>
                </c:pt>
                <c:pt idx="39">
                  <c:v>41699</c:v>
                </c:pt>
                <c:pt idx="40">
                  <c:v>41730</c:v>
                </c:pt>
                <c:pt idx="41">
                  <c:v>41760</c:v>
                </c:pt>
                <c:pt idx="42">
                  <c:v>41791</c:v>
                </c:pt>
                <c:pt idx="43">
                  <c:v>41821</c:v>
                </c:pt>
                <c:pt idx="44">
                  <c:v>41852</c:v>
                </c:pt>
                <c:pt idx="45">
                  <c:v>41883</c:v>
                </c:pt>
                <c:pt idx="46">
                  <c:v>41913</c:v>
                </c:pt>
                <c:pt idx="47">
                  <c:v>41944</c:v>
                </c:pt>
                <c:pt idx="48">
                  <c:v>41974</c:v>
                </c:pt>
                <c:pt idx="49">
                  <c:v>42005</c:v>
                </c:pt>
                <c:pt idx="50">
                  <c:v>42036</c:v>
                </c:pt>
                <c:pt idx="51">
                  <c:v>42064</c:v>
                </c:pt>
                <c:pt idx="52">
                  <c:v>42095</c:v>
                </c:pt>
                <c:pt idx="53">
                  <c:v>42125</c:v>
                </c:pt>
                <c:pt idx="54">
                  <c:v>42156</c:v>
                </c:pt>
                <c:pt idx="55">
                  <c:v>42186</c:v>
                </c:pt>
                <c:pt idx="56">
                  <c:v>42217</c:v>
                </c:pt>
                <c:pt idx="57">
                  <c:v>42248</c:v>
                </c:pt>
                <c:pt idx="58">
                  <c:v>42278</c:v>
                </c:pt>
                <c:pt idx="59">
                  <c:v>42309</c:v>
                </c:pt>
                <c:pt idx="60">
                  <c:v>42339</c:v>
                </c:pt>
                <c:pt idx="61">
                  <c:v>42370</c:v>
                </c:pt>
                <c:pt idx="62">
                  <c:v>42401</c:v>
                </c:pt>
                <c:pt idx="63">
                  <c:v>42430</c:v>
                </c:pt>
                <c:pt idx="64">
                  <c:v>42461</c:v>
                </c:pt>
                <c:pt idx="65">
                  <c:v>42491</c:v>
                </c:pt>
                <c:pt idx="66">
                  <c:v>42522</c:v>
                </c:pt>
                <c:pt idx="67">
                  <c:v>42552</c:v>
                </c:pt>
                <c:pt idx="68">
                  <c:v>42583</c:v>
                </c:pt>
                <c:pt idx="69">
                  <c:v>42614</c:v>
                </c:pt>
                <c:pt idx="70">
                  <c:v>42644</c:v>
                </c:pt>
                <c:pt idx="71">
                  <c:v>42675</c:v>
                </c:pt>
                <c:pt idx="72">
                  <c:v>42705</c:v>
                </c:pt>
                <c:pt idx="73">
                  <c:v>42736</c:v>
                </c:pt>
                <c:pt idx="74">
                  <c:v>42767</c:v>
                </c:pt>
                <c:pt idx="75">
                  <c:v>42795</c:v>
                </c:pt>
                <c:pt idx="76">
                  <c:v>42826</c:v>
                </c:pt>
                <c:pt idx="77">
                  <c:v>42856</c:v>
                </c:pt>
                <c:pt idx="78">
                  <c:v>42887</c:v>
                </c:pt>
                <c:pt idx="79">
                  <c:v>42917</c:v>
                </c:pt>
                <c:pt idx="80">
                  <c:v>42948</c:v>
                </c:pt>
                <c:pt idx="81">
                  <c:v>42979</c:v>
                </c:pt>
                <c:pt idx="82">
                  <c:v>43009</c:v>
                </c:pt>
                <c:pt idx="83">
                  <c:v>43040</c:v>
                </c:pt>
                <c:pt idx="84">
                  <c:v>43070</c:v>
                </c:pt>
                <c:pt idx="85">
                  <c:v>43101</c:v>
                </c:pt>
                <c:pt idx="86">
                  <c:v>43132</c:v>
                </c:pt>
                <c:pt idx="87">
                  <c:v>43160</c:v>
                </c:pt>
                <c:pt idx="88">
                  <c:v>43191</c:v>
                </c:pt>
                <c:pt idx="89">
                  <c:v>43221</c:v>
                </c:pt>
                <c:pt idx="90">
                  <c:v>43252</c:v>
                </c:pt>
                <c:pt idx="91">
                  <c:v>43282</c:v>
                </c:pt>
                <c:pt idx="92">
                  <c:v>43313</c:v>
                </c:pt>
                <c:pt idx="93">
                  <c:v>43344</c:v>
                </c:pt>
                <c:pt idx="94">
                  <c:v>43374</c:v>
                </c:pt>
                <c:pt idx="95">
                  <c:v>43405</c:v>
                </c:pt>
                <c:pt idx="96">
                  <c:v>43435</c:v>
                </c:pt>
                <c:pt idx="97">
                  <c:v>43466</c:v>
                </c:pt>
                <c:pt idx="98">
                  <c:v>43497</c:v>
                </c:pt>
                <c:pt idx="99">
                  <c:v>43525</c:v>
                </c:pt>
                <c:pt idx="100">
                  <c:v>43556</c:v>
                </c:pt>
                <c:pt idx="101">
                  <c:v>43586</c:v>
                </c:pt>
                <c:pt idx="102">
                  <c:v>43617</c:v>
                </c:pt>
                <c:pt idx="103">
                  <c:v>43647</c:v>
                </c:pt>
                <c:pt idx="104">
                  <c:v>43678</c:v>
                </c:pt>
                <c:pt idx="105">
                  <c:v>43709</c:v>
                </c:pt>
                <c:pt idx="106">
                  <c:v>43739</c:v>
                </c:pt>
                <c:pt idx="107">
                  <c:v>43770</c:v>
                </c:pt>
                <c:pt idx="108">
                  <c:v>43800</c:v>
                </c:pt>
                <c:pt idx="109">
                  <c:v>43831</c:v>
                </c:pt>
                <c:pt idx="110">
                  <c:v>43862</c:v>
                </c:pt>
                <c:pt idx="111">
                  <c:v>43891</c:v>
                </c:pt>
                <c:pt idx="112">
                  <c:v>43922</c:v>
                </c:pt>
                <c:pt idx="113">
                  <c:v>43952</c:v>
                </c:pt>
                <c:pt idx="114">
                  <c:v>43983</c:v>
                </c:pt>
                <c:pt idx="115">
                  <c:v>44013</c:v>
                </c:pt>
                <c:pt idx="116">
                  <c:v>44044</c:v>
                </c:pt>
                <c:pt idx="117">
                  <c:v>44075</c:v>
                </c:pt>
                <c:pt idx="118">
                  <c:v>44105</c:v>
                </c:pt>
                <c:pt idx="119">
                  <c:v>44136</c:v>
                </c:pt>
                <c:pt idx="120">
                  <c:v>44166</c:v>
                </c:pt>
                <c:pt idx="121">
                  <c:v>44197</c:v>
                </c:pt>
                <c:pt idx="122">
                  <c:v>44228</c:v>
                </c:pt>
                <c:pt idx="123">
                  <c:v>44256</c:v>
                </c:pt>
                <c:pt idx="124">
                  <c:v>44287</c:v>
                </c:pt>
                <c:pt idx="125">
                  <c:v>44317</c:v>
                </c:pt>
                <c:pt idx="126">
                  <c:v>44348</c:v>
                </c:pt>
                <c:pt idx="127">
                  <c:v>44378</c:v>
                </c:pt>
                <c:pt idx="128">
                  <c:v>44409</c:v>
                </c:pt>
                <c:pt idx="129">
                  <c:v>44440</c:v>
                </c:pt>
                <c:pt idx="130">
                  <c:v>44470</c:v>
                </c:pt>
                <c:pt idx="131">
                  <c:v>44501</c:v>
                </c:pt>
                <c:pt idx="132">
                  <c:v>44531</c:v>
                </c:pt>
                <c:pt idx="133">
                  <c:v>44562</c:v>
                </c:pt>
                <c:pt idx="134">
                  <c:v>44593</c:v>
                </c:pt>
                <c:pt idx="135">
                  <c:v>44621</c:v>
                </c:pt>
                <c:pt idx="136">
                  <c:v>44652</c:v>
                </c:pt>
                <c:pt idx="137">
                  <c:v>44682</c:v>
                </c:pt>
                <c:pt idx="138">
                  <c:v>44713</c:v>
                </c:pt>
                <c:pt idx="139">
                  <c:v>44743</c:v>
                </c:pt>
              </c:numCache>
            </c:numRef>
          </c:cat>
          <c:val>
            <c:numRef>
              <c:f>'52-IV(D)(2)-Months to Absorb'!$AF$40:$AF$179</c:f>
              <c:numCache>
                <c:formatCode>"$"#,##0</c:formatCode>
                <c:ptCount val="140"/>
                <c:pt idx="0">
                  <c:v>199291.66666666666</c:v>
                </c:pt>
                <c:pt idx="1">
                  <c:v>198625</c:v>
                </c:pt>
                <c:pt idx="2">
                  <c:v>198125</c:v>
                </c:pt>
                <c:pt idx="3">
                  <c:v>197212.5</c:v>
                </c:pt>
                <c:pt idx="4">
                  <c:v>195466.66666666666</c:v>
                </c:pt>
                <c:pt idx="5">
                  <c:v>195175</c:v>
                </c:pt>
                <c:pt idx="6">
                  <c:v>193637.5</c:v>
                </c:pt>
                <c:pt idx="7">
                  <c:v>192387.5</c:v>
                </c:pt>
                <c:pt idx="8">
                  <c:v>191579.16666666666</c:v>
                </c:pt>
                <c:pt idx="9">
                  <c:v>190308.33333333334</c:v>
                </c:pt>
                <c:pt idx="10">
                  <c:v>189458.33333333334</c:v>
                </c:pt>
                <c:pt idx="11">
                  <c:v>188458.33333333334</c:v>
                </c:pt>
                <c:pt idx="12">
                  <c:v>185708.33333333334</c:v>
                </c:pt>
                <c:pt idx="13">
                  <c:v>186125</c:v>
                </c:pt>
                <c:pt idx="14">
                  <c:v>184958.33333333334</c:v>
                </c:pt>
                <c:pt idx="15">
                  <c:v>184375</c:v>
                </c:pt>
                <c:pt idx="16">
                  <c:v>183375</c:v>
                </c:pt>
                <c:pt idx="17">
                  <c:v>183158.33333333334</c:v>
                </c:pt>
                <c:pt idx="18">
                  <c:v>183179.16666666666</c:v>
                </c:pt>
                <c:pt idx="19">
                  <c:v>184012.5</c:v>
                </c:pt>
                <c:pt idx="20">
                  <c:v>184004.16666666666</c:v>
                </c:pt>
                <c:pt idx="21">
                  <c:v>183483.33333333334</c:v>
                </c:pt>
                <c:pt idx="22">
                  <c:v>185775</c:v>
                </c:pt>
                <c:pt idx="23">
                  <c:v>185100</c:v>
                </c:pt>
                <c:pt idx="24">
                  <c:v>186433.33333333334</c:v>
                </c:pt>
                <c:pt idx="25">
                  <c:v>186016.66666666666</c:v>
                </c:pt>
                <c:pt idx="26">
                  <c:v>186945.83333333334</c:v>
                </c:pt>
                <c:pt idx="27">
                  <c:v>186362.5</c:v>
                </c:pt>
                <c:pt idx="28">
                  <c:v>188612.5</c:v>
                </c:pt>
                <c:pt idx="29">
                  <c:v>189037.5</c:v>
                </c:pt>
                <c:pt idx="30">
                  <c:v>191745.83333333334</c:v>
                </c:pt>
                <c:pt idx="31">
                  <c:v>192579.16666666666</c:v>
                </c:pt>
                <c:pt idx="32">
                  <c:v>194087.5</c:v>
                </c:pt>
                <c:pt idx="33">
                  <c:v>196670.83333333334</c:v>
                </c:pt>
                <c:pt idx="34">
                  <c:v>196754.16666666666</c:v>
                </c:pt>
                <c:pt idx="35">
                  <c:v>198262.5</c:v>
                </c:pt>
                <c:pt idx="36">
                  <c:v>198679.16666666666</c:v>
                </c:pt>
                <c:pt idx="37">
                  <c:v>198762.5</c:v>
                </c:pt>
                <c:pt idx="38">
                  <c:v>199361.66666666666</c:v>
                </c:pt>
                <c:pt idx="39">
                  <c:v>202111.66666666666</c:v>
                </c:pt>
                <c:pt idx="40">
                  <c:v>203861.66666666666</c:v>
                </c:pt>
                <c:pt idx="41">
                  <c:v>206278.33333333334</c:v>
                </c:pt>
                <c:pt idx="42">
                  <c:v>205570</c:v>
                </c:pt>
                <c:pt idx="43">
                  <c:v>205986.66666666666</c:v>
                </c:pt>
                <c:pt idx="44">
                  <c:v>207653.33333333334</c:v>
                </c:pt>
                <c:pt idx="45">
                  <c:v>208340.83333333334</c:v>
                </c:pt>
                <c:pt idx="46">
                  <c:v>210257.5</c:v>
                </c:pt>
                <c:pt idx="47">
                  <c:v>212730.41666666666</c:v>
                </c:pt>
                <c:pt idx="48">
                  <c:v>215230.41666666666</c:v>
                </c:pt>
                <c:pt idx="49">
                  <c:v>218063.75</c:v>
                </c:pt>
                <c:pt idx="50">
                  <c:v>221118.75</c:v>
                </c:pt>
                <c:pt idx="51">
                  <c:v>223527.08333333334</c:v>
                </c:pt>
                <c:pt idx="52">
                  <c:v>224527.08333333334</c:v>
                </c:pt>
                <c:pt idx="53">
                  <c:v>225810.41666666666</c:v>
                </c:pt>
                <c:pt idx="54">
                  <c:v>227968.75</c:v>
                </c:pt>
                <c:pt idx="55">
                  <c:v>230406.25</c:v>
                </c:pt>
                <c:pt idx="56">
                  <c:v>231602.08333333334</c:v>
                </c:pt>
                <c:pt idx="57">
                  <c:v>232910.41666666666</c:v>
                </c:pt>
                <c:pt idx="58">
                  <c:v>233806.25</c:v>
                </c:pt>
                <c:pt idx="59">
                  <c:v>234458.33333333334</c:v>
                </c:pt>
                <c:pt idx="60">
                  <c:v>235208.33333333334</c:v>
                </c:pt>
                <c:pt idx="61">
                  <c:v>234450</c:v>
                </c:pt>
                <c:pt idx="62">
                  <c:v>234866.66666666666</c:v>
                </c:pt>
                <c:pt idx="63">
                  <c:v>234625</c:v>
                </c:pt>
                <c:pt idx="64">
                  <c:v>235291.66666666666</c:v>
                </c:pt>
                <c:pt idx="65">
                  <c:v>235181.04166666666</c:v>
                </c:pt>
                <c:pt idx="66">
                  <c:v>235606.04166666666</c:v>
                </c:pt>
                <c:pt idx="67">
                  <c:v>235585.20833333334</c:v>
                </c:pt>
                <c:pt idx="68">
                  <c:v>236214.375</c:v>
                </c:pt>
                <c:pt idx="69">
                  <c:v>238218.54166666666</c:v>
                </c:pt>
                <c:pt idx="70">
                  <c:v>238614.375</c:v>
                </c:pt>
                <c:pt idx="71">
                  <c:v>238989.375</c:v>
                </c:pt>
                <c:pt idx="72">
                  <c:v>240822.70833333334</c:v>
                </c:pt>
                <c:pt idx="73">
                  <c:v>242581.04166666666</c:v>
                </c:pt>
                <c:pt idx="74">
                  <c:v>243331.04166666666</c:v>
                </c:pt>
                <c:pt idx="75">
                  <c:v>243997.70833333334</c:v>
                </c:pt>
                <c:pt idx="76">
                  <c:v>245456.04166666666</c:v>
                </c:pt>
                <c:pt idx="77">
                  <c:v>248533.33333333334</c:v>
                </c:pt>
                <c:pt idx="78">
                  <c:v>250200</c:v>
                </c:pt>
                <c:pt idx="79">
                  <c:v>251533.33333333334</c:v>
                </c:pt>
                <c:pt idx="80">
                  <c:v>252975</c:v>
                </c:pt>
                <c:pt idx="81">
                  <c:v>252308.33333333334</c:v>
                </c:pt>
                <c:pt idx="82">
                  <c:v>252966.66666666666</c:v>
                </c:pt>
                <c:pt idx="83">
                  <c:v>254050</c:v>
                </c:pt>
                <c:pt idx="84">
                  <c:v>256466.66666666666</c:v>
                </c:pt>
                <c:pt idx="85">
                  <c:v>257633.33333333334</c:v>
                </c:pt>
                <c:pt idx="86">
                  <c:v>258966.66666666666</c:v>
                </c:pt>
                <c:pt idx="87">
                  <c:v>259416.66666666666</c:v>
                </c:pt>
                <c:pt idx="88">
                  <c:v>260458.33333333334</c:v>
                </c:pt>
                <c:pt idx="89">
                  <c:v>260458.33333333334</c:v>
                </c:pt>
                <c:pt idx="90">
                  <c:v>261700</c:v>
                </c:pt>
                <c:pt idx="91">
                  <c:v>264520.83333333331</c:v>
                </c:pt>
                <c:pt idx="92">
                  <c:v>266004.16666666669</c:v>
                </c:pt>
                <c:pt idx="93">
                  <c:v>268912.5</c:v>
                </c:pt>
                <c:pt idx="94">
                  <c:v>270979.16666666669</c:v>
                </c:pt>
                <c:pt idx="95">
                  <c:v>273891.66666666669</c:v>
                </c:pt>
                <c:pt idx="96">
                  <c:v>272266.66666666669</c:v>
                </c:pt>
                <c:pt idx="97">
                  <c:v>274766.66666666669</c:v>
                </c:pt>
                <c:pt idx="98">
                  <c:v>276016.66666666669</c:v>
                </c:pt>
                <c:pt idx="99">
                  <c:v>280150</c:v>
                </c:pt>
                <c:pt idx="100">
                  <c:v>280233.33333333331</c:v>
                </c:pt>
                <c:pt idx="101">
                  <c:v>281229.16666666669</c:v>
                </c:pt>
                <c:pt idx="102">
                  <c:v>283237.5</c:v>
                </c:pt>
                <c:pt idx="103">
                  <c:v>283333.33333333331</c:v>
                </c:pt>
                <c:pt idx="104">
                  <c:v>284583.33333333331</c:v>
                </c:pt>
                <c:pt idx="105">
                  <c:v>285008.33333333331</c:v>
                </c:pt>
                <c:pt idx="106">
                  <c:v>286283.33333333331</c:v>
                </c:pt>
                <c:pt idx="107">
                  <c:v>288120.83333333331</c:v>
                </c:pt>
                <c:pt idx="108">
                  <c:v>291620.83333333331</c:v>
                </c:pt>
                <c:pt idx="109">
                  <c:v>292329.16666666669</c:v>
                </c:pt>
                <c:pt idx="110">
                  <c:v>293995.83333333331</c:v>
                </c:pt>
                <c:pt idx="111">
                  <c:v>295037.5</c:v>
                </c:pt>
                <c:pt idx="112">
                  <c:v>298870.83333333331</c:v>
                </c:pt>
                <c:pt idx="113">
                  <c:v>302458.33333333331</c:v>
                </c:pt>
                <c:pt idx="114">
                  <c:v>303458.33333333331</c:v>
                </c:pt>
                <c:pt idx="115">
                  <c:v>306350.20833333331</c:v>
                </c:pt>
                <c:pt idx="116">
                  <c:v>311296.04166666669</c:v>
                </c:pt>
                <c:pt idx="117">
                  <c:v>316337.70833333331</c:v>
                </c:pt>
                <c:pt idx="118">
                  <c:v>321337.70833333331</c:v>
                </c:pt>
                <c:pt idx="119">
                  <c:v>323121.04166666669</c:v>
                </c:pt>
                <c:pt idx="120">
                  <c:v>325829.375</c:v>
                </c:pt>
                <c:pt idx="121">
                  <c:v>328537.70833333331</c:v>
                </c:pt>
                <c:pt idx="122">
                  <c:v>332766.875</c:v>
                </c:pt>
                <c:pt idx="123">
                  <c:v>336500.20833333331</c:v>
                </c:pt>
                <c:pt idx="124">
                  <c:v>340583.54166666669</c:v>
                </c:pt>
                <c:pt idx="125">
                  <c:v>346408.54166666669</c:v>
                </c:pt>
                <c:pt idx="126">
                  <c:v>353658.54166666669</c:v>
                </c:pt>
                <c:pt idx="127">
                  <c:v>358683.33333333331</c:v>
                </c:pt>
                <c:pt idx="128">
                  <c:v>362070.83333333331</c:v>
                </c:pt>
                <c:pt idx="129">
                  <c:v>364695.83333333331</c:v>
                </c:pt>
                <c:pt idx="130">
                  <c:v>366841.66666666669</c:v>
                </c:pt>
                <c:pt idx="131">
                  <c:v>371308.33333333331</c:v>
                </c:pt>
                <c:pt idx="132">
                  <c:v>374225</c:v>
                </c:pt>
                <c:pt idx="133">
                  <c:v>379558.33333333331</c:v>
                </c:pt>
                <c:pt idx="134">
                  <c:v>381579.16666666669</c:v>
                </c:pt>
                <c:pt idx="135">
                  <c:v>386220.83333333331</c:v>
                </c:pt>
                <c:pt idx="136">
                  <c:v>391137.5</c:v>
                </c:pt>
                <c:pt idx="137">
                  <c:v>393645.83333333331</c:v>
                </c:pt>
                <c:pt idx="138">
                  <c:v>396562.5</c:v>
                </c:pt>
                <c:pt idx="139">
                  <c:v>401145.83333333331</c:v>
                </c:pt>
              </c:numCache>
            </c:numRef>
          </c:val>
          <c:smooth val="1"/>
          <c:extLst>
            <c:ext xmlns:c16="http://schemas.microsoft.com/office/drawing/2014/chart" uri="{C3380CC4-5D6E-409C-BE32-E72D297353CC}">
              <c16:uniqueId val="{00000000-175D-47CE-AADD-9345EEC9CE62}"/>
            </c:ext>
          </c:extLst>
        </c:ser>
        <c:dLbls>
          <c:showLegendKey val="0"/>
          <c:showVal val="0"/>
          <c:showCatName val="0"/>
          <c:showSerName val="0"/>
          <c:showPercent val="0"/>
          <c:showBubbleSize val="0"/>
        </c:dLbls>
        <c:smooth val="0"/>
        <c:axId val="927497776"/>
        <c:axId val="927491952"/>
        <c:extLst/>
      </c:lineChart>
      <c:dateAx>
        <c:axId val="927497776"/>
        <c:scaling>
          <c:orientation val="minMax"/>
        </c:scaling>
        <c:delete val="0"/>
        <c:axPos val="b"/>
        <c:numFmt formatCode="yy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w Cen MT" panose="020B0602020104020603" pitchFamily="34" charset="0"/>
                <a:ea typeface="+mn-ea"/>
                <a:cs typeface="+mn-cs"/>
              </a:defRPr>
            </a:pPr>
            <a:endParaRPr lang="en-US"/>
          </a:p>
        </c:txPr>
        <c:crossAx val="927491952"/>
        <c:crosses val="autoZero"/>
        <c:auto val="0"/>
        <c:lblOffset val="100"/>
        <c:baseTimeUnit val="months"/>
        <c:majorUnit val="12"/>
        <c:majorTimeUnit val="months"/>
        <c:minorUnit val="2"/>
      </c:dateAx>
      <c:valAx>
        <c:axId val="927491952"/>
        <c:scaling>
          <c:orientation val="minMax"/>
          <c:min val="150000"/>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w Cen MT" panose="020B0602020104020603" pitchFamily="34" charset="0"/>
                <a:ea typeface="+mn-ea"/>
                <a:cs typeface="+mn-cs"/>
              </a:defRPr>
            </a:pPr>
            <a:endParaRPr lang="en-US"/>
          </a:p>
        </c:txPr>
        <c:crossAx val="927497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Tw Cen MT" panose="020B0602020104020603" pitchFamily="34"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ysClr val="windowText" lastClr="000000"/>
                </a:solidFill>
                <a:latin typeface="Tw Cen MT" panose="020B0602020104020603" pitchFamily="34" charset="0"/>
                <a:ea typeface="+mn-ea"/>
                <a:cs typeface="+mn-cs"/>
              </a:defRPr>
            </a:pPr>
            <a:r>
              <a:rPr lang="en-US" sz="1600">
                <a:solidFill>
                  <a:sysClr val="windowText" lastClr="000000"/>
                </a:solidFill>
              </a:rPr>
              <a:t>Households by Income</a:t>
            </a:r>
          </a:p>
        </c:rich>
      </c:tx>
      <c:overlay val="0"/>
      <c:spPr>
        <a:noFill/>
        <a:ln>
          <a:noFill/>
        </a:ln>
        <a:effectLst/>
      </c:spPr>
      <c:txPr>
        <a:bodyPr rot="0" spcFirstLastPara="1" vertOverflow="ellipsis" vert="horz" wrap="square" anchor="ctr" anchorCtr="1"/>
        <a:lstStyle/>
        <a:p>
          <a:pPr>
            <a:defRPr sz="1600" b="0" i="0" u="none" strike="noStrike" kern="1200" spc="0" baseline="0">
              <a:solidFill>
                <a:sysClr val="windowText" lastClr="000000"/>
              </a:solidFill>
              <a:latin typeface="Tw Cen MT" panose="020B0602020104020603" pitchFamily="34" charset="0"/>
              <a:ea typeface="+mn-ea"/>
              <a:cs typeface="+mn-cs"/>
            </a:defRPr>
          </a:pPr>
          <a:endParaRPr lang="en-US"/>
        </a:p>
      </c:txPr>
    </c:title>
    <c:autoTitleDeleted val="0"/>
    <c:plotArea>
      <c:layout/>
      <c:barChart>
        <c:barDir val="col"/>
        <c:grouping val="clustered"/>
        <c:varyColors val="0"/>
        <c:ser>
          <c:idx val="0"/>
          <c:order val="0"/>
          <c:tx>
            <c:strRef>
              <c:f>'Income Bands'!$C$38</c:f>
              <c:strCache>
                <c:ptCount val="1"/>
                <c:pt idx="0">
                  <c:v>SNHPC Household Income</c:v>
                </c:pt>
              </c:strCache>
            </c:strRef>
          </c:tx>
          <c:spPr>
            <a:solidFill>
              <a:srgbClr val="C00000"/>
            </a:solidFill>
            <a:ln>
              <a:noFill/>
            </a:ln>
            <a:effectLst/>
          </c:spPr>
          <c:invertIfNegative val="0"/>
          <c:cat>
            <c:strRef>
              <c:f>'Income Bands'!$D$37:$M$37</c:f>
              <c:strCache>
                <c:ptCount val="10"/>
                <c:pt idx="0">
                  <c:v>Less than $10K</c:v>
                </c:pt>
                <c:pt idx="1">
                  <c:v>$10K to $15K</c:v>
                </c:pt>
                <c:pt idx="2">
                  <c:v>$15K to $25K</c:v>
                </c:pt>
                <c:pt idx="3">
                  <c:v>$25K to $35K</c:v>
                </c:pt>
                <c:pt idx="4">
                  <c:v>$35K to $50K</c:v>
                </c:pt>
                <c:pt idx="5">
                  <c:v>$50K to $75K</c:v>
                </c:pt>
                <c:pt idx="6">
                  <c:v>$75K to $100K</c:v>
                </c:pt>
                <c:pt idx="7">
                  <c:v>$100K to $150K</c:v>
                </c:pt>
                <c:pt idx="8">
                  <c:v>$150K to $200K</c:v>
                </c:pt>
                <c:pt idx="9">
                  <c:v>$200K or more</c:v>
                </c:pt>
              </c:strCache>
            </c:strRef>
          </c:cat>
          <c:val>
            <c:numRef>
              <c:f>'Income Bands'!$D$38:$M$38</c:f>
              <c:numCache>
                <c:formatCode>0%</c:formatCode>
                <c:ptCount val="10"/>
                <c:pt idx="0">
                  <c:v>3.6002148767673138E-2</c:v>
                </c:pt>
                <c:pt idx="1">
                  <c:v>2.4585395989729267E-2</c:v>
                </c:pt>
                <c:pt idx="2">
                  <c:v>6.2302622737388354E-2</c:v>
                </c:pt>
                <c:pt idx="3">
                  <c:v>7.0920832418801302E-2</c:v>
                </c:pt>
                <c:pt idx="4">
                  <c:v>9.6008828990969547E-2</c:v>
                </c:pt>
                <c:pt idx="5">
                  <c:v>0.16902284490167208</c:v>
                </c:pt>
                <c:pt idx="6">
                  <c:v>0.13288793513060837</c:v>
                </c:pt>
                <c:pt idx="7">
                  <c:v>0.194349307076782</c:v>
                </c:pt>
                <c:pt idx="8">
                  <c:v>0.10685603837642088</c:v>
                </c:pt>
                <c:pt idx="9">
                  <c:v>0.1070640456099556</c:v>
                </c:pt>
              </c:numCache>
            </c:numRef>
          </c:val>
          <c:extLst>
            <c:ext xmlns:c16="http://schemas.microsoft.com/office/drawing/2014/chart" uri="{C3380CC4-5D6E-409C-BE32-E72D297353CC}">
              <c16:uniqueId val="{00000000-6239-4D6A-8A0A-4FAD0FFA3B0F}"/>
            </c:ext>
          </c:extLst>
        </c:ser>
        <c:ser>
          <c:idx val="1"/>
          <c:order val="1"/>
          <c:tx>
            <c:strRef>
              <c:f>'Income Bands'!$C$39</c:f>
              <c:strCache>
                <c:ptCount val="1"/>
                <c:pt idx="0">
                  <c:v>US Household Income</c:v>
                </c:pt>
              </c:strCache>
            </c:strRef>
          </c:tx>
          <c:spPr>
            <a:solidFill>
              <a:schemeClr val="tx1"/>
            </a:solidFill>
            <a:ln>
              <a:noFill/>
            </a:ln>
            <a:effectLst/>
          </c:spPr>
          <c:invertIfNegative val="0"/>
          <c:cat>
            <c:strRef>
              <c:f>'Income Bands'!$D$37:$M$37</c:f>
              <c:strCache>
                <c:ptCount val="10"/>
                <c:pt idx="0">
                  <c:v>Less than $10K</c:v>
                </c:pt>
                <c:pt idx="1">
                  <c:v>$10K to $15K</c:v>
                </c:pt>
                <c:pt idx="2">
                  <c:v>$15K to $25K</c:v>
                </c:pt>
                <c:pt idx="3">
                  <c:v>$25K to $35K</c:v>
                </c:pt>
                <c:pt idx="4">
                  <c:v>$35K to $50K</c:v>
                </c:pt>
                <c:pt idx="5">
                  <c:v>$50K to $75K</c:v>
                </c:pt>
                <c:pt idx="6">
                  <c:v>$75K to $100K</c:v>
                </c:pt>
                <c:pt idx="7">
                  <c:v>$100K to $150K</c:v>
                </c:pt>
                <c:pt idx="8">
                  <c:v>$150K to $200K</c:v>
                </c:pt>
                <c:pt idx="9">
                  <c:v>$200K or more</c:v>
                </c:pt>
              </c:strCache>
            </c:strRef>
          </c:cat>
          <c:val>
            <c:numRef>
              <c:f>'Income Bands'!$D$39:$M$39</c:f>
              <c:numCache>
                <c:formatCode>0%</c:formatCode>
                <c:ptCount val="10"/>
                <c:pt idx="0">
                  <c:v>5.7999999999999996E-2</c:v>
                </c:pt>
                <c:pt idx="1">
                  <c:v>4.0999999999999995E-2</c:v>
                </c:pt>
                <c:pt idx="2">
                  <c:v>8.5000000000000006E-2</c:v>
                </c:pt>
                <c:pt idx="3">
                  <c:v>8.5999999999999993E-2</c:v>
                </c:pt>
                <c:pt idx="4">
                  <c:v>0.12</c:v>
                </c:pt>
                <c:pt idx="5">
                  <c:v>0.17199999999999999</c:v>
                </c:pt>
                <c:pt idx="6">
                  <c:v>0.128</c:v>
                </c:pt>
                <c:pt idx="7">
                  <c:v>0.156</c:v>
                </c:pt>
                <c:pt idx="8">
                  <c:v>7.0999999999999994E-2</c:v>
                </c:pt>
                <c:pt idx="9">
                  <c:v>8.3000000000000004E-2</c:v>
                </c:pt>
              </c:numCache>
            </c:numRef>
          </c:val>
          <c:extLst>
            <c:ext xmlns:c16="http://schemas.microsoft.com/office/drawing/2014/chart" uri="{C3380CC4-5D6E-409C-BE32-E72D297353CC}">
              <c16:uniqueId val="{00000001-6239-4D6A-8A0A-4FAD0FFA3B0F}"/>
            </c:ext>
          </c:extLst>
        </c:ser>
        <c:dLbls>
          <c:showLegendKey val="0"/>
          <c:showVal val="0"/>
          <c:showCatName val="0"/>
          <c:showSerName val="0"/>
          <c:showPercent val="0"/>
          <c:showBubbleSize val="0"/>
        </c:dLbls>
        <c:gapWidth val="219"/>
        <c:overlap val="-27"/>
        <c:axId val="1759190319"/>
        <c:axId val="1759176591"/>
      </c:barChart>
      <c:catAx>
        <c:axId val="1759190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1759176591"/>
        <c:crosses val="autoZero"/>
        <c:auto val="1"/>
        <c:lblAlgn val="ctr"/>
        <c:lblOffset val="100"/>
        <c:noMultiLvlLbl val="0"/>
      </c:catAx>
      <c:valAx>
        <c:axId val="1759176591"/>
        <c:scaling>
          <c:orientation val="minMax"/>
          <c:max val="0.22000000000000003"/>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Tw Cen MT" panose="020B0602020104020603" pitchFamily="34" charset="0"/>
                    <a:ea typeface="+mn-ea"/>
                    <a:cs typeface="+mn-cs"/>
                  </a:defRPr>
                </a:pPr>
                <a:r>
                  <a:rPr lang="en-US">
                    <a:solidFill>
                      <a:sysClr val="windowText" lastClr="000000"/>
                    </a:solidFill>
                  </a:rPr>
                  <a:t>Percentage of All Households</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w Cen MT" panose="020B0602020104020603" pitchFamily="34" charset="0"/>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17591903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w Cen MT" panose="020B06020201040206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latin typeface="Tw Cen MT" panose="020B0602020104020603" pitchFamily="34"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r>
              <a:rPr lang="en-US" sz="1400"/>
              <a:t>Median Household Income</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w Cen MT" panose="020B0602020104020603" pitchFamily="34" charset="0"/>
              <a:ea typeface="+mn-ea"/>
              <a:cs typeface="+mn-cs"/>
            </a:defRPr>
          </a:pPr>
          <a:endParaRPr lang="en-US"/>
        </a:p>
      </c:txPr>
    </c:title>
    <c:autoTitleDeleted val="0"/>
    <c:plotArea>
      <c:layout/>
      <c:barChart>
        <c:barDir val="col"/>
        <c:grouping val="clustered"/>
        <c:varyColors val="0"/>
        <c:ser>
          <c:idx val="0"/>
          <c:order val="0"/>
          <c:tx>
            <c:strRef>
              <c:f>'60-IV(F)(1)(i)-Median Income'!$B$3</c:f>
              <c:strCache>
                <c:ptCount val="1"/>
                <c:pt idx="0">
                  <c:v>2010</c:v>
                </c:pt>
              </c:strCache>
            </c:strRef>
          </c:tx>
          <c:spPr>
            <a:solidFill>
              <a:schemeClr val="tx1"/>
            </a:solidFill>
            <a:ln>
              <a:noFill/>
            </a:ln>
            <a:effectLst/>
          </c:spPr>
          <c:invertIfNegative val="0"/>
          <c:cat>
            <c:strRef>
              <c:f>'60-IV(F)(1)(i)-Median Income'!$A$4:$A$19</c:f>
              <c:strCache>
                <c:ptCount val="16"/>
                <c:pt idx="0">
                  <c:v>Auburn</c:v>
                </c:pt>
                <c:pt idx="1">
                  <c:v>Bedford</c:v>
                </c:pt>
                <c:pt idx="2">
                  <c:v>Candia</c:v>
                </c:pt>
                <c:pt idx="3">
                  <c:v>Chester</c:v>
                </c:pt>
                <c:pt idx="4">
                  <c:v>Deerfield</c:v>
                </c:pt>
                <c:pt idx="5">
                  <c:v>Derry</c:v>
                </c:pt>
                <c:pt idx="6">
                  <c:v>Francestown</c:v>
                </c:pt>
                <c:pt idx="7">
                  <c:v>Goffstown</c:v>
                </c:pt>
                <c:pt idx="8">
                  <c:v>Hooksett</c:v>
                </c:pt>
                <c:pt idx="9">
                  <c:v>Londonderry</c:v>
                </c:pt>
                <c:pt idx="10">
                  <c:v>Manchester</c:v>
                </c:pt>
                <c:pt idx="11">
                  <c:v>New Boston</c:v>
                </c:pt>
                <c:pt idx="12">
                  <c:v>Weare</c:v>
                </c:pt>
                <c:pt idx="13">
                  <c:v>Windham</c:v>
                </c:pt>
                <c:pt idx="14">
                  <c:v>SNHPC</c:v>
                </c:pt>
                <c:pt idx="15">
                  <c:v>NH</c:v>
                </c:pt>
              </c:strCache>
            </c:strRef>
          </c:cat>
          <c:val>
            <c:numRef>
              <c:f>'60-IV(F)(1)(i)-Median Income'!$B$4:$B$19</c:f>
              <c:numCache>
                <c:formatCode>"$"#,##0</c:formatCode>
                <c:ptCount val="16"/>
                <c:pt idx="0">
                  <c:v>90082</c:v>
                </c:pt>
                <c:pt idx="1">
                  <c:v>116299</c:v>
                </c:pt>
                <c:pt idx="2">
                  <c:v>91075</c:v>
                </c:pt>
                <c:pt idx="3">
                  <c:v>99970</c:v>
                </c:pt>
                <c:pt idx="4">
                  <c:v>85573</c:v>
                </c:pt>
                <c:pt idx="5">
                  <c:v>71076</c:v>
                </c:pt>
                <c:pt idx="6">
                  <c:v>78750</c:v>
                </c:pt>
                <c:pt idx="7">
                  <c:v>76171</c:v>
                </c:pt>
                <c:pt idx="8">
                  <c:v>81500</c:v>
                </c:pt>
                <c:pt idx="9">
                  <c:v>89494</c:v>
                </c:pt>
                <c:pt idx="10">
                  <c:v>53377</c:v>
                </c:pt>
                <c:pt idx="11">
                  <c:v>86140</c:v>
                </c:pt>
                <c:pt idx="12">
                  <c:v>78480</c:v>
                </c:pt>
                <c:pt idx="13">
                  <c:v>112386</c:v>
                </c:pt>
                <c:pt idx="14">
                  <c:v>72340.913536195178</c:v>
                </c:pt>
                <c:pt idx="15">
                  <c:v>63277</c:v>
                </c:pt>
              </c:numCache>
            </c:numRef>
          </c:val>
          <c:extLst>
            <c:ext xmlns:c16="http://schemas.microsoft.com/office/drawing/2014/chart" uri="{C3380CC4-5D6E-409C-BE32-E72D297353CC}">
              <c16:uniqueId val="{00000000-B53C-48BD-A438-216CDDDCC0A1}"/>
            </c:ext>
          </c:extLst>
        </c:ser>
        <c:ser>
          <c:idx val="1"/>
          <c:order val="1"/>
          <c:tx>
            <c:strRef>
              <c:f>'60-IV(F)(1)(i)-Median Income'!$C$3</c:f>
              <c:strCache>
                <c:ptCount val="1"/>
                <c:pt idx="0">
                  <c:v>2015</c:v>
                </c:pt>
              </c:strCache>
            </c:strRef>
          </c:tx>
          <c:spPr>
            <a:solidFill>
              <a:srgbClr val="7C7C7C"/>
            </a:solidFill>
            <a:ln>
              <a:noFill/>
            </a:ln>
            <a:effectLst/>
          </c:spPr>
          <c:invertIfNegative val="0"/>
          <c:cat>
            <c:strRef>
              <c:f>'60-IV(F)(1)(i)-Median Income'!$A$4:$A$19</c:f>
              <c:strCache>
                <c:ptCount val="16"/>
                <c:pt idx="0">
                  <c:v>Auburn</c:v>
                </c:pt>
                <c:pt idx="1">
                  <c:v>Bedford</c:v>
                </c:pt>
                <c:pt idx="2">
                  <c:v>Candia</c:v>
                </c:pt>
                <c:pt idx="3">
                  <c:v>Chester</c:v>
                </c:pt>
                <c:pt idx="4">
                  <c:v>Deerfield</c:v>
                </c:pt>
                <c:pt idx="5">
                  <c:v>Derry</c:v>
                </c:pt>
                <c:pt idx="6">
                  <c:v>Francestown</c:v>
                </c:pt>
                <c:pt idx="7">
                  <c:v>Goffstown</c:v>
                </c:pt>
                <c:pt idx="8">
                  <c:v>Hooksett</c:v>
                </c:pt>
                <c:pt idx="9">
                  <c:v>Londonderry</c:v>
                </c:pt>
                <c:pt idx="10">
                  <c:v>Manchester</c:v>
                </c:pt>
                <c:pt idx="11">
                  <c:v>New Boston</c:v>
                </c:pt>
                <c:pt idx="12">
                  <c:v>Weare</c:v>
                </c:pt>
                <c:pt idx="13">
                  <c:v>Windham</c:v>
                </c:pt>
                <c:pt idx="14">
                  <c:v>SNHPC</c:v>
                </c:pt>
                <c:pt idx="15">
                  <c:v>NH</c:v>
                </c:pt>
              </c:strCache>
            </c:strRef>
          </c:cat>
          <c:val>
            <c:numRef>
              <c:f>'60-IV(F)(1)(i)-Median Income'!$C$4:$C$19</c:f>
              <c:numCache>
                <c:formatCode>"$"#,##0</c:formatCode>
                <c:ptCount val="16"/>
                <c:pt idx="0">
                  <c:v>104231</c:v>
                </c:pt>
                <c:pt idx="1">
                  <c:v>131490</c:v>
                </c:pt>
                <c:pt idx="2">
                  <c:v>93792</c:v>
                </c:pt>
                <c:pt idx="3">
                  <c:v>109286</c:v>
                </c:pt>
                <c:pt idx="4">
                  <c:v>86011</c:v>
                </c:pt>
                <c:pt idx="5">
                  <c:v>65723</c:v>
                </c:pt>
                <c:pt idx="6">
                  <c:v>85833</c:v>
                </c:pt>
                <c:pt idx="7">
                  <c:v>70870</c:v>
                </c:pt>
                <c:pt idx="8">
                  <c:v>83908</c:v>
                </c:pt>
                <c:pt idx="9">
                  <c:v>92264</c:v>
                </c:pt>
                <c:pt idx="10">
                  <c:v>54282</c:v>
                </c:pt>
                <c:pt idx="11">
                  <c:v>97951</c:v>
                </c:pt>
                <c:pt idx="12">
                  <c:v>86552</c:v>
                </c:pt>
                <c:pt idx="13">
                  <c:v>109726</c:v>
                </c:pt>
                <c:pt idx="14">
                  <c:v>74518.613734447907</c:v>
                </c:pt>
                <c:pt idx="15">
                  <c:v>66779</c:v>
                </c:pt>
              </c:numCache>
            </c:numRef>
          </c:val>
          <c:extLst>
            <c:ext xmlns:c16="http://schemas.microsoft.com/office/drawing/2014/chart" uri="{C3380CC4-5D6E-409C-BE32-E72D297353CC}">
              <c16:uniqueId val="{00000001-B53C-48BD-A438-216CDDDCC0A1}"/>
            </c:ext>
          </c:extLst>
        </c:ser>
        <c:ser>
          <c:idx val="2"/>
          <c:order val="2"/>
          <c:tx>
            <c:strRef>
              <c:f>'60-IV(F)(1)(i)-Median Income'!$D$3</c:f>
              <c:strCache>
                <c:ptCount val="1"/>
                <c:pt idx="0">
                  <c:v>2020</c:v>
                </c:pt>
              </c:strCache>
            </c:strRef>
          </c:tx>
          <c:spPr>
            <a:solidFill>
              <a:srgbClr val="C00000"/>
            </a:solidFill>
            <a:ln>
              <a:noFill/>
            </a:ln>
            <a:effectLst/>
          </c:spPr>
          <c:invertIfNegative val="0"/>
          <c:cat>
            <c:strRef>
              <c:f>'60-IV(F)(1)(i)-Median Income'!$A$4:$A$19</c:f>
              <c:strCache>
                <c:ptCount val="16"/>
                <c:pt idx="0">
                  <c:v>Auburn</c:v>
                </c:pt>
                <c:pt idx="1">
                  <c:v>Bedford</c:v>
                </c:pt>
                <c:pt idx="2">
                  <c:v>Candia</c:v>
                </c:pt>
                <c:pt idx="3">
                  <c:v>Chester</c:v>
                </c:pt>
                <c:pt idx="4">
                  <c:v>Deerfield</c:v>
                </c:pt>
                <c:pt idx="5">
                  <c:v>Derry</c:v>
                </c:pt>
                <c:pt idx="6">
                  <c:v>Francestown</c:v>
                </c:pt>
                <c:pt idx="7">
                  <c:v>Goffstown</c:v>
                </c:pt>
                <c:pt idx="8">
                  <c:v>Hooksett</c:v>
                </c:pt>
                <c:pt idx="9">
                  <c:v>Londonderry</c:v>
                </c:pt>
                <c:pt idx="10">
                  <c:v>Manchester</c:v>
                </c:pt>
                <c:pt idx="11">
                  <c:v>New Boston</c:v>
                </c:pt>
                <c:pt idx="12">
                  <c:v>Weare</c:v>
                </c:pt>
                <c:pt idx="13">
                  <c:v>Windham</c:v>
                </c:pt>
                <c:pt idx="14">
                  <c:v>SNHPC</c:v>
                </c:pt>
                <c:pt idx="15">
                  <c:v>NH</c:v>
                </c:pt>
              </c:strCache>
            </c:strRef>
          </c:cat>
          <c:val>
            <c:numRef>
              <c:f>'60-IV(F)(1)(i)-Median Income'!$D$4:$D$19</c:f>
              <c:numCache>
                <c:formatCode>"$"#,##0</c:formatCode>
                <c:ptCount val="16"/>
                <c:pt idx="0">
                  <c:v>110163</c:v>
                </c:pt>
                <c:pt idx="1">
                  <c:v>135374</c:v>
                </c:pt>
                <c:pt idx="2">
                  <c:v>99167</c:v>
                </c:pt>
                <c:pt idx="3">
                  <c:v>133214</c:v>
                </c:pt>
                <c:pt idx="4">
                  <c:v>111003</c:v>
                </c:pt>
                <c:pt idx="5">
                  <c:v>78943</c:v>
                </c:pt>
                <c:pt idx="6">
                  <c:v>103750</c:v>
                </c:pt>
                <c:pt idx="7">
                  <c:v>93017</c:v>
                </c:pt>
                <c:pt idx="8">
                  <c:v>81937</c:v>
                </c:pt>
                <c:pt idx="9">
                  <c:v>110810</c:v>
                </c:pt>
                <c:pt idx="10">
                  <c:v>62087</c:v>
                </c:pt>
                <c:pt idx="11">
                  <c:v>132386</c:v>
                </c:pt>
                <c:pt idx="12">
                  <c:v>95775</c:v>
                </c:pt>
                <c:pt idx="13">
                  <c:v>154032</c:v>
                </c:pt>
                <c:pt idx="14">
                  <c:v>86979.778595123396</c:v>
                </c:pt>
                <c:pt idx="15">
                  <c:v>77923</c:v>
                </c:pt>
              </c:numCache>
            </c:numRef>
          </c:val>
          <c:extLst>
            <c:ext xmlns:c16="http://schemas.microsoft.com/office/drawing/2014/chart" uri="{C3380CC4-5D6E-409C-BE32-E72D297353CC}">
              <c16:uniqueId val="{00000002-B53C-48BD-A438-216CDDDCC0A1}"/>
            </c:ext>
          </c:extLst>
        </c:ser>
        <c:dLbls>
          <c:showLegendKey val="0"/>
          <c:showVal val="0"/>
          <c:showCatName val="0"/>
          <c:showSerName val="0"/>
          <c:showPercent val="0"/>
          <c:showBubbleSize val="0"/>
        </c:dLbls>
        <c:gapWidth val="202"/>
        <c:overlap val="-27"/>
        <c:axId val="1666602336"/>
        <c:axId val="1666601504"/>
      </c:barChart>
      <c:catAx>
        <c:axId val="1666602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1666601504"/>
        <c:crosses val="autoZero"/>
        <c:auto val="1"/>
        <c:lblAlgn val="ctr"/>
        <c:lblOffset val="100"/>
        <c:noMultiLvlLbl val="0"/>
      </c:catAx>
      <c:valAx>
        <c:axId val="1666601504"/>
        <c:scaling>
          <c:orientation val="minMax"/>
          <c:max val="170000"/>
          <c:min val="0"/>
        </c:scaling>
        <c:delete val="0"/>
        <c:axPos val="l"/>
        <c:majorGridlines>
          <c:spPr>
            <a:ln w="9525" cap="flat" cmpd="sng" algn="ctr">
              <a:solidFill>
                <a:schemeClr val="bg2"/>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crossAx val="1666602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w Cen MT" panose="020B0602020104020603"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100">
          <a:solidFill>
            <a:sysClr val="windowText" lastClr="000000"/>
          </a:solidFill>
          <a:latin typeface="Tw Cen MT" panose="020B0602020104020603" pitchFamily="34" charset="0"/>
        </a:defRPr>
      </a:pPr>
      <a:endParaRPr lang="en-US"/>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85000"/>
                    <a:lumOff val="15000"/>
                  </a:schemeClr>
                </a:solidFill>
                <a:latin typeface="+mn-lt"/>
                <a:ea typeface="+mn-ea"/>
                <a:cs typeface="+mn-cs"/>
              </a:defRPr>
            </a:pPr>
            <a:r>
              <a:rPr lang="en-US">
                <a:solidFill>
                  <a:schemeClr val="tx1">
                    <a:lumMod val="85000"/>
                    <a:lumOff val="15000"/>
                  </a:schemeClr>
                </a:solidFill>
              </a:rPr>
              <a:t>Percentage of Households by Area Median Income (AMI) in SNHPC Region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85000"/>
                  <a:lumOff val="1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5A8AC6"/>
              </a:solidFill>
              <a:ln w="19050">
                <a:solidFill>
                  <a:schemeClr val="lt1"/>
                </a:solidFill>
              </a:ln>
              <a:effectLst/>
            </c:spPr>
            <c:extLst>
              <c:ext xmlns:c16="http://schemas.microsoft.com/office/drawing/2014/chart" uri="{C3380CC4-5D6E-409C-BE32-E72D297353CC}">
                <c16:uniqueId val="{00000001-8DF7-435C-96ED-D1C6EE4D55AF}"/>
              </c:ext>
            </c:extLst>
          </c:dPt>
          <c:dPt>
            <c:idx val="1"/>
            <c:bubble3D val="0"/>
            <c:spPr>
              <a:solidFill>
                <a:srgbClr val="90B0D9"/>
              </a:solidFill>
              <a:ln w="19050">
                <a:solidFill>
                  <a:schemeClr val="lt1"/>
                </a:solidFill>
              </a:ln>
              <a:effectLst/>
            </c:spPr>
            <c:extLst>
              <c:ext xmlns:c16="http://schemas.microsoft.com/office/drawing/2014/chart" uri="{C3380CC4-5D6E-409C-BE32-E72D297353CC}">
                <c16:uniqueId val="{00000003-8DF7-435C-96ED-D1C6EE4D55AF}"/>
              </c:ext>
            </c:extLst>
          </c:dPt>
          <c:dPt>
            <c:idx val="2"/>
            <c:bubble3D val="0"/>
            <c:spPr>
              <a:solidFill>
                <a:srgbClr val="C2D3EA"/>
              </a:solidFill>
              <a:ln w="19050">
                <a:solidFill>
                  <a:schemeClr val="lt1"/>
                </a:solidFill>
              </a:ln>
              <a:effectLst/>
            </c:spPr>
            <c:extLst>
              <c:ext xmlns:c16="http://schemas.microsoft.com/office/drawing/2014/chart" uri="{C3380CC4-5D6E-409C-BE32-E72D297353CC}">
                <c16:uniqueId val="{00000005-8DF7-435C-96ED-D1C6EE4D55AF}"/>
              </c:ext>
            </c:extLst>
          </c:dPt>
          <c:dPt>
            <c:idx val="3"/>
            <c:bubble3D val="0"/>
            <c:spPr>
              <a:solidFill>
                <a:srgbClr val="CDDBEE"/>
              </a:solidFill>
              <a:ln w="19050">
                <a:solidFill>
                  <a:schemeClr val="lt1"/>
                </a:solidFill>
              </a:ln>
              <a:effectLst/>
            </c:spPr>
            <c:extLst>
              <c:ext xmlns:c16="http://schemas.microsoft.com/office/drawing/2014/chart" uri="{C3380CC4-5D6E-409C-BE32-E72D297353CC}">
                <c16:uniqueId val="{00000007-8DF7-435C-96ED-D1C6EE4D55AF}"/>
              </c:ext>
            </c:extLst>
          </c:dPt>
          <c:dPt>
            <c:idx val="4"/>
            <c:bubble3D val="0"/>
            <c:spPr>
              <a:solidFill>
                <a:srgbClr val="FCF3F6"/>
              </a:solidFill>
              <a:ln w="19050">
                <a:solidFill>
                  <a:schemeClr val="lt1"/>
                </a:solidFill>
              </a:ln>
              <a:effectLst/>
            </c:spPr>
            <c:extLst>
              <c:ext xmlns:c16="http://schemas.microsoft.com/office/drawing/2014/chart" uri="{C3380CC4-5D6E-409C-BE32-E72D297353CC}">
                <c16:uniqueId val="{00000009-8DF7-435C-96ED-D1C6EE4D55AF}"/>
              </c:ext>
            </c:extLst>
          </c:dPt>
          <c:dPt>
            <c:idx val="5"/>
            <c:bubble3D val="0"/>
            <c:spPr>
              <a:solidFill>
                <a:srgbClr val="FAAAAD"/>
              </a:solidFill>
              <a:ln w="19050">
                <a:solidFill>
                  <a:schemeClr val="lt1"/>
                </a:solidFill>
              </a:ln>
              <a:effectLst/>
            </c:spPr>
            <c:extLst>
              <c:ext xmlns:c16="http://schemas.microsoft.com/office/drawing/2014/chart" uri="{C3380CC4-5D6E-409C-BE32-E72D297353CC}">
                <c16:uniqueId val="{0000000B-8DF7-435C-96ED-D1C6EE4D55AF}"/>
              </c:ext>
            </c:extLst>
          </c:dPt>
          <c:dPt>
            <c:idx val="6"/>
            <c:bubble3D val="0"/>
            <c:spPr>
              <a:solidFill>
                <a:srgbClr val="F8696B"/>
              </a:solidFill>
              <a:ln w="19050">
                <a:solidFill>
                  <a:schemeClr val="lt1"/>
                </a:solidFill>
              </a:ln>
              <a:effectLst/>
            </c:spPr>
            <c:extLst>
              <c:ext xmlns:c16="http://schemas.microsoft.com/office/drawing/2014/chart" uri="{C3380CC4-5D6E-409C-BE32-E72D297353CC}">
                <c16:uniqueId val="{0000000D-8DF7-435C-96ED-D1C6EE4D55AF}"/>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'Households by AMI'!$L$3:$R$3</c:f>
              <c:strCache>
                <c:ptCount val="7"/>
                <c:pt idx="0">
                  <c:v>&lt;30% AMI</c:v>
                </c:pt>
                <c:pt idx="1">
                  <c:v>&lt;50% AMI</c:v>
                </c:pt>
                <c:pt idx="2">
                  <c:v>&lt;60% AMI</c:v>
                </c:pt>
                <c:pt idx="3">
                  <c:v>&lt;80% AMI</c:v>
                </c:pt>
                <c:pt idx="4">
                  <c:v>&lt;100% AMI</c:v>
                </c:pt>
                <c:pt idx="5">
                  <c:v>&gt;100% AMI</c:v>
                </c:pt>
                <c:pt idx="6">
                  <c:v>&gt;120% AMI</c:v>
                </c:pt>
              </c:strCache>
            </c:strRef>
          </c:cat>
          <c:val>
            <c:numRef>
              <c:f>'Households by AMI'!$L$4:$R$4</c:f>
              <c:numCache>
                <c:formatCode>0%</c:formatCode>
                <c:ptCount val="7"/>
                <c:pt idx="0">
                  <c:v>0.13</c:v>
                </c:pt>
                <c:pt idx="1">
                  <c:v>0.25</c:v>
                </c:pt>
                <c:pt idx="2">
                  <c:v>0.31</c:v>
                </c:pt>
                <c:pt idx="3">
                  <c:v>0.42</c:v>
                </c:pt>
                <c:pt idx="4">
                  <c:v>0.53</c:v>
                </c:pt>
                <c:pt idx="5">
                  <c:v>0.47</c:v>
                </c:pt>
                <c:pt idx="6">
                  <c:v>0.38</c:v>
                </c:pt>
              </c:numCache>
            </c:numRef>
          </c:val>
          <c:extLst>
            <c:ext xmlns:c16="http://schemas.microsoft.com/office/drawing/2014/chart" uri="{C3380CC4-5D6E-409C-BE32-E72D297353CC}">
              <c16:uniqueId val="{0000000E-8DF7-435C-96ED-D1C6EE4D55AF}"/>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85000"/>
                    <a:lumOff val="15000"/>
                  </a:schemeClr>
                </a:solidFill>
                <a:latin typeface="+mn-lt"/>
                <a:ea typeface="+mn-ea"/>
                <a:cs typeface="+mn-cs"/>
              </a:defRPr>
            </a:pPr>
            <a:r>
              <a:rPr lang="en-US">
                <a:solidFill>
                  <a:schemeClr val="tx1">
                    <a:lumMod val="85000"/>
                    <a:lumOff val="15000"/>
                  </a:schemeClr>
                </a:solidFill>
              </a:rPr>
              <a:t>Percentage</a:t>
            </a:r>
            <a:r>
              <a:rPr lang="en-US" baseline="0">
                <a:solidFill>
                  <a:schemeClr val="tx1">
                    <a:lumMod val="85000"/>
                    <a:lumOff val="15000"/>
                  </a:schemeClr>
                </a:solidFill>
              </a:rPr>
              <a:t> of Households by Area Median Income (AMI) in NH</a:t>
            </a:r>
            <a:endParaRPr lang="en-US">
              <a:solidFill>
                <a:schemeClr val="tx1">
                  <a:lumMod val="85000"/>
                  <a:lumOff val="15000"/>
                </a:scheme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85000"/>
                  <a:lumOff val="15000"/>
                </a:schemeClr>
              </a:solidFill>
              <a:latin typeface="+mn-lt"/>
              <a:ea typeface="+mn-ea"/>
              <a:cs typeface="+mn-cs"/>
            </a:defRPr>
          </a:pPr>
          <a:endParaRPr lang="en-US"/>
        </a:p>
      </c:txPr>
    </c:title>
    <c:autoTitleDeleted val="0"/>
    <c:plotArea>
      <c:layout/>
      <c:pieChart>
        <c:varyColors val="1"/>
        <c:ser>
          <c:idx val="0"/>
          <c:order val="0"/>
          <c:dPt>
            <c:idx val="0"/>
            <c:bubble3D val="0"/>
            <c:spPr>
              <a:solidFill>
                <a:srgbClr val="5A8AC6"/>
              </a:solidFill>
              <a:ln w="19050">
                <a:solidFill>
                  <a:schemeClr val="lt1"/>
                </a:solidFill>
              </a:ln>
              <a:effectLst/>
            </c:spPr>
            <c:extLst>
              <c:ext xmlns:c16="http://schemas.microsoft.com/office/drawing/2014/chart" uri="{C3380CC4-5D6E-409C-BE32-E72D297353CC}">
                <c16:uniqueId val="{00000001-6D51-4914-91B2-F88E1B6947F7}"/>
              </c:ext>
            </c:extLst>
          </c:dPt>
          <c:dPt>
            <c:idx val="1"/>
            <c:bubble3D val="0"/>
            <c:spPr>
              <a:solidFill>
                <a:srgbClr val="90B0D9"/>
              </a:solidFill>
              <a:ln w="19050">
                <a:solidFill>
                  <a:schemeClr val="lt1"/>
                </a:solidFill>
              </a:ln>
              <a:effectLst/>
            </c:spPr>
            <c:extLst>
              <c:ext xmlns:c16="http://schemas.microsoft.com/office/drawing/2014/chart" uri="{C3380CC4-5D6E-409C-BE32-E72D297353CC}">
                <c16:uniqueId val="{00000003-6D51-4914-91B2-F88E1B6947F7}"/>
              </c:ext>
            </c:extLst>
          </c:dPt>
          <c:dPt>
            <c:idx val="2"/>
            <c:bubble3D val="0"/>
            <c:spPr>
              <a:solidFill>
                <a:srgbClr val="C2D3EA"/>
              </a:solidFill>
              <a:ln w="19050">
                <a:solidFill>
                  <a:schemeClr val="lt1"/>
                </a:solidFill>
              </a:ln>
              <a:effectLst/>
            </c:spPr>
            <c:extLst>
              <c:ext xmlns:c16="http://schemas.microsoft.com/office/drawing/2014/chart" uri="{C3380CC4-5D6E-409C-BE32-E72D297353CC}">
                <c16:uniqueId val="{00000005-6D51-4914-91B2-F88E1B6947F7}"/>
              </c:ext>
            </c:extLst>
          </c:dPt>
          <c:dPt>
            <c:idx val="3"/>
            <c:bubble3D val="0"/>
            <c:spPr>
              <a:solidFill>
                <a:srgbClr val="CDDBEE"/>
              </a:solidFill>
              <a:ln w="19050">
                <a:solidFill>
                  <a:schemeClr val="lt1"/>
                </a:solidFill>
              </a:ln>
              <a:effectLst/>
            </c:spPr>
            <c:extLst>
              <c:ext xmlns:c16="http://schemas.microsoft.com/office/drawing/2014/chart" uri="{C3380CC4-5D6E-409C-BE32-E72D297353CC}">
                <c16:uniqueId val="{00000007-6D51-4914-91B2-F88E1B6947F7}"/>
              </c:ext>
            </c:extLst>
          </c:dPt>
          <c:dPt>
            <c:idx val="4"/>
            <c:bubble3D val="0"/>
            <c:spPr>
              <a:solidFill>
                <a:srgbClr val="FCF3F6"/>
              </a:solidFill>
              <a:ln w="19050">
                <a:solidFill>
                  <a:schemeClr val="lt1"/>
                </a:solidFill>
              </a:ln>
              <a:effectLst/>
            </c:spPr>
            <c:extLst>
              <c:ext xmlns:c16="http://schemas.microsoft.com/office/drawing/2014/chart" uri="{C3380CC4-5D6E-409C-BE32-E72D297353CC}">
                <c16:uniqueId val="{00000009-6D51-4914-91B2-F88E1B6947F7}"/>
              </c:ext>
            </c:extLst>
          </c:dPt>
          <c:dPt>
            <c:idx val="5"/>
            <c:bubble3D val="0"/>
            <c:spPr>
              <a:solidFill>
                <a:srgbClr val="FAAAAD"/>
              </a:solidFill>
              <a:ln w="19050">
                <a:solidFill>
                  <a:schemeClr val="lt1"/>
                </a:solidFill>
              </a:ln>
              <a:effectLst/>
            </c:spPr>
            <c:extLst>
              <c:ext xmlns:c16="http://schemas.microsoft.com/office/drawing/2014/chart" uri="{C3380CC4-5D6E-409C-BE32-E72D297353CC}">
                <c16:uniqueId val="{0000000B-6D51-4914-91B2-F88E1B6947F7}"/>
              </c:ext>
            </c:extLst>
          </c:dPt>
          <c:dPt>
            <c:idx val="6"/>
            <c:bubble3D val="0"/>
            <c:spPr>
              <a:solidFill>
                <a:srgbClr val="F8696B"/>
              </a:solidFill>
              <a:ln w="19050">
                <a:solidFill>
                  <a:schemeClr val="lt1"/>
                </a:solidFill>
              </a:ln>
              <a:effectLst/>
            </c:spPr>
            <c:extLst>
              <c:ext xmlns:c16="http://schemas.microsoft.com/office/drawing/2014/chart" uri="{C3380CC4-5D6E-409C-BE32-E72D297353CC}">
                <c16:uniqueId val="{0000000D-6D51-4914-91B2-F88E1B6947F7}"/>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'Households by AMI'!$U$3:$AA$3</c:f>
              <c:strCache>
                <c:ptCount val="7"/>
                <c:pt idx="0">
                  <c:v>&lt;30% AMI</c:v>
                </c:pt>
                <c:pt idx="1">
                  <c:v>&lt;50% AMI</c:v>
                </c:pt>
                <c:pt idx="2">
                  <c:v>&lt;60% AMI</c:v>
                </c:pt>
                <c:pt idx="3">
                  <c:v>&lt;80% AMI</c:v>
                </c:pt>
                <c:pt idx="4">
                  <c:v>&lt;100% AMI</c:v>
                </c:pt>
                <c:pt idx="5">
                  <c:v>&gt;100% AMI</c:v>
                </c:pt>
                <c:pt idx="6">
                  <c:v>&gt;120% AMI</c:v>
                </c:pt>
              </c:strCache>
            </c:strRef>
          </c:cat>
          <c:val>
            <c:numRef>
              <c:f>'Households by AMI'!$U$4:$AA$4</c:f>
              <c:numCache>
                <c:formatCode>0%</c:formatCode>
                <c:ptCount val="7"/>
                <c:pt idx="0">
                  <c:v>0.15</c:v>
                </c:pt>
                <c:pt idx="1">
                  <c:v>0.28000000000000003</c:v>
                </c:pt>
                <c:pt idx="2">
                  <c:v>0.34</c:v>
                </c:pt>
                <c:pt idx="3">
                  <c:v>0.47</c:v>
                </c:pt>
                <c:pt idx="4">
                  <c:v>0.57999999999999996</c:v>
                </c:pt>
                <c:pt idx="5">
                  <c:v>0.42</c:v>
                </c:pt>
                <c:pt idx="6">
                  <c:v>0.33</c:v>
                </c:pt>
              </c:numCache>
            </c:numRef>
          </c:val>
          <c:extLst>
            <c:ext xmlns:c16="http://schemas.microsoft.com/office/drawing/2014/chart" uri="{C3380CC4-5D6E-409C-BE32-E72D297353CC}">
              <c16:uniqueId val="{0000000E-6D51-4914-91B2-F88E1B6947F7}"/>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E8E816A4-8A8F-4395-A83D-271556CA4C9F}">
    <t:Anchor>
      <t:Comment id="634164694"/>
    </t:Anchor>
    <t:History>
      <t:Event id="{3B436D5D-7F51-47D0-9AA3-A14D86164D02}" time="2022-06-03T18:11:47.566Z">
        <t:Attribution userId="S::jvayo@snhpc.org::7a1247d9-2347-427c-b7e8-fdf5faac4a4e" userProvider="AD" userName="James Vayo"/>
        <t:Anchor>
          <t:Comment id="2055632527"/>
        </t:Anchor>
        <t:Create/>
      </t:Event>
      <t:Event id="{C272C2F2-E4DF-4D7F-8F57-69C332B10664}" time="2022-06-03T18:11:47.566Z">
        <t:Attribution userId="S::jvayo@snhpc.org::7a1247d9-2347-427c-b7e8-fdf5faac4a4e" userProvider="AD" userName="James Vayo"/>
        <t:Anchor>
          <t:Comment id="2055632527"/>
        </t:Anchor>
        <t:Assign userId="S::zswick@snhpc.org::f0f2677a-1f9c-45fb-a4e1-463a18233f89" userProvider="AD" userName="Zachary Swick"/>
      </t:Event>
      <t:Event id="{86E43F44-A99F-455D-82D5-B7CF0F99B1AE}" time="2022-06-03T18:11:47.566Z">
        <t:Attribution userId="S::jvayo@snhpc.org::7a1247d9-2347-427c-b7e8-fdf5faac4a4e" userProvider="AD" userName="James Vayo"/>
        <t:Anchor>
          <t:Comment id="2055632527"/>
        </t:Anchor>
        <t:SetTitle title="@Zachary Swick Tables are good. If you have emm... Toss them in!"/>
      </t:Event>
    </t:History>
  </t:Task>
  <t:Task id="{AF9F69AE-C433-4C59-8D39-753BA52B5287}">
    <t:Anchor>
      <t:Comment id="1426250162"/>
    </t:Anchor>
    <t:History>
      <t:Event id="{89455C56-A2DA-4A52-98EC-885FC9774B5D}" time="2022-12-07T21:14:53.383Z">
        <t:Attribution userId="S::svonaulock@snhpc.org::70982361-d583-4aef-8d3e-37fdedea2c64" userProvider="AD" userName="Sylvia von Aulock"/>
        <t:Anchor>
          <t:Comment id="1426250162"/>
        </t:Anchor>
        <t:Create/>
      </t:Event>
      <t:Event id="{588726E4-324D-4A4A-AEC8-7C144250AB39}" time="2022-12-07T21:14:53.383Z">
        <t:Attribution userId="S::svonaulock@snhpc.org::70982361-d583-4aef-8d3e-37fdedea2c64" userProvider="AD" userName="Sylvia von Aulock"/>
        <t:Anchor>
          <t:Comment id="1426250162"/>
        </t:Anchor>
        <t:Assign userId="S::cprolman@snhpc.org::563260de-bb27-4552-96b6-b28e9aba6aad" userProvider="AD" userName="Cameron Prolman"/>
      </t:Event>
      <t:Event id="{BD6AFB9A-6C69-414C-8C1B-5EA0F769E8CB}" time="2022-12-07T21:14:53.383Z">
        <t:Attribution userId="S::svonaulock@snhpc.org::70982361-d583-4aef-8d3e-37fdedea2c64" userProvider="AD" userName="Sylvia von Aulock"/>
        <t:Anchor>
          <t:Comment id="1426250162"/>
        </t:Anchor>
        <t:SetTitle title="@Cameron Prolman HI Cam, could you add the link to the survey?"/>
      </t:Event>
    </t:History>
  </t:Task>
  <t:Task id="{E82ED89D-99E7-498F-A8C0-CBC9CADC4762}">
    <t:Anchor>
      <t:Comment id="1714805789"/>
    </t:Anchor>
    <t:History>
      <t:Event id="{423EBF6B-3E11-47A4-BF21-9E66E7B2D219}" time="2022-10-12T17:20:14.308Z">
        <t:Attribution userId="S::svonaulock@snhpc.org::70982361-d583-4aef-8d3e-37fdedea2c64" userProvider="AD" userName="Sylvia von Aulock"/>
        <t:Anchor>
          <t:Comment id="1714805789"/>
        </t:Anchor>
        <t:Create/>
      </t:Event>
      <t:Event id="{13C8AAA6-7D93-4791-878B-24ED8188F5D7}" time="2022-10-12T17:20:14.308Z">
        <t:Attribution userId="S::svonaulock@snhpc.org::70982361-d583-4aef-8d3e-37fdedea2c64" userProvider="AD" userName="Sylvia von Aulock"/>
        <t:Anchor>
          <t:Comment id="1714805789"/>
        </t:Anchor>
        <t:Assign userId="S::zswick@snhpc.org::f0f2677a-1f9c-45fb-a4e1-463a18233f89" userProvider="AD" userName="Zachary Swick"/>
      </t:Event>
      <t:Event id="{11FF0787-7729-4C89-974F-0CCDAEC05FCA}" time="2022-10-12T17:20:14.308Z">
        <t:Attribution userId="S::svonaulock@snhpc.org::70982361-d583-4aef-8d3e-37fdedea2c64" userProvider="AD" userName="Sylvia von Aulock"/>
        <t:Anchor>
          <t:Comment id="1714805789"/>
        </t:Anchor>
        <t:SetTitle title="@Zachary Swick hey Zack, I think James has wanted you to check these figures, they do seem low, I think they must be missing a zero as he mentioned in his comment."/>
      </t:Event>
    </t:History>
  </t:Task>
  <t:Task id="{56B18777-FDE3-467C-934C-F297AB3FD980}">
    <t:Anchor>
      <t:Comment id="790859900"/>
    </t:Anchor>
    <t:History>
      <t:Event id="{1AE900AB-DA07-4080-9A81-BD4EB368FF51}" time="2022-10-27T20:05:55.891Z">
        <t:Attribution userId="S::svonaulock@snhpc.org::70982361-d583-4aef-8d3e-37fdedea2c64" userProvider="AD" userName="Sylvia von Aulock"/>
        <t:Anchor>
          <t:Comment id="790859900"/>
        </t:Anchor>
        <t:Create/>
      </t:Event>
      <t:Event id="{D2CF67DF-2013-44ED-80E4-14C6CD01FFBD}" time="2022-10-27T20:05:55.891Z">
        <t:Attribution userId="S::svonaulock@snhpc.org::70982361-d583-4aef-8d3e-37fdedea2c64" userProvider="AD" userName="Sylvia von Aulock"/>
        <t:Anchor>
          <t:Comment id="790859900"/>
        </t:Anchor>
        <t:Assign userId="S::cprolman@snhpc.org::563260de-bb27-4552-96b6-b28e9aba6aad" userProvider="AD" userName="Cameron Prolman"/>
      </t:Event>
      <t:Event id="{BEE4983B-E84E-49C5-AA12-71D2B217A69B}" time="2022-10-27T20:05:55.891Z">
        <t:Attribution userId="S::svonaulock@snhpc.org::70982361-d583-4aef-8d3e-37fdedea2c64" userProvider="AD" userName="Sylvia von Aulock"/>
        <t:Anchor>
          <t:Comment id="790859900"/>
        </t:Anchor>
        <t:SetTitle title="@Cameron Prolman Hey Cam, can you please tackle this one"/>
      </t:Event>
    </t:History>
  </t:Task>
  <t:Task id="{24F985BC-93A1-411F-9CE1-DF1CD0525FE8}">
    <t:Anchor>
      <t:Comment id="1078075160"/>
    </t:Anchor>
    <t:History>
      <t:Event id="{35B9AE77-1FD7-4269-AD25-B45E0F37730D}" time="2022-10-12T17:22:07.907Z">
        <t:Attribution userId="S::svonaulock@snhpc.org::70982361-d583-4aef-8d3e-37fdedea2c64" userProvider="AD" userName="Sylvia von Aulock"/>
        <t:Anchor>
          <t:Comment id="1078075160"/>
        </t:Anchor>
        <t:Create/>
      </t:Event>
      <t:Event id="{1AA32BCE-0E95-4FFF-A370-B4D24350FB4C}" time="2022-10-12T17:22:07.907Z">
        <t:Attribution userId="S::svonaulock@snhpc.org::70982361-d583-4aef-8d3e-37fdedea2c64" userProvider="AD" userName="Sylvia von Aulock"/>
        <t:Anchor>
          <t:Comment id="1078075160"/>
        </t:Anchor>
        <t:Assign userId="S::zswick@snhpc.org::f0f2677a-1f9c-45fb-a4e1-463a18233f89" userProvider="AD" userName="Zachary Swick"/>
      </t:Event>
      <t:Event id="{E6C74793-CD27-4AD2-9361-627428620023}" time="2022-10-12T17:22:07.907Z">
        <t:Attribution userId="S::svonaulock@snhpc.org::70982361-d583-4aef-8d3e-37fdedea2c64" userProvider="AD" userName="Sylvia von Aulock"/>
        <t:Anchor>
          <t:Comment id="1078075160"/>
        </t:Anchor>
        <t:SetTitle title="@Zachary Swick do we have a specific year or more specific month and year we could insert here, we say recession a lot...."/>
      </t:Event>
    </t:History>
  </t:Task>
  <t:Task id="{EE291E68-5941-4AA5-81A6-9072302B5506}">
    <t:Anchor>
      <t:Comment id="1364616086"/>
    </t:Anchor>
    <t:History>
      <t:Event id="{DF9C811D-24A6-46D1-BE36-778283B90F03}" time="2022-10-12T17:41:20.698Z">
        <t:Attribution userId="S::svonaulock@snhpc.org::70982361-d583-4aef-8d3e-37fdedea2c64" userProvider="AD" userName="Sylvia von Aulock"/>
        <t:Anchor>
          <t:Comment id="1364616086"/>
        </t:Anchor>
        <t:Create/>
      </t:Event>
      <t:Event id="{77F2992F-EBA2-4F38-96D5-6ECAE1426673}" time="2022-10-12T17:41:20.698Z">
        <t:Attribution userId="S::svonaulock@snhpc.org::70982361-d583-4aef-8d3e-37fdedea2c64" userProvider="AD" userName="Sylvia von Aulock"/>
        <t:Anchor>
          <t:Comment id="1364616086"/>
        </t:Anchor>
        <t:Assign userId="S::cogilvie@snhpc.org::8494515f-cafe-4ec1-aa7d-4b1b0b3a085d" userProvider="AD" userName="Carol Ogilvie"/>
      </t:Event>
      <t:Event id="{B8E928BD-4036-4856-ACEA-D9576043DC74}" time="2022-10-12T17:41:20.698Z">
        <t:Attribution userId="S::svonaulock@snhpc.org::70982361-d583-4aef-8d3e-37fdedea2c64" userProvider="AD" userName="Sylvia von Aulock"/>
        <t:Anchor>
          <t:Comment id="1364616086"/>
        </t:Anchor>
        <t:SetTitle title="@Carol Ogilvie HI Carol, just wondering if you could see if there's any common language among the RPCs on this topic. Seems silly to reinvent this wheel."/>
      </t:Event>
    </t:History>
  </t:Task>
  <t:Task id="{71089B60-44C3-4A6C-8590-65B7BD9C6C0F}">
    <t:Anchor>
      <t:Comment id="671389184"/>
    </t:Anchor>
    <t:History>
      <t:Event id="{7846DFD6-193D-4DB9-A4CD-40C0F7AC5772}" time="2022-10-18T13:32:40.639Z">
        <t:Attribution userId="S::tzamoyski@snhpc.org::340746d7-e26a-4297-a000-ecc807ea43e7" userProvider="AD" userName="Tammy Zamoyski"/>
        <t:Anchor>
          <t:Comment id="671389184"/>
        </t:Anchor>
        <t:Create/>
      </t:Event>
      <t:Event id="{17479B3F-93E9-4D76-9CB3-EF0D20191068}" time="2022-10-18T13:32:40.639Z">
        <t:Attribution userId="S::tzamoyski@snhpc.org::340746d7-e26a-4297-a000-ecc807ea43e7" userProvider="AD" userName="Tammy Zamoyski"/>
        <t:Anchor>
          <t:Comment id="671389184"/>
        </t:Anchor>
        <t:Assign userId="S::tzamoyski@snhpc.org::340746d7-e26a-4297-a000-ecc807ea43e7" userProvider="AD" userName="Tammy Zamoyski"/>
      </t:Event>
      <t:Event id="{26FC0751-CE73-447D-8CE7-952D515922B4}" time="2022-10-18T13:32:40.639Z">
        <t:Attribution userId="S::tzamoyski@snhpc.org::340746d7-e26a-4297-a000-ecc807ea43e7" userProvider="AD" userName="Tammy Zamoyski"/>
        <t:Anchor>
          <t:Comment id="671389184"/>
        </t:Anchor>
        <t:SetTitle title="@Tammy Zamoyski move to cost of transportation"/>
      </t:Event>
      <t:Event id="{118838B6-56A2-4FBA-980F-A578BA4BA446}" time="2022-10-19T14:16:06.804Z">
        <t:Attribution userId="S::tzamoyski@snhpc.org::340746d7-e26a-4297-a000-ecc807ea43e7" userProvider="AD" userName="Tammy Zamoyski"/>
        <t:Progress percentComplete="100"/>
      </t:Event>
    </t:History>
  </t:Task>
  <t:Task id="{C6382708-3537-47CA-9467-7BA369E76A41}">
    <t:Anchor>
      <t:Comment id="825092834"/>
    </t:Anchor>
    <t:History>
      <t:Event id="{1A0B776C-760D-4E02-8523-A5927366D571}" time="2022-10-12T17:53:10.499Z">
        <t:Attribution userId="S::svonaulock@snhpc.org::70982361-d583-4aef-8d3e-37fdedea2c64" userProvider="AD" userName="Sylvia von Aulock"/>
        <t:Anchor>
          <t:Comment id="825092834"/>
        </t:Anchor>
        <t:Create/>
      </t:Event>
      <t:Event id="{7CD07CA1-F29D-41E5-A76C-4CDFCEC9496A}" time="2022-10-12T17:53:10.499Z">
        <t:Attribution userId="S::svonaulock@snhpc.org::70982361-d583-4aef-8d3e-37fdedea2c64" userProvider="AD" userName="Sylvia von Aulock"/>
        <t:Anchor>
          <t:Comment id="825092834"/>
        </t:Anchor>
        <t:Assign userId="S::tzamoyski@snhpc.org::340746d7-e26a-4297-a000-ecc807ea43e7" userProvider="AD" userName="Tammy Zamoyski"/>
      </t:Event>
      <t:Event id="{AF81A2C9-3138-4C61-8423-64381C035FF9}" time="2022-10-12T17:53:10.499Z">
        <t:Attribution userId="S::svonaulock@snhpc.org::70982361-d583-4aef-8d3e-37fdedea2c64" userProvider="AD" userName="Sylvia von Aulock"/>
        <t:Anchor>
          <t:Comment id="825092834"/>
        </t:Anchor>
        <t:SetTitle title="@Tammy Zamoyski Hi Tammy, I tried to fix this link but it just wouldn't work for me, could you make it so that it's just the SNHPC home page please"/>
      </t:Event>
      <t:Event id="{70C2ED10-925F-4C31-A52B-DD0397827CF8}" time="2022-10-12T18:23:51.179Z">
        <t:Attribution userId="S::tzamoyski@snhpc.org::340746d7-e26a-4297-a000-ecc807ea43e7" userProvider="AD" userName="Tammy Zamoyski"/>
        <t:Progress percentComplete="100"/>
      </t:Event>
    </t:History>
  </t:Task>
  <t:Task id="{470CA135-7152-4919-83CA-19B3AD2D75AF}">
    <t:Anchor>
      <t:Comment id="1295969876"/>
    </t:Anchor>
    <t:History>
      <t:Event id="{FD6BFEDE-9902-4824-9607-99D5B9C59CE5}" time="2022-10-26T17:06:59.954Z">
        <t:Attribution userId="S::svonaulock@snhpc.org::70982361-d583-4aef-8d3e-37fdedea2c64" userProvider="AD" userName="Sylvia von Aulock"/>
        <t:Anchor>
          <t:Comment id="1295969876"/>
        </t:Anchor>
        <t:Create/>
      </t:Event>
      <t:Event id="{B74B32BE-1442-454D-9EAE-675D2D7533B3}" time="2022-10-26T17:06:59.954Z">
        <t:Attribution userId="S::svonaulock@snhpc.org::70982361-d583-4aef-8d3e-37fdedea2c64" userProvider="AD" userName="Sylvia von Aulock"/>
        <t:Anchor>
          <t:Comment id="1295969876"/>
        </t:Anchor>
        <t:Assign userId="S::tzamoyski@snhpc.org::340746d7-e26a-4297-a000-ecc807ea43e7" userProvider="AD" userName="Tammy Zamoyski"/>
      </t:Event>
      <t:Event id="{0881C09C-3B61-42AD-A00E-87812662BEE1}" time="2022-10-26T17:06:59.954Z">
        <t:Attribution userId="S::svonaulock@snhpc.org::70982361-d583-4aef-8d3e-37fdedea2c64" userProvider="AD" userName="Sylvia von Aulock"/>
        <t:Anchor>
          <t:Comment id="1295969876"/>
        </t:Anchor>
        <t:SetTitle title="@Tammy Zamoyski Hi Tammy, is this supposed to be a live link?"/>
      </t:Event>
    </t:History>
  </t:Task>
  <t:Task id="{2BC5C8EC-51AD-4D26-8D69-8D837BD69E09}">
    <t:Anchor>
      <t:Comment id="1870685322"/>
    </t:Anchor>
    <t:History>
      <t:Event id="{9A855F54-FDBB-40F1-A2BE-1D78ED9D1874}" time="2022-11-17T19:45:30.015Z">
        <t:Attribution userId="S::svonaulock@snhpc.org::70982361-d583-4aef-8d3e-37fdedea2c64" userProvider="AD" userName="Sylvia von Aulock"/>
        <t:Anchor>
          <t:Comment id="1870685322"/>
        </t:Anchor>
        <t:Create/>
      </t:Event>
      <t:Event id="{C91A1605-7BE8-4B59-8F9D-27AE9FBC905E}" time="2022-11-17T19:45:30.015Z">
        <t:Attribution userId="S::svonaulock@snhpc.org::70982361-d583-4aef-8d3e-37fdedea2c64" userProvider="AD" userName="Sylvia von Aulock"/>
        <t:Anchor>
          <t:Comment id="1870685322"/>
        </t:Anchor>
        <t:Assign userId="S::ahlasny@snhpc.org::2e7ecb1d-3c01-499f-8624-202d28caacd6" userProvider="AD" userName="Adam Hlasny"/>
      </t:Event>
      <t:Event id="{E97FFBFB-2C48-4D06-9BB6-C44B70214631}" time="2022-11-17T19:45:30.015Z">
        <t:Attribution userId="S::svonaulock@snhpc.org::70982361-d583-4aef-8d3e-37fdedea2c64" userProvider="AD" userName="Sylvia von Aulock"/>
        <t:Anchor>
          <t:Comment id="1870685322"/>
        </t:Anchor>
        <t:SetTitle title="@Adam Hlasny please take a look and create linkages between housing and transportation"/>
      </t:Event>
    </t:History>
  </t:Task>
  <t:Task id="{C9B4CDDC-29D1-4BE0-872A-EF80B0D3D949}">
    <t:Anchor>
      <t:Comment id="452073146"/>
    </t:Anchor>
    <t:History>
      <t:Event id="{A0D4233C-6291-4594-8808-E588E82E9BA2}" time="2022-10-18T12:35:36.169Z">
        <t:Attribution userId="S::tzamoyski@snhpc.org::340746d7-e26a-4297-a000-ecc807ea43e7" userProvider="AD" userName="Tammy Zamoyski"/>
        <t:Anchor>
          <t:Comment id="452073146"/>
        </t:Anchor>
        <t:Create/>
      </t:Event>
      <t:Event id="{B778F90A-A6D1-4F84-ACAF-E4F275D45C1D}" time="2022-10-18T12:35:36.169Z">
        <t:Attribution userId="S::tzamoyski@snhpc.org::340746d7-e26a-4297-a000-ecc807ea43e7" userProvider="AD" userName="Tammy Zamoyski"/>
        <t:Anchor>
          <t:Comment id="452073146"/>
        </t:Anchor>
        <t:Assign userId="S::cprolman@snhpc.org::563260de-bb27-4552-96b6-b28e9aba6aad" userProvider="AD" userName="Cameron Prolman"/>
      </t:Event>
      <t:Event id="{51C1E489-BE6E-4C74-98E9-F303C4ED38B5}" time="2022-10-18T12:35:36.169Z">
        <t:Attribution userId="S::tzamoyski@snhpc.org::340746d7-e26a-4297-a000-ecc807ea43e7" userProvider="AD" userName="Tammy Zamoyski"/>
        <t:Anchor>
          <t:Comment id="452073146"/>
        </t:Anchor>
        <t:SetTitle title="@Cameron Prolman"/>
      </t:Event>
    </t:History>
  </t:Task>
  <t:Task id="{A1B171A9-601A-4AD2-89B4-9FE985A76C2E}">
    <t:Anchor>
      <t:Comment id="650416130"/>
    </t:Anchor>
    <t:History>
      <t:Event id="{4B2D739A-8C9C-4F8D-8765-28F126D2C651}" time="2022-10-12T17:55:46.399Z">
        <t:Attribution userId="S::svonaulock@snhpc.org::70982361-d583-4aef-8d3e-37fdedea2c64" userProvider="AD" userName="Sylvia von Aulock"/>
        <t:Anchor>
          <t:Comment id="650416130"/>
        </t:Anchor>
        <t:Create/>
      </t:Event>
      <t:Event id="{1E8F51BA-4147-4D55-ABDB-9F191068CBDC}" time="2022-10-12T17:55:46.399Z">
        <t:Attribution userId="S::svonaulock@snhpc.org::70982361-d583-4aef-8d3e-37fdedea2c64" userProvider="AD" userName="Sylvia von Aulock"/>
        <t:Anchor>
          <t:Comment id="650416130"/>
        </t:Anchor>
        <t:Assign userId="S::zswick@snhpc.org::f0f2677a-1f9c-45fb-a4e1-463a18233f89" userProvider="AD" userName="Zachary Swick"/>
      </t:Event>
      <t:Event id="{EF6EA039-244B-432C-A201-4473BF35C90B}" time="2022-10-12T17:55:46.399Z">
        <t:Attribution userId="S::svonaulock@snhpc.org::70982361-d583-4aef-8d3e-37fdedea2c64" userProvider="AD" userName="Sylvia von Aulock"/>
        <t:Anchor>
          <t:Comment id="650416130"/>
        </t:Anchor>
        <t:SetTitle title="@Zachary Swick Hi Zach, are we saying the region's geography hasn't changed? what is the flat growth pattern, in population? I'm confused."/>
      </t:Event>
    </t:History>
  </t:Task>
  <t:Task id="{E5BF2CA7-AC89-47F8-8446-F385A45A504A}">
    <t:Anchor>
      <t:Comment id="1046065814"/>
    </t:Anchor>
    <t:History>
      <t:Event id="{887748D6-0AAD-42C0-A5CE-D7C4B5F06387}" time="2022-10-18T13:13:55.001Z">
        <t:Attribution userId="S::tzamoyski@snhpc.org::340746d7-e26a-4297-a000-ecc807ea43e7" userProvider="AD" userName="Tammy Zamoyski"/>
        <t:Anchor>
          <t:Comment id="697017632"/>
        </t:Anchor>
        <t:Create/>
      </t:Event>
      <t:Event id="{3459F75E-D2BD-4553-BADA-6081D516E854}" time="2022-10-18T13:13:55.001Z">
        <t:Attribution userId="S::tzamoyski@snhpc.org::340746d7-e26a-4297-a000-ecc807ea43e7" userProvider="AD" userName="Tammy Zamoyski"/>
        <t:Anchor>
          <t:Comment id="697017632"/>
        </t:Anchor>
        <t:Assign userId="S::tzamoyski@snhpc.org::340746d7-e26a-4297-a000-ecc807ea43e7" userProvider="AD" userName="Tammy Zamoyski"/>
      </t:Event>
      <t:Event id="{AB68F44F-473F-4501-B00C-B42E7B6FCF86}" time="2022-10-18T13:13:55.001Z">
        <t:Attribution userId="S::tzamoyski@snhpc.org::340746d7-e26a-4297-a000-ecc807ea43e7" userProvider="AD" userName="Tammy Zamoyski"/>
        <t:Anchor>
          <t:Comment id="697017632"/>
        </t:Anchor>
        <t:SetTitle title="@Tammy Zamoyski look for common language from Roots and see what was in old plan. Methodology will be completely different."/>
      </t:Event>
      <t:Event id="{02C80212-03DE-4720-A42B-9AC57AE0BC77}" time="2022-10-19T13:42:33.624Z">
        <t:Attribution userId="S::tzamoyski@snhpc.org::340746d7-e26a-4297-a000-ecc807ea43e7" userProvider="AD" userName="Tammy Zamoyski"/>
        <t:Progress percentComplete="100"/>
      </t:Event>
    </t:History>
  </t:Task>
  <t:Task id="{4281FEC1-923C-474F-9EBD-AC906FE19EE2}">
    <t:Anchor>
      <t:Comment id="2000613138"/>
    </t:Anchor>
    <t:History>
      <t:Event id="{34B9D59B-2B4A-4717-81C4-DA3E4319A0EC}" time="2022-10-12T18:43:14.006Z">
        <t:Attribution userId="S::svonaulock@snhpc.org::70982361-d583-4aef-8d3e-37fdedea2c64" userProvider="AD" userName="Sylvia von Aulock"/>
        <t:Anchor>
          <t:Comment id="2000613138"/>
        </t:Anchor>
        <t:Create/>
      </t:Event>
      <t:Event id="{B317215D-D45D-4187-964B-03E4A6B88FEF}" time="2022-10-12T18:43:14.006Z">
        <t:Attribution userId="S::svonaulock@snhpc.org::70982361-d583-4aef-8d3e-37fdedea2c64" userProvider="AD" userName="Sylvia von Aulock"/>
        <t:Anchor>
          <t:Comment id="2000613138"/>
        </t:Anchor>
        <t:Assign userId="S::zswick@snhpc.org::f0f2677a-1f9c-45fb-a4e1-463a18233f89" userProvider="AD" userName="Zachary Swick"/>
      </t:Event>
      <t:Event id="{FEB9A9D4-FAFE-4BB4-AA30-8CC327BA73F0}" time="2022-10-12T18:43:14.006Z">
        <t:Attribution userId="S::svonaulock@snhpc.org::70982361-d583-4aef-8d3e-37fdedea2c64" userProvider="AD" userName="Sylvia von Aulock"/>
        <t:Anchor>
          <t:Comment id="2000613138"/>
        </t:Anchor>
        <t:SetTitle title="@Zachary Swick HI Zach, I'm thinking you must have numbers we can plug into this or provide someone on the team with the data and they'll plug in the numbers."/>
      </t:Event>
    </t:History>
  </t:Task>
  <t:Task id="{2BC3F086-06AD-4651-82D4-ACB78BA259BB}">
    <t:Anchor>
      <t:Comment id="2035528192"/>
    </t:Anchor>
    <t:History>
      <t:Event id="{AF2F91DA-3108-4A8B-B4BB-6C3893C5574C}" time="2022-11-17T19:12:23.212Z">
        <t:Attribution userId="S::svonaulock@snhpc.org::70982361-d583-4aef-8d3e-37fdedea2c64" userProvider="AD" userName="Sylvia von Aulock"/>
        <t:Anchor>
          <t:Comment id="2035528192"/>
        </t:Anchor>
        <t:Create/>
      </t:Event>
      <t:Event id="{4F4BF88D-003D-4E9C-BBA3-8E850110FC14}" time="2022-11-17T19:12:23.212Z">
        <t:Attribution userId="S::svonaulock@snhpc.org::70982361-d583-4aef-8d3e-37fdedea2c64" userProvider="AD" userName="Sylvia von Aulock"/>
        <t:Anchor>
          <t:Comment id="2035528192"/>
        </t:Anchor>
        <t:Assign userId="S::zswick@snhpc.org::f0f2677a-1f9c-45fb-a4e1-463a18233f89" userProvider="AD" userName="Zachary Swick"/>
      </t:Event>
      <t:Event id="{DE9DF88C-327F-4368-B3B1-7F6A1E956BF5}" time="2022-11-17T19:12:23.212Z">
        <t:Attribution userId="S::svonaulock@snhpc.org::70982361-d583-4aef-8d3e-37fdedea2c64" userProvider="AD" userName="Sylvia von Aulock"/>
        <t:Anchor>
          <t:Comment id="2035528192"/>
        </t:Anchor>
        <t:SetTitle title="@Zachary Swick hey Zach, this statement and the graph above it do not seem to be up to date with info I've looked at. any ideas? I'm thinking we replace the graph with a more current one."/>
      </t:Event>
    </t:History>
  </t:Task>
  <t:Task id="{7646C6DE-F9AC-4BF2-AB96-B5DB5ECD4080}">
    <t:Anchor>
      <t:Comment id="1266259941"/>
    </t:Anchor>
    <t:History>
      <t:Event id="{10835D92-591F-4768-A28B-85E4A832B1D0}" time="2022-11-29T14:56:28.84Z">
        <t:Attribution userId="S::svonaulock@snhpc.org::70982361-d583-4aef-8d3e-37fdedea2c64" userProvider="AD" userName="Sylvia von Aulock"/>
        <t:Anchor>
          <t:Comment id="1266259941"/>
        </t:Anchor>
        <t:Create/>
      </t:Event>
      <t:Event id="{05D9C10A-A8D8-45CA-9A4A-C427954203A8}" time="2022-11-29T14:56:28.84Z">
        <t:Attribution userId="S::svonaulock@snhpc.org::70982361-d583-4aef-8d3e-37fdedea2c64" userProvider="AD" userName="Sylvia von Aulock"/>
        <t:Anchor>
          <t:Comment id="1266259941"/>
        </t:Anchor>
        <t:Assign userId="S::zswick@snhpc.org::f0f2677a-1f9c-45fb-a4e1-463a18233f89" userProvider="AD" userName="Zachary Swick"/>
      </t:Event>
      <t:Event id="{58E67D36-A74A-4A56-988E-29E4C3414FB4}" time="2022-11-29T14:56:28.84Z">
        <t:Attribution userId="S::svonaulock@snhpc.org::70982361-d583-4aef-8d3e-37fdedea2c64" userProvider="AD" userName="Sylvia von Aulock"/>
        <t:Anchor>
          <t:Comment id="1266259941"/>
        </t:Anchor>
        <t:SetTitle title="@Zachary Swick Hi Zack, just wondering if you have a graph that relates hsg costs and real income, I seem to recall something like that anyway."/>
      </t:Event>
    </t:History>
  </t:Task>
  <t:Task id="{32CA7BBC-1EFB-40C4-88FA-2622E8714FD8}">
    <t:Anchor>
      <t:Comment id="1872594576"/>
    </t:Anchor>
    <t:History>
      <t:Event id="{CFC946BD-D6DD-4398-A5FF-0A01F4C568AB}" time="2022-10-18T12:45:23.144Z">
        <t:Attribution userId="S::tzamoyski@snhpc.org::340746d7-e26a-4297-a000-ecc807ea43e7" userProvider="AD" userName="Tammy Zamoyski"/>
        <t:Anchor>
          <t:Comment id="99554406"/>
        </t:Anchor>
        <t:Create/>
      </t:Event>
      <t:Event id="{64903C7F-CC1A-43A4-866C-51E607D85421}" time="2022-10-18T12:45:23.144Z">
        <t:Attribution userId="S::tzamoyski@snhpc.org::340746d7-e26a-4297-a000-ecc807ea43e7" userProvider="AD" userName="Tammy Zamoyski"/>
        <t:Anchor>
          <t:Comment id="99554406"/>
        </t:Anchor>
        <t:Assign userId="S::tzamoyski@snhpc.org::340746d7-e26a-4297-a000-ecc807ea43e7" userProvider="AD" userName="Tammy Zamoyski"/>
      </t:Event>
      <t:Event id="{DD79197E-740E-42F0-BB82-58AB3503F564}" time="2022-10-18T12:45:23.144Z">
        <t:Attribution userId="S::tzamoyski@snhpc.org::340746d7-e26a-4297-a000-ecc807ea43e7" userProvider="AD" userName="Tammy Zamoyski"/>
        <t:Anchor>
          <t:Comment id="99554406"/>
        </t:Anchor>
        <t:SetTitle title="@Tammy Zamoyski make sure this is only in here once"/>
      </t:Event>
      <t:Event id="{12772C64-6494-41FF-A605-635C4E80D1CC}" time="2022-10-19T12:47:34.453Z">
        <t:Attribution userId="S::tzamoyski@snhpc.org::340746d7-e26a-4297-a000-ecc807ea43e7" userProvider="AD" userName="Tammy Zamoyski"/>
        <t:Progress percentComplete="100"/>
      </t:Event>
    </t:History>
  </t:Task>
  <t:Task id="{74A58AF1-400C-4A6A-A4C0-B8C47A97D4E5}">
    <t:Anchor>
      <t:Comment id="634166661"/>
    </t:Anchor>
    <t:History>
      <t:Event id="{72E615D2-4CBB-4442-B435-E3233BF667BC}" time="2022-10-18T12:54:10.887Z">
        <t:Attribution userId="S::cprolman@snhpc.org::563260de-bb27-4552-96b6-b28e9aba6aad" userProvider="AD" userName="Cameron Prolman"/>
        <t:Anchor>
          <t:Comment id="1762313227"/>
        </t:Anchor>
        <t:Create/>
      </t:Event>
      <t:Event id="{F482E2C8-95A6-4765-AE9E-1DFBE6BE9F54}" time="2022-10-18T12:54:10.887Z">
        <t:Attribution userId="S::cprolman@snhpc.org::563260de-bb27-4552-96b6-b28e9aba6aad" userProvider="AD" userName="Cameron Prolman"/>
        <t:Anchor>
          <t:Comment id="1762313227"/>
        </t:Anchor>
        <t:Assign userId="S::cprolman@snhpc.org::563260de-bb27-4552-96b6-b28e9aba6aad" userProvider="AD" userName="Cameron Prolman"/>
      </t:Event>
      <t:Event id="{210B3444-3FDC-483A-95B7-6DBDBAC682E3}" time="2022-10-18T12:54:10.887Z">
        <t:Attribution userId="S::cprolman@snhpc.org::563260de-bb27-4552-96b6-b28e9aba6aad" userProvider="AD" userName="Cameron Prolman"/>
        <t:Anchor>
          <t:Comment id="1762313227"/>
        </t:Anchor>
        <t:SetTitle title="@Cameron Prolman"/>
      </t:Event>
    </t:History>
  </t:Task>
  <t:Task id="{843AD432-94C3-432B-8F48-11BFB7CBEAE7}">
    <t:Anchor>
      <t:Comment id="492317976"/>
    </t:Anchor>
    <t:History>
      <t:Event id="{E98E9F60-B549-44DA-B4B1-E455257F85E3}" time="2022-11-29T15:02:52.592Z">
        <t:Attribution userId="S::svonaulock@snhpc.org::70982361-d583-4aef-8d3e-37fdedea2c64" userProvider="AD" userName="Sylvia von Aulock"/>
        <t:Anchor>
          <t:Comment id="492317976"/>
        </t:Anchor>
        <t:Create/>
      </t:Event>
      <t:Event id="{4506C695-C9C7-4D1D-A700-3D982760AB0E}" time="2022-11-29T15:02:52.592Z">
        <t:Attribution userId="S::svonaulock@snhpc.org::70982361-d583-4aef-8d3e-37fdedea2c64" userProvider="AD" userName="Sylvia von Aulock"/>
        <t:Anchor>
          <t:Comment id="492317976"/>
        </t:Anchor>
        <t:Assign userId="S::zswick@snhpc.org::f0f2677a-1f9c-45fb-a4e1-463a18233f89" userProvider="AD" userName="Zachary Swick"/>
      </t:Event>
      <t:Event id="{3678BDC9-FC88-44B2-AA99-A0893CCB1D1B}" time="2022-11-29T15:02:52.592Z">
        <t:Attribution userId="S::svonaulock@snhpc.org::70982361-d583-4aef-8d3e-37fdedea2c64" userProvider="AD" userName="Sylvia von Aulock"/>
        <t:Anchor>
          <t:Comment id="492317976"/>
        </t:Anchor>
        <t:SetTitle title="@Zachary Swick do we have any graphics for this section?"/>
      </t:Event>
    </t:History>
  </t:Task>
  <t:Task id="{9E36BAD7-960F-4450-BEAC-9DA361559D83}">
    <t:Anchor>
      <t:Comment id="29957773"/>
    </t:Anchor>
    <t:History>
      <t:Event id="{E1BCF3D5-DF44-4501-8887-0764F5BD86D6}" time="2022-10-18T12:57:17.114Z">
        <t:Attribution userId="S::cprolman@snhpc.org::563260de-bb27-4552-96b6-b28e9aba6aad" userProvider="AD" userName="Cameron Prolman"/>
        <t:Anchor>
          <t:Comment id="29957773"/>
        </t:Anchor>
        <t:Create/>
      </t:Event>
      <t:Event id="{DE6612AF-BE78-41D9-AE8E-177B9CE5AD0E}" time="2022-10-18T12:57:17.114Z">
        <t:Attribution userId="S::cprolman@snhpc.org::563260de-bb27-4552-96b6-b28e9aba6aad" userProvider="AD" userName="Cameron Prolman"/>
        <t:Anchor>
          <t:Comment id="29957773"/>
        </t:Anchor>
        <t:Assign userId="S::cprolman@snhpc.org::563260de-bb27-4552-96b6-b28e9aba6aad" userProvider="AD" userName="Cameron Prolman"/>
      </t:Event>
      <t:Event id="{78569AF1-9F60-44D0-ADFC-0B35322AD393}" time="2022-10-18T12:57:17.114Z">
        <t:Attribution userId="S::cprolman@snhpc.org::563260de-bb27-4552-96b6-b28e9aba6aad" userProvider="AD" userName="Cameron Prolman"/>
        <t:Anchor>
          <t:Comment id="29957773"/>
        </t:Anchor>
        <t:SetTitle title="@Cameron Prolman"/>
      </t:Event>
    </t:History>
  </t:Task>
  <t:Task id="{EBDA6CB5-09EB-4E8A-A692-E175BA370FA9}">
    <t:Anchor>
      <t:Comment id="1149550121"/>
    </t:Anchor>
    <t:History>
      <t:Event id="{AE638BE5-6190-462F-887B-4CEC432A5C12}" time="2022-10-18T12:57:28.645Z">
        <t:Attribution userId="S::tzamoyski@snhpc.org::340746d7-e26a-4297-a000-ecc807ea43e7" userProvider="AD" userName="Tammy Zamoyski"/>
        <t:Anchor>
          <t:Comment id="1149550121"/>
        </t:Anchor>
        <t:Create/>
      </t:Event>
      <t:Event id="{7A4293E9-3B67-44D8-85D6-377E47C57B69}" time="2022-10-18T12:57:28.645Z">
        <t:Attribution userId="S::tzamoyski@snhpc.org::340746d7-e26a-4297-a000-ecc807ea43e7" userProvider="AD" userName="Tammy Zamoyski"/>
        <t:Anchor>
          <t:Comment id="1149550121"/>
        </t:Anchor>
        <t:Assign userId="S::tzamoyski@snhpc.org::340746d7-e26a-4297-a000-ecc807ea43e7" userProvider="AD" userName="Tammy Zamoyski"/>
      </t:Event>
      <t:Event id="{281043BA-EFBC-40FB-ABBA-B5DB2EEC41A9}" time="2022-10-18T12:57:28.645Z">
        <t:Attribution userId="S::tzamoyski@snhpc.org::340746d7-e26a-4297-a000-ecc807ea43e7" userProvider="AD" userName="Tammy Zamoyski"/>
        <t:Anchor>
          <t:Comment id="1149550121"/>
        </t:Anchor>
        <t:SetTitle title="@Tammy Zamoyski bring in pop tables from intro"/>
      </t:Event>
      <t:Event id="{057AFEE5-4177-4334-A3FB-ADE83DE14021}" time="2022-10-19T12:59:36.318Z">
        <t:Attribution userId="S::tzamoyski@snhpc.org::340746d7-e26a-4297-a000-ecc807ea43e7" userProvider="AD" userName="Tammy Zamoyski"/>
        <t:Progress percentComplete="100"/>
      </t:Event>
    </t:History>
  </t:Task>
  <t:Task id="{F64078EB-7E49-4912-A4D6-877CB463B92F}">
    <t:Anchor>
      <t:Comment id="634170563"/>
    </t:Anchor>
    <t:History>
      <t:Event id="{1140399B-59F1-43D3-8048-9E5BBAC18E9F}" time="2022-10-18T13:36:56.476Z">
        <t:Attribution userId="S::cprolman@snhpc.org::563260de-bb27-4552-96b6-b28e9aba6aad" userProvider="AD" userName="Cameron Prolman"/>
        <t:Anchor>
          <t:Comment id="1372928537"/>
        </t:Anchor>
        <t:Create/>
      </t:Event>
      <t:Event id="{A1202577-ABFE-4E2D-81DE-C6117D514BF4}" time="2022-10-18T13:36:56.476Z">
        <t:Attribution userId="S::cprolman@snhpc.org::563260de-bb27-4552-96b6-b28e9aba6aad" userProvider="AD" userName="Cameron Prolman"/>
        <t:Anchor>
          <t:Comment id="1372928537"/>
        </t:Anchor>
        <t:Assign userId="S::cprolman@snhpc.org::563260de-bb27-4552-96b6-b28e9aba6aad" userProvider="AD" userName="Cameron Prolman"/>
      </t:Event>
      <t:Event id="{EA8846EA-22EE-4D55-92D9-49CE38A5CB97}" time="2022-10-18T13:36:56.476Z">
        <t:Attribution userId="S::cprolman@snhpc.org::563260de-bb27-4552-96b6-b28e9aba6aad" userProvider="AD" userName="Cameron Prolman"/>
        <t:Anchor>
          <t:Comment id="1372928537"/>
        </t:Anchor>
        <t:SetTitle title="@Cameron Prolman"/>
      </t:Event>
    </t:History>
  </t:Task>
  <t:Task id="{0EEF4D1C-74F8-4285-B750-B25FF1FD93D8}">
    <t:Anchor>
      <t:Comment id="641241335"/>
    </t:Anchor>
    <t:History>
      <t:Event id="{EE6DC742-F2C6-42EB-93E5-92F220D51F7A}" time="2022-10-18T13:01:25.679Z">
        <t:Attribution userId="S::tzamoyski@snhpc.org::340746d7-e26a-4297-a000-ecc807ea43e7" userProvider="AD" userName="Tammy Zamoyski"/>
        <t:Anchor>
          <t:Comment id="1136905432"/>
        </t:Anchor>
        <t:Create/>
      </t:Event>
      <t:Event id="{23D48027-9CF7-447E-9CFE-7FAB68BA2F04}" time="2022-10-18T13:01:25.679Z">
        <t:Attribution userId="S::tzamoyski@snhpc.org::340746d7-e26a-4297-a000-ecc807ea43e7" userProvider="AD" userName="Tammy Zamoyski"/>
        <t:Anchor>
          <t:Comment id="1136905432"/>
        </t:Anchor>
        <t:Assign userId="S::zswick@snhpc.org::f0f2677a-1f9c-45fb-a4e1-463a18233f89" userProvider="AD" userName="Zachary Swick"/>
      </t:Event>
      <t:Event id="{6823FB66-59E0-449D-9B2D-518EA615E98A}" time="2022-10-18T13:01:25.679Z">
        <t:Attribution userId="S::tzamoyski@snhpc.org::340746d7-e26a-4297-a000-ecc807ea43e7" userProvider="AD" userName="Tammy Zamoyski"/>
        <t:Anchor>
          <t:Comment id="1136905432"/>
        </t:Anchor>
        <t:SetTitle title="@Zachary Swick please review and trim"/>
      </t:Event>
    </t:History>
  </t:Task>
  <t:Task id="{2DAD1C69-CEC7-455C-9353-BA1A7173BAFB}">
    <t:Anchor>
      <t:Comment id="961036183"/>
    </t:Anchor>
    <t:History>
      <t:Event id="{65EDF0FB-071A-43A0-90A3-B85B9A01045E}" time="2022-10-18T13:06:47.545Z">
        <t:Attribution userId="S::tzamoyski@snhpc.org::340746d7-e26a-4297-a000-ecc807ea43e7" userProvider="AD" userName="Tammy Zamoyski"/>
        <t:Anchor>
          <t:Comment id="961036183"/>
        </t:Anchor>
        <t:Create/>
      </t:Event>
      <t:Event id="{097AA610-5D8A-43F8-9D9B-D2FCA32A21D5}" time="2022-10-18T13:06:47.545Z">
        <t:Attribution userId="S::tzamoyski@snhpc.org::340746d7-e26a-4297-a000-ecc807ea43e7" userProvider="AD" userName="Tammy Zamoyski"/>
        <t:Anchor>
          <t:Comment id="961036183"/>
        </t:Anchor>
        <t:Assign userId="S::zswick@snhpc.org::f0f2677a-1f9c-45fb-a4e1-463a18233f89" userProvider="AD" userName="Zachary Swick"/>
      </t:Event>
      <t:Event id="{F23ABE0F-D554-4582-8903-A0EFB969FE31}" time="2022-10-18T13:06:47.545Z">
        <t:Attribution userId="S::tzamoyski@snhpc.org::340746d7-e26a-4297-a000-ecc807ea43e7" userProvider="AD" userName="Tammy Zamoyski"/>
        <t:Anchor>
          <t:Comment id="961036183"/>
        </t:Anchor>
        <t:SetTitle title="@Zachary Swick put in tables &quot;for reference only&quot;"/>
      </t:Event>
      <t:Event id="{21C01358-5541-4D6E-989F-9AFD5DF497D7}" time="2022-10-18T16:57:17.959Z">
        <t:Attribution userId="S::zswick@snhpc.org::f0f2677a-1f9c-45fb-a4e1-463a18233f89" userProvider="AD" userName="Zachary Swick"/>
        <t:Progress percentComplete="100"/>
      </t:Event>
    </t:History>
  </t:Task>
  <t:Task id="{47DE8AF0-C459-4B41-81D6-C6FE2635837F}">
    <t:Anchor>
      <t:Comment id="1027834448"/>
    </t:Anchor>
    <t:History>
      <t:Event id="{6C591E97-DCC6-40C9-A89A-1C7197903EDA}" time="2022-10-26T20:45:54.449Z">
        <t:Attribution userId="S::svonaulock@snhpc.org::70982361-d583-4aef-8d3e-37fdedea2c64" userProvider="AD" userName="Sylvia von Aulock"/>
        <t:Anchor>
          <t:Comment id="1027834448"/>
        </t:Anchor>
        <t:Create/>
      </t:Event>
      <t:Event id="{4D5832C6-7AAB-4F2B-9D41-39FA063D045E}" time="2022-10-26T20:45:54.449Z">
        <t:Attribution userId="S::svonaulock@snhpc.org::70982361-d583-4aef-8d3e-37fdedea2c64" userProvider="AD" userName="Sylvia von Aulock"/>
        <t:Anchor>
          <t:Comment id="1027834448"/>
        </t:Anchor>
        <t:Assign userId="S::tzamoyski@snhpc.org::340746d7-e26a-4297-a000-ecc807ea43e7" userProvider="AD" userName="Tammy Zamoyski"/>
      </t:Event>
      <t:Event id="{5DC8CD1A-C5A6-4464-9E5B-853D0C7A9C12}" time="2022-10-26T20:45:54.449Z">
        <t:Attribution userId="S::svonaulock@snhpc.org::70982361-d583-4aef-8d3e-37fdedea2c64" userProvider="AD" userName="Sylvia von Aulock"/>
        <t:Anchor>
          <t:Comment id="1027834448"/>
        </t:Anchor>
        <t:SetTitle title="@Tammy Zamoyski should this say quantity vs. quality?"/>
      </t:Event>
      <t:Event id="{D56C045D-9324-450C-9B23-16C66758AB34}" time="2022-10-27T12:10:15.318Z">
        <t:Attribution userId="S::tzamoyski@snhpc.org::340746d7-e26a-4297-a000-ecc807ea43e7" userProvider="AD" userName="Tammy Zamoyski"/>
        <t:Anchor>
          <t:Comment id="926902745"/>
        </t:Anchor>
        <t:UnassignAll/>
      </t:Event>
      <t:Event id="{E0265920-DA5C-48FB-B77B-C7E5F0532748}" time="2022-10-27T12:10:15.318Z">
        <t:Attribution userId="S::tzamoyski@snhpc.org::340746d7-e26a-4297-a000-ecc807ea43e7" userProvider="AD" userName="Tammy Zamoyski"/>
        <t:Anchor>
          <t:Comment id="926902745"/>
        </t:Anchor>
        <t:Assign userId="S::cogilvie@snhpc.org::8494515f-cafe-4ec1-aa7d-4b1b0b3a085d" userProvider="AD" userName="Carol Ogilvie"/>
      </t:Event>
    </t:History>
  </t:Task>
  <t:Task id="{28ABA2BC-7216-4F76-95A5-63EED9CEFC31}">
    <t:Anchor>
      <t:Comment id="641241797"/>
    </t:Anchor>
    <t:History>
      <t:Event id="{4FB5B030-63DD-46B1-AC89-B076A9D01C00}" time="2022-10-18T13:16:52.902Z">
        <t:Attribution userId="S::tzamoyski@snhpc.org::340746d7-e26a-4297-a000-ecc807ea43e7" userProvider="AD" userName="Tammy Zamoyski"/>
        <t:Anchor>
          <t:Comment id="1323688114"/>
        </t:Anchor>
        <t:Create/>
      </t:Event>
      <t:Event id="{12DE81BF-11C2-4A8C-8712-E1B66CD4C27A}" time="2022-10-18T13:16:52.902Z">
        <t:Attribution userId="S::tzamoyski@snhpc.org::340746d7-e26a-4297-a000-ecc807ea43e7" userProvider="AD" userName="Tammy Zamoyski"/>
        <t:Anchor>
          <t:Comment id="1323688114"/>
        </t:Anchor>
        <t:Assign userId="S::svonaulock@snhpc.org::70982361-d583-4aef-8d3e-37fdedea2c64" userProvider="AD" userName="Sylvia von Aulock"/>
      </t:Event>
      <t:Event id="{40AA121A-BDEF-4206-8A4F-6A8FD0886820}" time="2022-10-18T13:16:52.902Z">
        <t:Attribution userId="S::tzamoyski@snhpc.org::340746d7-e26a-4297-a000-ecc807ea43e7" userProvider="AD" userName="Tammy Zamoyski"/>
        <t:Anchor>
          <t:Comment id="1323688114"/>
        </t:Anchor>
        <t:SetTitle title="@Sylvia von Aulock @Cameron Prolman"/>
      </t:Event>
    </t:History>
  </t:Task>
  <t:Task id="{211FE98A-A287-453D-8283-045A1586D5CC}">
    <t:Anchor>
      <t:Comment id="890762154"/>
    </t:Anchor>
    <t:History>
      <t:Event id="{FA1C3E04-C68D-4C1C-9C63-D0CF5AED414B}" time="2022-10-26T16:55:53.693Z">
        <t:Attribution userId="S::svonaulock@snhpc.org::70982361-d583-4aef-8d3e-37fdedea2c64" userProvider="AD" userName="Sylvia von Aulock"/>
        <t:Anchor>
          <t:Comment id="890762154"/>
        </t:Anchor>
        <t:Create/>
      </t:Event>
      <t:Event id="{57AFC190-D602-4EF5-94B9-424BFCBAB374}" time="2022-10-26T16:55:53.693Z">
        <t:Attribution userId="S::svonaulock@snhpc.org::70982361-d583-4aef-8d3e-37fdedea2c64" userProvider="AD" userName="Sylvia von Aulock"/>
        <t:Anchor>
          <t:Comment id="890762154"/>
        </t:Anchor>
        <t:Assign userId="S::cogilvie@snhpc.org::8494515f-cafe-4ec1-aa7d-4b1b0b3a085d" userProvider="AD" userName="Carol Ogilvie"/>
      </t:Event>
      <t:Event id="{8B6ABECE-B349-4835-815A-387A851CD30B}" time="2022-10-26T16:55:53.693Z">
        <t:Attribution userId="S::svonaulock@snhpc.org::70982361-d583-4aef-8d3e-37fdedea2c64" userProvider="AD" userName="Sylvia von Aulock"/>
        <t:Anchor>
          <t:Comment id="890762154"/>
        </t:Anchor>
        <t:SetTitle title="@Carol Ogilvie Hi Carol, not at all sure if you wrote this but thought you or Tammy might have added this paragraph. What do we define as the height of the pandemic, I think this might be open for interpretation,. I'm thinking we put a date range here…"/>
      </t:Event>
    </t:History>
  </t:Task>
  <t:Task id="{154D3BAC-A6FB-43CE-835F-8E9C579B906F}">
    <t:Anchor>
      <t:Comment id="706108981"/>
    </t:Anchor>
    <t:History>
      <t:Event id="{4F55590B-75E1-4B3A-A8D8-AA7ADF5992CA}" time="2022-10-18T13:28:35.218Z">
        <t:Attribution userId="S::tzamoyski@snhpc.org::340746d7-e26a-4297-a000-ecc807ea43e7" userProvider="AD" userName="Tammy Zamoyski"/>
        <t:Anchor>
          <t:Comment id="706108981"/>
        </t:Anchor>
        <t:Create/>
      </t:Event>
      <t:Event id="{E38A7065-CAB2-453F-BBCC-936A7DEFBC91}" time="2022-10-18T13:28:35.218Z">
        <t:Attribution userId="S::tzamoyski@snhpc.org::340746d7-e26a-4297-a000-ecc807ea43e7" userProvider="AD" userName="Tammy Zamoyski"/>
        <t:Anchor>
          <t:Comment id="706108981"/>
        </t:Anchor>
        <t:Assign userId="S::zswick@snhpc.org::f0f2677a-1f9c-45fb-a4e1-463a18233f89" userProvider="AD" userName="Zachary Swick"/>
      </t:Event>
      <t:Event id="{178EEF9C-3B74-4F9A-AEED-844375E2C3DC}" time="2022-10-18T13:28:35.218Z">
        <t:Attribution userId="S::tzamoyski@snhpc.org::340746d7-e26a-4297-a000-ecc807ea43e7" userProvider="AD" userName="Tammy Zamoyski"/>
        <t:Anchor>
          <t:Comment id="706108981"/>
        </t:Anchor>
        <t:SetTitle title="@Zachary Swick pretty please move maps here"/>
      </t:Event>
      <t:Event id="{53711CDD-1243-4C99-8861-50005ECCB656}" time="2022-10-18T13:28:38.233Z">
        <t:Attribution userId="S::tzamoyski@snhpc.org::340746d7-e26a-4297-a000-ecc807ea43e7" userProvider="AD" userName="Tammy Zamoyski"/>
        <t:Progress percentComplete="100"/>
      </t:Event>
    </t:History>
  </t:Task>
  <t:Task id="{B504E352-3D81-4321-B5E8-60F24EC9E06C}">
    <t:Anchor>
      <t:Comment id="337324535"/>
    </t:Anchor>
    <t:History>
      <t:Event id="{E07EC8B5-6F2C-439A-A98D-50B8B56B1472}" time="2022-10-18T13:32:40.639Z">
        <t:Attribution userId="S::tzamoyski@snhpc.org::340746d7-e26a-4297-a000-ecc807ea43e7" userProvider="AD" userName="Tammy Zamoyski"/>
        <t:Anchor>
          <t:Comment id="337324535"/>
        </t:Anchor>
        <t:Create/>
      </t:Event>
      <t:Event id="{D17781F0-3A06-4CD4-B7C3-AF29D0F2740E}" time="2022-10-18T13:32:40.639Z">
        <t:Attribution userId="S::tzamoyski@snhpc.org::340746d7-e26a-4297-a000-ecc807ea43e7" userProvider="AD" userName="Tammy Zamoyski"/>
        <t:Anchor>
          <t:Comment id="337324535"/>
        </t:Anchor>
        <t:Assign userId="S::tzamoyski@snhpc.org::340746d7-e26a-4297-a000-ecc807ea43e7" userProvider="AD" userName="Tammy Zamoyski"/>
      </t:Event>
      <t:Event id="{69FDDC64-BDBB-44AD-B867-3A5104EE8166}" time="2022-10-18T13:32:40.639Z">
        <t:Attribution userId="S::tzamoyski@snhpc.org::340746d7-e26a-4297-a000-ecc807ea43e7" userProvider="AD" userName="Tammy Zamoyski"/>
        <t:Anchor>
          <t:Comment id="337324535"/>
        </t:Anchor>
        <t:SetTitle title="@Tammy Zamoyski move to cost of transportation"/>
      </t:Event>
      <t:Event id="{69E60D28-4C0F-40C9-B7D5-A0CBC9FF5F93}" time="2022-10-19T14:37:11.022Z">
        <t:Attribution userId="S::tzamoyski@snhpc.org::340746d7-e26a-4297-a000-ecc807ea43e7" userProvider="AD" userName="Tammy Zamoyski"/>
        <t:Progress percentComplete="100"/>
      </t:Event>
    </t:History>
  </t:Task>
  <t:Task id="{B66FDD10-388C-4DF8-8138-D52FF87587C3}">
    <t:Anchor>
      <t:Comment id="1293732203"/>
    </t:Anchor>
    <t:History>
      <t:Event id="{E729996F-7B64-47F7-853F-97926FCA9A7B}" time="2022-10-26T16:37:31.14Z">
        <t:Attribution userId="S::svonaulock@snhpc.org::70982361-d583-4aef-8d3e-37fdedea2c64" userProvider="AD" userName="Sylvia von Aulock"/>
        <t:Anchor>
          <t:Comment id="1293732203"/>
        </t:Anchor>
        <t:Create/>
      </t:Event>
      <t:Event id="{686C4472-312A-4698-A9ED-F5DA1CBEF26C}" time="2022-10-26T16:37:31.14Z">
        <t:Attribution userId="S::svonaulock@snhpc.org::70982361-d583-4aef-8d3e-37fdedea2c64" userProvider="AD" userName="Sylvia von Aulock"/>
        <t:Anchor>
          <t:Comment id="1293732203"/>
        </t:Anchor>
        <t:Assign userId="S::cogilvie@snhpc.org::8494515f-cafe-4ec1-aa7d-4b1b0b3a085d" userProvider="AD" userName="Carol Ogilvie"/>
      </t:Event>
      <t:Event id="{FB29874F-DB49-4595-8908-D94470C338A0}" time="2022-10-26T16:37:31.14Z">
        <t:Attribution userId="S::svonaulock@snhpc.org::70982361-d583-4aef-8d3e-37fdedea2c64" userProvider="AD" userName="Sylvia von Aulock"/>
        <t:Anchor>
          <t:Comment id="1293732203"/>
        </t:Anchor>
        <t:SetTitle title="@Carol Ogilvie is this June 30 2020?"/>
      </t:Event>
      <t:Event id="{EB479BAA-8866-4927-9757-2AF12208ECC7}" time="2022-11-02T15:30:39.694Z">
        <t:Attribution userId="S::tzamoyski@snhpc.org::340746d7-e26a-4297-a000-ecc807ea43e7" userProvider="AD" userName="Tammy Zamoyski"/>
        <t:Progress percentComplete="100"/>
      </t:Event>
    </t:History>
  </t:Task>
  <t:Task id="{E90BC396-E810-4B95-AD2F-33FDCF207CA8}">
    <t:Anchor>
      <t:Comment id="1963724656"/>
    </t:Anchor>
    <t:History>
      <t:Event id="{926DCBCD-B0B8-42A1-A0BF-B5A8259B98EF}" time="2022-11-15T19:18:42.415Z">
        <t:Attribution userId="S::svonaulock@snhpc.org::70982361-d583-4aef-8d3e-37fdedea2c64" userProvider="AD" userName="Sylvia von Aulock"/>
        <t:Anchor>
          <t:Comment id="1963724656"/>
        </t:Anchor>
        <t:Create/>
      </t:Event>
      <t:Event id="{FED04958-32EF-4CBF-8B1C-096F4DB86FD9}" time="2022-11-15T19:18:42.415Z">
        <t:Attribution userId="S::svonaulock@snhpc.org::70982361-d583-4aef-8d3e-37fdedea2c64" userProvider="AD" userName="Sylvia von Aulock"/>
        <t:Anchor>
          <t:Comment id="1963724656"/>
        </t:Anchor>
        <t:Assign userId="S::cogilvie@snhpc.org::8494515f-cafe-4ec1-aa7d-4b1b0b3a085d" userProvider="AD" userName="Carol Ogilvie"/>
      </t:Event>
      <t:Event id="{6C93F51E-690A-40EB-8B59-7E98FDA07E6B}" time="2022-11-15T19:18:42.415Z">
        <t:Attribution userId="S::svonaulock@snhpc.org::70982361-d583-4aef-8d3e-37fdedea2c64" userProvider="AD" userName="Sylvia von Aulock"/>
        <t:Anchor>
          <t:Comment id="1963724656"/>
        </t:Anchor>
        <t:SetTitle title="@Carol Ogilvie Hi Carol, could you give this a quick read, I just rewrote this and I've reread it too many times."/>
      </t:Event>
    </t:History>
  </t:Task>
  <t:Task id="{05A599D0-16E4-4595-9C45-86CBB63853B1}">
    <t:Anchor>
      <t:Comment id="1249855893"/>
    </t:Anchor>
    <t:History>
      <t:Event id="{80C9D3D4-6CB6-4371-B449-73154991CF1C}" time="2022-10-26T16:53:01.355Z">
        <t:Attribution userId="S::svonaulock@snhpc.org::70982361-d583-4aef-8d3e-37fdedea2c64" userProvider="AD" userName="Sylvia von Aulock"/>
        <t:Anchor>
          <t:Comment id="1249855893"/>
        </t:Anchor>
        <t:Create/>
      </t:Event>
      <t:Event id="{5985089D-A985-4BBC-A005-38DECC0A0FE2}" time="2022-10-26T16:53:01.355Z">
        <t:Attribution userId="S::svonaulock@snhpc.org::70982361-d583-4aef-8d3e-37fdedea2c64" userProvider="AD" userName="Sylvia von Aulock"/>
        <t:Anchor>
          <t:Comment id="1249855893"/>
        </t:Anchor>
        <t:Assign userId="S::zswick@snhpc.org::f0f2677a-1f9c-45fb-a4e1-463a18233f89" userProvider="AD" userName="Zachary Swick"/>
      </t:Event>
      <t:Event id="{A05EE7F9-0C3B-4C46-8F43-3A9C10C084F1}" time="2022-10-26T16:53:01.355Z">
        <t:Attribution userId="S::svonaulock@snhpc.org::70982361-d583-4aef-8d3e-37fdedea2c64" userProvider="AD" userName="Sylvia von Aulock"/>
        <t:Anchor>
          <t:Comment id="1249855893"/>
        </t:Anchor>
        <t:SetTitle title="@Zachary Swick this would be a good place for that graph showing 2 days and the house is sold."/>
      </t:Event>
    </t:History>
  </t:Task>
  <t:Task id="{571F9F2E-BA24-46AA-93C8-FFCD84D52B86}">
    <t:Anchor>
      <t:Comment id="317754163"/>
    </t:Anchor>
    <t:History>
      <t:Event id="{78FB2A6F-CDBB-4B3B-8568-D8197AB15750}" time="2022-10-26T17:22:13.899Z">
        <t:Attribution userId="S::svonaulock@snhpc.org::70982361-d583-4aef-8d3e-37fdedea2c64" userProvider="AD" userName="Sylvia von Aulock"/>
        <t:Anchor>
          <t:Comment id="317754163"/>
        </t:Anchor>
        <t:Create/>
      </t:Event>
      <t:Event id="{6DBD6A65-8E6C-4177-808F-59125B84EDEB}" time="2022-10-26T17:22:13.899Z">
        <t:Attribution userId="S::svonaulock@snhpc.org::70982361-d583-4aef-8d3e-37fdedea2c64" userProvider="AD" userName="Sylvia von Aulock"/>
        <t:Anchor>
          <t:Comment id="317754163"/>
        </t:Anchor>
        <t:Assign userId="S::tzamoyski@snhpc.org::340746d7-e26a-4297-a000-ecc807ea43e7" userProvider="AD" userName="Tammy Zamoyski"/>
      </t:Event>
      <t:Event id="{F2082DFE-C0E5-4D40-8388-9E39F8C189DE}" time="2022-10-26T17:22:13.899Z">
        <t:Attribution userId="S::svonaulock@snhpc.org::70982361-d583-4aef-8d3e-37fdedea2c64" userProvider="AD" userName="Sylvia von Aulock"/>
        <t:Anchor>
          <t:Comment id="317754163"/>
        </t:Anchor>
        <t:SetTitle title="@Tammy Zamoyski again we need the year of this."/>
      </t:Event>
      <t:Event id="{37F17CDA-BBD2-4B87-9568-AA0D53441E46}" time="2022-10-28T15:31:39.188Z">
        <t:Attribution userId="S::tzamoyski@snhpc.org::340746d7-e26a-4297-a000-ecc807ea43e7" userProvider="AD" userName="Tammy Zamoyski"/>
        <t:Progress percentComplete="100"/>
      </t:Event>
    </t:History>
  </t:Task>
  <t:Task id="{0A2BED5C-B846-4A9E-B27D-E9EE46239950}">
    <t:Anchor>
      <t:Comment id="2105953538"/>
    </t:Anchor>
    <t:History>
      <t:Event id="{22FCF8C9-4D1B-4E72-9C42-BF1EE319B99C}" time="2022-10-27T15:08:26.168Z">
        <t:Attribution userId="S::svonaulock@snhpc.org::70982361-d583-4aef-8d3e-37fdedea2c64" userProvider="AD" userName="Sylvia von Aulock"/>
        <t:Anchor>
          <t:Comment id="2105953538"/>
        </t:Anchor>
        <t:Create/>
      </t:Event>
      <t:Event id="{C69E5D90-8CD3-4CD0-A602-32EC60DA9857}" time="2022-10-27T15:08:26.168Z">
        <t:Attribution userId="S::svonaulock@snhpc.org::70982361-d583-4aef-8d3e-37fdedea2c64" userProvider="AD" userName="Sylvia von Aulock"/>
        <t:Anchor>
          <t:Comment id="2105953538"/>
        </t:Anchor>
        <t:Assign userId="S::zswick@snhpc.org::f0f2677a-1f9c-45fb-a4e1-463a18233f89" userProvider="AD" userName="Zachary Swick"/>
      </t:Event>
      <t:Event id="{D9F0014D-825E-4525-A268-3635DD2A1995}" time="2022-10-27T15:08:26.168Z">
        <t:Attribution userId="S::svonaulock@snhpc.org::70982361-d583-4aef-8d3e-37fdedea2c64" userProvider="AD" userName="Sylvia von Aulock"/>
        <t:Anchor>
          <t:Comment id="2105953538"/>
        </t:Anchor>
        <t:SetTitle title="@Zachary Swick hi Zach, just hoping you could fill in the numbers"/>
      </t:Event>
    </t:History>
  </t:Task>
  <t:Task id="{47D8EB84-A7E5-4F46-9040-D486F6C241E5}">
    <t:Anchor>
      <t:Comment id="1358424225"/>
    </t:Anchor>
    <t:History>
      <t:Event id="{FF626292-8561-4C65-8957-A0A8F308F0ED}" time="2022-11-11T18:53:35.86Z">
        <t:Attribution userId="S::svonaulock@snhpc.org::70982361-d583-4aef-8d3e-37fdedea2c64" userProvider="AD" userName="Sylvia von Aulock"/>
        <t:Anchor>
          <t:Comment id="1358424225"/>
        </t:Anchor>
        <t:Create/>
      </t:Event>
      <t:Event id="{3C3E5E1F-1547-4567-BD6E-029E74A8BCAC}" time="2022-11-11T18:53:35.86Z">
        <t:Attribution userId="S::svonaulock@snhpc.org::70982361-d583-4aef-8d3e-37fdedea2c64" userProvider="AD" userName="Sylvia von Aulock"/>
        <t:Anchor>
          <t:Comment id="1358424225"/>
        </t:Anchor>
        <t:Assign userId="S::cogilvie@snhpc.org::8494515f-cafe-4ec1-aa7d-4b1b0b3a085d" userProvider="AD" userName="Carol Ogilvie"/>
      </t:Event>
      <t:Event id="{597254C9-5076-4368-9467-86CB8E5E72C7}" time="2022-11-11T18:53:35.86Z">
        <t:Attribution userId="S::svonaulock@snhpc.org::70982361-d583-4aef-8d3e-37fdedea2c64" userProvider="AD" userName="Sylvia von Aulock"/>
        <t:Anchor>
          <t:Comment id="1358424225"/>
        </t:Anchor>
        <t:SetTitle title="@Carol Ogilvie Hi Carol, could you give this and the attitude section above a quick read. I've done my final edits and just want your opinion. Please edit at will."/>
      </t:Event>
    </t:History>
  </t:Task>
  <t:Task id="{12C7097C-1949-4271-BC88-F5804E0D3A9A}">
    <t:Anchor>
      <t:Comment id="980262644"/>
    </t:Anchor>
    <t:History>
      <t:Event id="{7F1946C4-D415-4648-9BED-07B75A605C95}" time="2022-11-16T19:47:05.15Z">
        <t:Attribution userId="S::svonaulock@snhpc.org::70982361-d583-4aef-8d3e-37fdedea2c64" userProvider="AD" userName="Sylvia von Aulock"/>
        <t:Anchor>
          <t:Comment id="980262644"/>
        </t:Anchor>
        <t:Create/>
      </t:Event>
      <t:Event id="{1B1DEFDA-A321-4BB1-8A30-B438FAAD689A}" time="2022-11-16T19:47:05.15Z">
        <t:Attribution userId="S::svonaulock@snhpc.org::70982361-d583-4aef-8d3e-37fdedea2c64" userProvider="AD" userName="Sylvia von Aulock"/>
        <t:Anchor>
          <t:Comment id="980262644"/>
        </t:Anchor>
        <t:Assign userId="S::cogilvie@snhpc.org::8494515f-cafe-4ec1-aa7d-4b1b0b3a085d" userProvider="AD" userName="Carol Ogilvie"/>
      </t:Event>
      <t:Event id="{8C54FCEE-E2E1-45BF-909D-C4E2C192A595}" time="2022-11-16T19:47:05.15Z">
        <t:Attribution userId="S::svonaulock@snhpc.org::70982361-d583-4aef-8d3e-37fdedea2c64" userProvider="AD" userName="Sylvia von Aulock"/>
        <t:Anchor>
          <t:Comment id="980262644"/>
        </t:Anchor>
        <t:SetTitle title="@Carol Ogilvie thoughts?"/>
      </t:Event>
    </t:History>
  </t:Task>
  <t:Task id="{C593100E-235A-4126-8D81-02BB3570A761}">
    <t:Anchor>
      <t:Comment id="1437893991"/>
    </t:Anchor>
    <t:History>
      <t:Event id="{219778C9-D88F-4544-AE04-CDC606892EE1}" time="2022-11-16T20:09:22.223Z">
        <t:Attribution userId="S::svonaulock@snhpc.org::70982361-d583-4aef-8d3e-37fdedea2c64" userProvider="AD" userName="Sylvia von Aulock"/>
        <t:Anchor>
          <t:Comment id="1437893991"/>
        </t:Anchor>
        <t:Create/>
      </t:Event>
      <t:Event id="{BB79B2BF-5ED5-4AE4-88B2-2628743AA68A}" time="2022-11-16T20:09:22.223Z">
        <t:Attribution userId="S::svonaulock@snhpc.org::70982361-d583-4aef-8d3e-37fdedea2c64" userProvider="AD" userName="Sylvia von Aulock"/>
        <t:Anchor>
          <t:Comment id="1437893991"/>
        </t:Anchor>
        <t:Assign userId="S::tzamoyski@snhpc.org::340746d7-e26a-4297-a000-ecc807ea43e7" userProvider="AD" userName="Tammy Zamoyski"/>
      </t:Event>
      <t:Event id="{0B6CC839-494A-47FC-9020-9E3C048466D2}" time="2022-11-16T20:09:22.223Z">
        <t:Attribution userId="S::svonaulock@snhpc.org::70982361-d583-4aef-8d3e-37fdedea2c64" userProvider="AD" userName="Sylvia von Aulock"/>
        <t:Anchor>
          <t:Comment id="1437893991"/>
        </t:Anchor>
        <t:SetTitle title="@Tammy Zamoyski any chance we could get a graph that depicts this, the paragraph description hurts my head"/>
      </t:Event>
    </t:History>
  </t:Task>
  <t:Task id="{9091EDE1-278D-4C08-B0A4-F6F5E15147C4}">
    <t:Anchor>
      <t:Comment id="405347972"/>
    </t:Anchor>
    <t:History>
      <t:Event id="{9F817CF9-E429-4B7F-BE38-32CACFE145A5}" time="2022-11-29T15:55:10.981Z">
        <t:Attribution userId="S::svonaulock@snhpc.org::70982361-d583-4aef-8d3e-37fdedea2c64" userProvider="AD" userName="Sylvia von Aulock"/>
        <t:Anchor>
          <t:Comment id="405347972"/>
        </t:Anchor>
        <t:Create/>
      </t:Event>
      <t:Event id="{E74C9AB5-A500-4D85-9A20-1505300D5894}" time="2022-11-29T15:55:10.981Z">
        <t:Attribution userId="S::svonaulock@snhpc.org::70982361-d583-4aef-8d3e-37fdedea2c64" userProvider="AD" userName="Sylvia von Aulock"/>
        <t:Anchor>
          <t:Comment id="405347972"/>
        </t:Anchor>
        <t:Assign userId="S::tzamoyski@snhpc.org::340746d7-e26a-4297-a000-ecc807ea43e7" userProvider="AD" userName="Tammy Zamoyski"/>
      </t:Event>
      <t:Event id="{D210438B-E558-4B2F-8E3E-460CE7B7C535}" time="2022-11-29T15:55:10.981Z">
        <t:Attribution userId="S::svonaulock@snhpc.org::70982361-d583-4aef-8d3e-37fdedea2c64" userProvider="AD" userName="Sylvia von Aulock"/>
        <t:Anchor>
          <t:Comment id="405347972"/>
        </t:Anchor>
        <t:SetTitle title="@Tammy Zamoyski http://www.harmonyhomesnh.com/ Tammy, I don't know how to add a link so here's their website"/>
      </t:Event>
      <t:Event id="{9B1D4988-6910-434E-B7E3-627994B0893D}" time="2022-11-29T17:40:34.216Z">
        <t:Attribution userId="S::tzamoyski@snhpc.org::340746d7-e26a-4297-a000-ecc807ea43e7" userProvider="AD" userName="Tammy Zamoyski"/>
        <t:Progress percentComplete="100"/>
      </t:Event>
    </t:History>
  </t:Task>
  <t:Task id="{98DE3259-F387-400A-A14C-6D1B0E1FEB0E}">
    <t:Anchor>
      <t:Comment id="291271905"/>
    </t:Anchor>
    <t:History>
      <t:Event id="{C9BC38BB-EF3D-4CA3-96E4-4AEAC87B9DA7}" time="2022-11-29T14:45:49.202Z">
        <t:Attribution userId="S::svonaulock@snhpc.org::70982361-d583-4aef-8d3e-37fdedea2c64" userProvider="AD" userName="Sylvia von Aulock"/>
        <t:Anchor>
          <t:Comment id="291271905"/>
        </t:Anchor>
        <t:Create/>
      </t:Event>
      <t:Event id="{F62F9D37-E58D-4B48-9C5A-7ADC3EB7BEEA}" time="2022-11-29T14:45:49.202Z">
        <t:Attribution userId="S::svonaulock@snhpc.org::70982361-d583-4aef-8d3e-37fdedea2c64" userProvider="AD" userName="Sylvia von Aulock"/>
        <t:Anchor>
          <t:Comment id="291271905"/>
        </t:Anchor>
        <t:Assign userId="S::zswick@snhpc.org::f0f2677a-1f9c-45fb-a4e1-463a18233f89" userProvider="AD" userName="Zachary Swick"/>
      </t:Event>
      <t:Event id="{58864596-AF4C-41C6-9C96-9B1419516236}" time="2022-11-29T14:45:49.202Z">
        <t:Attribution userId="S::svonaulock@snhpc.org::70982361-d583-4aef-8d3e-37fdedea2c64" userProvider="AD" userName="Sylvia von Aulock"/>
        <t:Anchor>
          <t:Comment id="291271905"/>
        </t:Anchor>
        <t:SetTitle title="@Zachary Swick just wondering if we have a definition for this: met. and non-met NH"/>
      </t:Event>
    </t:History>
  </t:Task>
  <t:Task id="{84A53671-8A45-4E10-94D4-6AEF3A699CBC}">
    <t:Anchor>
      <t:Comment id="1151373735"/>
    </t:Anchor>
    <t:History>
      <t:Event id="{5AC8C166-A48E-4EE2-8252-C2058BBE2AC8}" time="2022-12-03T13:05:16.774Z">
        <t:Attribution userId="S::svonaulock@snhpc.org::70982361-d583-4aef-8d3e-37fdedea2c64" userProvider="AD" userName="Sylvia von Aulock"/>
        <t:Anchor>
          <t:Comment id="1151373735"/>
        </t:Anchor>
        <t:Create/>
      </t:Event>
      <t:Event id="{6544D264-EBE9-4697-A4EA-93710E44D6F3}" time="2022-12-03T13:05:16.774Z">
        <t:Attribution userId="S::svonaulock@snhpc.org::70982361-d583-4aef-8d3e-37fdedea2c64" userProvider="AD" userName="Sylvia von Aulock"/>
        <t:Anchor>
          <t:Comment id="1151373735"/>
        </t:Anchor>
        <t:Assign userId="S::cogilvie@snhpc.org::8494515f-cafe-4ec1-aa7d-4b1b0b3a085d" userProvider="AD" userName="Carol Ogilvie"/>
      </t:Event>
      <t:Event id="{79F91480-01FB-4AAC-A34C-8C562F5817DB}" time="2022-12-03T13:05:16.774Z">
        <t:Attribution userId="S::svonaulock@snhpc.org::70982361-d583-4aef-8d3e-37fdedea2c64" userProvider="AD" userName="Sylvia von Aulock"/>
        <t:Anchor>
          <t:Comment id="1151373735"/>
        </t:Anchor>
        <t:SetTitle title="@Carol Ogilvie Hi and Guten Morgen, so I'm wondering, do we rename the section because it certainly is not an introduction. Perhaps &quot;Overview&quot; or Housing Basics.... thoughts?"/>
      </t:Event>
    </t:History>
  </t:Task>
  <t:Task id="{02691D5D-9D05-4B99-A139-A68AE46A2A08}">
    <t:Anchor>
      <t:Comment id="1208404375"/>
    </t:Anchor>
    <t:History>
      <t:Event id="{13E2BCF8-8F5E-4118-8BF7-DA7B207F172B}" time="2022-11-29T14:54:18.289Z">
        <t:Attribution userId="S::svonaulock@snhpc.org::70982361-d583-4aef-8d3e-37fdedea2c64" userProvider="AD" userName="Sylvia von Aulock"/>
        <t:Anchor>
          <t:Comment id="1208404375"/>
        </t:Anchor>
        <t:Create/>
      </t:Event>
      <t:Event id="{47D8EF49-4CEA-4DCF-84BF-2C96D13C2B09}" time="2022-11-29T14:54:18.289Z">
        <t:Attribution userId="S::svonaulock@snhpc.org::70982361-d583-4aef-8d3e-37fdedea2c64" userProvider="AD" userName="Sylvia von Aulock"/>
        <t:Anchor>
          <t:Comment id="1208404375"/>
        </t:Anchor>
        <t:Assign userId="S::zswick@snhpc.org::f0f2677a-1f9c-45fb-a4e1-463a18233f89" userProvider="AD" userName="Zachary Swick"/>
      </t:Event>
      <t:Event id="{053A0052-E4EC-4D35-A078-612400E86656}" time="2022-11-29T14:54:18.289Z">
        <t:Attribution userId="S::svonaulock@snhpc.org::70982361-d583-4aef-8d3e-37fdedea2c64" userProvider="AD" userName="Sylvia von Aulock"/>
        <t:Anchor>
          <t:Comment id="1208404375"/>
        </t:Anchor>
        <t:SetTitle title="@Zachary Swick Hey Zack,, I think you are our rep for this group. First, can you verify these goals are still in their final report and second, regarding the housing increase, you may want to add something about the percentage of units in our region …"/>
      </t:Event>
    </t:History>
  </t:Task>
  <t:Task id="{D1D0B7F9-E37D-42E4-9331-D787B1644695}">
    <t:Anchor>
      <t:Comment id="423028117"/>
    </t:Anchor>
    <t:History>
      <t:Event id="{8248BA53-27BE-4A08-839A-5BB204C4F97B}" time="2022-11-29T15:02:52.592Z">
        <t:Attribution userId="S::svonaulock@snhpc.org::70982361-d583-4aef-8d3e-37fdedea2c64" userProvider="AD" userName="Sylvia von Aulock"/>
        <t:Anchor>
          <t:Comment id="423028117"/>
        </t:Anchor>
        <t:Create/>
      </t:Event>
      <t:Event id="{365D7AA1-C748-403F-AF3A-0BC7AACED6DF}" time="2022-11-29T15:02:52.592Z">
        <t:Attribution userId="S::svonaulock@snhpc.org::70982361-d583-4aef-8d3e-37fdedea2c64" userProvider="AD" userName="Sylvia von Aulock"/>
        <t:Anchor>
          <t:Comment id="423028117"/>
        </t:Anchor>
        <t:Assign userId="S::zswick@snhpc.org::f0f2677a-1f9c-45fb-a4e1-463a18233f89" userProvider="AD" userName="Zachary Swick"/>
      </t:Event>
      <t:Event id="{DC7C79CC-9801-4E58-995F-90749261250F}" time="2022-11-29T15:02:52.592Z">
        <t:Attribution userId="S::svonaulock@snhpc.org::70982361-d583-4aef-8d3e-37fdedea2c64" userProvider="AD" userName="Sylvia von Aulock"/>
        <t:Anchor>
          <t:Comment id="423028117"/>
        </t:Anchor>
        <t:SetTitle title="@Zachary Swick do we have any graphics for this section?"/>
      </t:Event>
    </t:History>
  </t:Task>
  <t:Task id="{FCEE7FCF-C7FD-4B68-B24A-F5988AE440D4}">
    <t:Anchor>
      <t:Comment id="40976159"/>
    </t:Anchor>
    <t:History>
      <t:Event id="{8C82A4B9-D750-4364-A8B0-10FF04731FBD}" time="2022-11-29T15:15:22.705Z">
        <t:Attribution userId="S::svonaulock@snhpc.org::70982361-d583-4aef-8d3e-37fdedea2c64" userProvider="AD" userName="Sylvia von Aulock"/>
        <t:Anchor>
          <t:Comment id="40976159"/>
        </t:Anchor>
        <t:Create/>
      </t:Event>
      <t:Event id="{04762008-DBE0-4CB6-8DAC-9AD090E821F0}" time="2022-11-29T15:15:22.705Z">
        <t:Attribution userId="S::svonaulock@snhpc.org::70982361-d583-4aef-8d3e-37fdedea2c64" userProvider="AD" userName="Sylvia von Aulock"/>
        <t:Anchor>
          <t:Comment id="40976159"/>
        </t:Anchor>
        <t:Assign userId="S::cogilvie@snhpc.org::8494515f-cafe-4ec1-aa7d-4b1b0b3a085d" userProvider="AD" userName="Carol Ogilvie"/>
      </t:Event>
      <t:Event id="{A3F7EF57-B297-413F-9EB0-EB7339D3CA66}" time="2022-11-29T15:15:22.705Z">
        <t:Attribution userId="S::svonaulock@snhpc.org::70982361-d583-4aef-8d3e-37fdedea2c64" userProvider="AD" userName="Sylvia von Aulock"/>
        <t:Anchor>
          <t:Comment id="40976159"/>
        </t:Anchor>
        <t:SetTitle title="@Carol Ogilvie Hi Carol, I was hoping you could review and edit this section. I thing we need more about the intent of the Appeals Board and how a case gets in front of the Board. Also, in the paragraphs just below this we're seeing abbreviations for …"/>
      </t:Event>
    </t:History>
  </t:Task>
  <t:Task id="{662FB056-677D-4E4B-A892-27A46486FCA0}">
    <t:Anchor>
      <t:Comment id="1930554420"/>
    </t:Anchor>
    <t:History>
      <t:Event id="{71FD2E1E-336B-4964-A70F-E2476EB582F3}" time="2022-11-29T16:00:45.235Z">
        <t:Attribution userId="S::svonaulock@snhpc.org::70982361-d583-4aef-8d3e-37fdedea2c64" userProvider="AD" userName="Sylvia von Aulock"/>
        <t:Anchor>
          <t:Comment id="1930554420"/>
        </t:Anchor>
        <t:Create/>
      </t:Event>
      <t:Event id="{14DC57F8-8E25-4766-8BED-611B1EAF6D10}" time="2022-11-29T16:00:45.235Z">
        <t:Attribution userId="S::svonaulock@snhpc.org::70982361-d583-4aef-8d3e-37fdedea2c64" userProvider="AD" userName="Sylvia von Aulock"/>
        <t:Anchor>
          <t:Comment id="1930554420"/>
        </t:Anchor>
        <t:Assign userId="S::cprolman@snhpc.org::563260de-bb27-4552-96b6-b28e9aba6aad" userProvider="AD" userName="Cameron Prolman"/>
      </t:Event>
      <t:Event id="{B1FD9127-3BFE-467B-8A4D-B3000557D7B7}" time="2022-11-29T16:00:45.235Z">
        <t:Attribution userId="S::svonaulock@snhpc.org::70982361-d583-4aef-8d3e-37fdedea2c64" userProvider="AD" userName="Sylvia von Aulock"/>
        <t:Anchor>
          <t:Comment id="1930554420"/>
        </t:Anchor>
        <t:SetTitle title="@Cameron Prolman Hi Cam, can you add a bit to this description, it seems to be a bit lacking in a discussion about urban vs. rural and it could use something about transportation corridors. Perhaps it's already written in another document?"/>
      </t:Event>
    </t:History>
  </t:Task>
  <t:Task id="{DD2E8305-A4F3-4E21-B54B-7F9B8D7D04B5}">
    <t:Anchor>
      <t:Comment id="1437815848"/>
    </t:Anchor>
    <t:History>
      <t:Event id="{0C86623A-8EC8-4F97-849B-06E7CE72DC67}" time="2022-10-18T12:45:23.144Z">
        <t:Attribution userId="S::tzamoyski@snhpc.org::340746d7-e26a-4297-a000-ecc807ea43e7" userProvider="AD" userName="Tammy Zamoyski"/>
        <t:Anchor>
          <t:Comment id="1632280719"/>
        </t:Anchor>
        <t:Create/>
      </t:Event>
      <t:Event id="{BF5F68A5-2C10-4E25-B673-38DFAAE18026}" time="2022-10-18T12:45:23.144Z">
        <t:Attribution userId="S::tzamoyski@snhpc.org::340746d7-e26a-4297-a000-ecc807ea43e7" userProvider="AD" userName="Tammy Zamoyski"/>
        <t:Anchor>
          <t:Comment id="1632280719"/>
        </t:Anchor>
        <t:Assign userId="S::tzamoyski@snhpc.org::340746d7-e26a-4297-a000-ecc807ea43e7" userProvider="AD" userName="Tammy Zamoyski"/>
      </t:Event>
      <t:Event id="{F8B85768-5AAD-42DD-8A96-BD6065C66EB3}" time="2022-10-18T12:45:23.144Z">
        <t:Attribution userId="S::tzamoyski@snhpc.org::340746d7-e26a-4297-a000-ecc807ea43e7" userProvider="AD" userName="Tammy Zamoyski"/>
        <t:Anchor>
          <t:Comment id="1632280719"/>
        </t:Anchor>
        <t:SetTitle title="@Tammy Zamoyski make sure this is only in here once"/>
      </t:Event>
      <t:Event id="{92308936-EF4C-4C20-A77A-8A7C370AE12B}" time="2022-10-19T12:47:34.453Z">
        <t:Attribution userId="S::tzamoyski@snhpc.org::340746d7-e26a-4297-a000-ecc807ea43e7" userProvider="AD" userName="Tammy Zamoyski"/>
        <t:Progress percentComplete="100"/>
      </t:Event>
      <t:Event id="{270A696F-FBF9-4921-AB93-7CE7D6AD2F59}" time="2022-12-05T14:09:49.843Z">
        <t:Attribution userId="S::tzamoyski@snhpc.org::340746d7-e26a-4297-a000-ecc807ea43e7" userProvider="AD" userName="Tammy Zamoyski"/>
        <t:Progress percentComplete="0"/>
      </t:Event>
      <t:Event id="{15FBFAB7-E398-4DBB-9422-65B882AA5F68}" time="2022-12-05T14:11:05.309Z">
        <t:Attribution userId="S::tzamoyski@snhpc.org::340746d7-e26a-4297-a000-ecc807ea43e7" userProvider="AD" userName="Tammy Zamoyski"/>
        <t:Progress percentComplete="100"/>
      </t:Event>
    </t:History>
  </t:Task>
  <t:Task id="{0759FE3B-B449-4671-BA20-30FF3BD86B19}">
    <t:Anchor>
      <t:Comment id="1797644567"/>
    </t:Anchor>
    <t:History>
      <t:Event id="{B961A1F2-A1B5-46FD-95B1-771FD114D833}" time="2022-12-07T16:44:13.628Z">
        <t:Attribution userId="S::cprolman@snhpc.org::563260de-bb27-4552-96b6-b28e9aba6aad" userProvider="AD" userName="Cameron Prolman"/>
        <t:Anchor>
          <t:Comment id="1797644567"/>
        </t:Anchor>
        <t:Create/>
      </t:Event>
      <t:Event id="{5D9B15D7-3C28-4374-A497-E6EFEAF45546}" time="2022-12-07T16:44:13.628Z">
        <t:Attribution userId="S::cprolman@snhpc.org::563260de-bb27-4552-96b6-b28e9aba6aad" userProvider="AD" userName="Cameron Prolman"/>
        <t:Anchor>
          <t:Comment id="1797644567"/>
        </t:Anchor>
        <t:Assign userId="S::zswick@snhpc.org::f0f2677a-1f9c-45fb-a4e1-463a18233f89" userProvider="AD" userName="Zachary Swick"/>
      </t:Event>
      <t:Event id="{86608B9A-D1E0-4D23-9E2B-D4D24F2D8E8B}" time="2022-12-07T16:44:13.628Z">
        <t:Attribution userId="S::cprolman@snhpc.org::563260de-bb27-4552-96b6-b28e9aba6aad" userProvider="AD" userName="Cameron Prolman"/>
        <t:Anchor>
          <t:Comment id="1797644567"/>
        </t:Anchor>
        <t:SetTitle title="@Zachary Swick Zach, please review"/>
      </t:Event>
    </t:History>
  </t:Task>
  <t:Task id="{60C20B88-9C9A-4BB3-93C7-FB521593345D}">
    <t:Anchor>
      <t:Comment id="480314128"/>
    </t:Anchor>
    <t:History>
      <t:Event id="{503AF862-9C3A-44E2-AF48-83CB9C806208}" time="2022-12-07T16:45:53.434Z">
        <t:Attribution userId="S::cprolman@snhpc.org::563260de-bb27-4552-96b6-b28e9aba6aad" userProvider="AD" userName="Cameron Prolman"/>
        <t:Anchor>
          <t:Comment id="480314128"/>
        </t:Anchor>
        <t:Create/>
      </t:Event>
      <t:Event id="{B351E93D-C94B-4C72-9AD2-9C9F6EC4F794}" time="2022-12-07T16:45:53.434Z">
        <t:Attribution userId="S::cprolman@snhpc.org::563260de-bb27-4552-96b6-b28e9aba6aad" userProvider="AD" userName="Cameron Prolman"/>
        <t:Anchor>
          <t:Comment id="480314128"/>
        </t:Anchor>
        <t:Assign userId="S::svonaulock@snhpc.org::70982361-d583-4aef-8d3e-37fdedea2c64" userProvider="AD" userName="Sylvia von Aulock"/>
      </t:Event>
      <t:Event id="{A394C45F-CD08-40DF-BFF5-F3E4A7F56EEB}" time="2022-12-07T16:45:53.434Z">
        <t:Attribution userId="S::cprolman@snhpc.org::563260de-bb27-4552-96b6-b28e9aba6aad" userProvider="AD" userName="Cameron Prolman"/>
        <t:Anchor>
          <t:Comment id="480314128"/>
        </t:Anchor>
        <t:SetTitle title="@Sylvia von Aulock please review"/>
      </t:Event>
    </t:History>
  </t:Task>
</t:Tasks>
</file>

<file path=word/drawings/drawing1.xml><?xml version="1.0" encoding="utf-8"?>
<c:userShapes xmlns:c="http://schemas.openxmlformats.org/drawingml/2006/chart">
  <cdr:relSizeAnchor xmlns:cdr="http://schemas.openxmlformats.org/drawingml/2006/chartDrawing">
    <cdr:from>
      <cdr:x>0.52917</cdr:x>
      <cdr:y>0.93438</cdr:y>
    </cdr:from>
    <cdr:to>
      <cdr:x>0.99375</cdr:x>
      <cdr:y>0.98542</cdr:y>
    </cdr:to>
    <cdr:sp macro="" textlink="">
      <cdr:nvSpPr>
        <cdr:cNvPr id="2" name="TextBox 1">
          <a:extLst xmlns:a="http://schemas.openxmlformats.org/drawingml/2006/main">
            <a:ext uri="{FF2B5EF4-FFF2-40B4-BE49-F238E27FC236}">
              <a16:creationId xmlns:a16="http://schemas.microsoft.com/office/drawing/2014/main" id="{65622470-8282-81F1-F2EC-64AF0464DF1F}"/>
            </a:ext>
          </a:extLst>
        </cdr:cNvPr>
        <cdr:cNvSpPr txBox="1"/>
      </cdr:nvSpPr>
      <cdr:spPr>
        <a:xfrm xmlns:a="http://schemas.openxmlformats.org/drawingml/2006/main">
          <a:off x="2419350" y="4271963"/>
          <a:ext cx="2124075" cy="23336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50">
              <a:latin typeface="Tw Cen MT" panose="020B0602020104020603" pitchFamily="34" charset="0"/>
            </a:rPr>
            <a:t>Source:</a:t>
          </a:r>
          <a:r>
            <a:rPr lang="en-US" sz="1050" baseline="0">
              <a:latin typeface="Tw Cen MT" panose="020B0602020104020603" pitchFamily="34" charset="0"/>
            </a:rPr>
            <a:t> NH Department of Education</a:t>
          </a:r>
          <a:endParaRPr lang="en-US" sz="1050">
            <a:latin typeface="Tw Cen MT" panose="020B0602020104020603"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0.02003</cdr:x>
      <cdr:y>0.82292</cdr:y>
    </cdr:from>
    <cdr:to>
      <cdr:x>0.29808</cdr:x>
      <cdr:y>1</cdr:y>
    </cdr:to>
    <cdr:sp macro="" textlink="">
      <cdr:nvSpPr>
        <cdr:cNvPr id="2" name="TextBox 1">
          <a:extLst xmlns:a="http://schemas.openxmlformats.org/drawingml/2006/main">
            <a:ext uri="{FF2B5EF4-FFF2-40B4-BE49-F238E27FC236}">
              <a16:creationId xmlns:a16="http://schemas.microsoft.com/office/drawing/2014/main" id="{F3C8D1AA-3123-DF66-6DB7-0ACACBCDF1C3}"/>
            </a:ext>
          </a:extLst>
        </cdr:cNvPr>
        <cdr:cNvSpPr txBox="1"/>
      </cdr:nvSpPr>
      <cdr:spPr>
        <a:xfrm xmlns:a="http://schemas.openxmlformats.org/drawingml/2006/main">
          <a:off x="111889" y="3009900"/>
          <a:ext cx="1553214" cy="647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a:latin typeface="Tw Cen MT" panose="020B0602020104020603" pitchFamily="34" charset="0"/>
            </a:rPr>
            <a:t>5-Year</a:t>
          </a:r>
          <a:r>
            <a:rPr lang="en-US" sz="1000" baseline="0">
              <a:latin typeface="Tw Cen MT" panose="020B0602020104020603" pitchFamily="34" charset="0"/>
            </a:rPr>
            <a:t> American Community</a:t>
          </a:r>
        </a:p>
        <a:p xmlns:a="http://schemas.openxmlformats.org/drawingml/2006/main">
          <a:r>
            <a:rPr lang="en-US" sz="1000" baseline="0">
              <a:latin typeface="Tw Cen MT" panose="020B0602020104020603" pitchFamily="34" charset="0"/>
            </a:rPr>
            <a:t>Survey. </a:t>
          </a:r>
          <a:r>
            <a:rPr lang="en-US" sz="1000">
              <a:effectLst/>
              <a:latin typeface="Tw Cen MT" panose="020B0602020104020603" pitchFamily="34" charset="0"/>
              <a:ea typeface="+mn-ea"/>
              <a:cs typeface="+mn-cs"/>
            </a:rPr>
            <a:t>SNHPC values reflect</a:t>
          </a:r>
        </a:p>
        <a:p xmlns:a="http://schemas.openxmlformats.org/drawingml/2006/main">
          <a:r>
            <a:rPr lang="en-US" sz="1000">
              <a:effectLst/>
              <a:latin typeface="Tw Cen MT" panose="020B0602020104020603" pitchFamily="34" charset="0"/>
              <a:ea typeface="+mn-ea"/>
              <a:cs typeface="+mn-cs"/>
            </a:rPr>
            <a:t>weighted average municipal</a:t>
          </a:r>
        </a:p>
        <a:p xmlns:a="http://schemas.openxmlformats.org/drawingml/2006/main">
          <a:r>
            <a:rPr lang="en-US" sz="1000">
              <a:effectLst/>
              <a:latin typeface="Tw Cen MT" panose="020B0602020104020603" pitchFamily="34" charset="0"/>
              <a:ea typeface="+mn-ea"/>
              <a:cs typeface="+mn-cs"/>
            </a:rPr>
            <a:t>medians.</a:t>
          </a:r>
          <a:endParaRPr lang="en-US" sz="1000">
            <a:latin typeface="Tw Cen MT" panose="020B0602020104020603" pitchFamily="34" charset="0"/>
          </a:endParaRPr>
        </a:p>
      </cdr:txBody>
    </cdr:sp>
  </cdr:relSizeAnchor>
  <cdr:relSizeAnchor xmlns:cdr="http://schemas.openxmlformats.org/drawingml/2006/chartDrawing">
    <cdr:from>
      <cdr:x>0.73798</cdr:x>
      <cdr:y>0.93854</cdr:y>
    </cdr:from>
    <cdr:to>
      <cdr:x>1</cdr:x>
      <cdr:y>1</cdr:y>
    </cdr:to>
    <cdr:sp macro="" textlink="">
      <cdr:nvSpPr>
        <cdr:cNvPr id="3" name="TextBox 1">
          <a:extLst xmlns:a="http://schemas.openxmlformats.org/drawingml/2006/main">
            <a:ext uri="{FF2B5EF4-FFF2-40B4-BE49-F238E27FC236}">
              <a16:creationId xmlns:a16="http://schemas.microsoft.com/office/drawing/2014/main" id="{AFB4898F-3C49-0C41-B690-D263FD4F82E4}"/>
            </a:ext>
          </a:extLst>
        </cdr:cNvPr>
        <cdr:cNvSpPr txBox="1"/>
      </cdr:nvSpPr>
      <cdr:spPr>
        <a:xfrm xmlns:a="http://schemas.openxmlformats.org/drawingml/2006/main">
          <a:off x="4386262" y="4291012"/>
          <a:ext cx="1557337" cy="28098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a:latin typeface="Tw Cen MT" panose="020B0602020104020603" pitchFamily="34" charset="0"/>
            </a:rPr>
            <a:t>Source: US Census Bureau</a:t>
          </a:r>
        </a:p>
      </cdr:txBody>
    </cdr:sp>
  </cdr:relSizeAnchor>
</c:userShapes>
</file>

<file path=word/drawings/drawing3.xml><?xml version="1.0" encoding="utf-8"?>
<c:userShapes xmlns:c="http://schemas.openxmlformats.org/drawingml/2006/chart">
  <cdr:relSizeAnchor xmlns:cdr="http://schemas.openxmlformats.org/drawingml/2006/chartDrawing">
    <cdr:from>
      <cdr:x>0.24599</cdr:x>
      <cdr:y>0.62302</cdr:y>
    </cdr:from>
    <cdr:to>
      <cdr:x>0.93486</cdr:x>
      <cdr:y>0.75859</cdr:y>
    </cdr:to>
    <cdr:sp macro="" textlink="">
      <cdr:nvSpPr>
        <cdr:cNvPr id="3" name="TextBox 1">
          <a:extLst xmlns:a="http://schemas.openxmlformats.org/drawingml/2006/main">
            <a:ext uri="{FF2B5EF4-FFF2-40B4-BE49-F238E27FC236}">
              <a16:creationId xmlns:a16="http://schemas.microsoft.com/office/drawing/2014/main" id="{625A48C1-EBFC-416B-8545-F921E101A218}"/>
            </a:ext>
          </a:extLst>
        </cdr:cNvPr>
        <cdr:cNvSpPr txBox="1"/>
      </cdr:nvSpPr>
      <cdr:spPr>
        <a:xfrm xmlns:a="http://schemas.openxmlformats.org/drawingml/2006/main">
          <a:off x="1462089" y="2178280"/>
          <a:ext cx="4094342" cy="47399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1200">
              <a:solidFill>
                <a:schemeClr val="tx1">
                  <a:lumMod val="85000"/>
                  <a:lumOff val="15000"/>
                </a:schemeClr>
              </a:solidFill>
              <a:latin typeface="Tw Cen MT" panose="020B0602020104020603" pitchFamily="34" charset="0"/>
            </a:rPr>
            <a:t>Between</a:t>
          </a:r>
          <a:r>
            <a:rPr lang="en-US" sz="1200" baseline="0">
              <a:solidFill>
                <a:schemeClr val="tx1">
                  <a:lumMod val="85000"/>
                  <a:lumOff val="15000"/>
                </a:schemeClr>
              </a:solidFill>
              <a:latin typeface="Tw Cen MT" panose="020B0602020104020603" pitchFamily="34" charset="0"/>
            </a:rPr>
            <a:t> 1980 and 2020, real h</a:t>
          </a:r>
          <a:r>
            <a:rPr lang="en-US" sz="1200">
              <a:solidFill>
                <a:schemeClr val="tx1">
                  <a:lumMod val="85000"/>
                  <a:lumOff val="15000"/>
                </a:schemeClr>
              </a:solidFill>
              <a:latin typeface="Tw Cen MT" panose="020B0602020104020603" pitchFamily="34" charset="0"/>
            </a:rPr>
            <a:t>ome prices</a:t>
          </a:r>
          <a:r>
            <a:rPr lang="en-US" sz="1200" baseline="0">
              <a:solidFill>
                <a:schemeClr val="tx1">
                  <a:lumMod val="85000"/>
                  <a:lumOff val="15000"/>
                </a:schemeClr>
              </a:solidFill>
              <a:latin typeface="Tw Cen MT" panose="020B0602020104020603" pitchFamily="34" charset="0"/>
            </a:rPr>
            <a:t> </a:t>
          </a:r>
          <a:r>
            <a:rPr lang="en-US" sz="1200">
              <a:solidFill>
                <a:schemeClr val="tx1">
                  <a:lumMod val="85000"/>
                  <a:lumOff val="15000"/>
                </a:schemeClr>
              </a:solidFill>
              <a:latin typeface="Tw Cen MT" panose="020B0602020104020603" pitchFamily="34" charset="0"/>
            </a:rPr>
            <a:t>grew</a:t>
          </a:r>
          <a:r>
            <a:rPr lang="en-US" sz="1200" baseline="0">
              <a:solidFill>
                <a:schemeClr val="tx1">
                  <a:lumMod val="85000"/>
                  <a:lumOff val="15000"/>
                </a:schemeClr>
              </a:solidFill>
              <a:latin typeface="Tw Cen MT" panose="020B0602020104020603" pitchFamily="34" charset="0"/>
            </a:rPr>
            <a:t> by 58%</a:t>
          </a:r>
        </a:p>
        <a:p xmlns:a="http://schemas.openxmlformats.org/drawingml/2006/main">
          <a:pPr algn="r"/>
          <a:r>
            <a:rPr lang="en-US" sz="1200" baseline="0">
              <a:solidFill>
                <a:schemeClr val="tx1">
                  <a:lumMod val="85000"/>
                  <a:lumOff val="15000"/>
                </a:schemeClr>
              </a:solidFill>
              <a:latin typeface="Tw Cen MT" panose="020B0602020104020603" pitchFamily="34" charset="0"/>
            </a:rPr>
            <a:t>while real construction costs fell by 3%.</a:t>
          </a:r>
        </a:p>
        <a:p xmlns:a="http://schemas.openxmlformats.org/drawingml/2006/main">
          <a:pPr algn="r"/>
          <a:endParaRPr lang="en-US" sz="1200">
            <a:solidFill>
              <a:schemeClr val="tx1">
                <a:lumMod val="85000"/>
                <a:lumOff val="15000"/>
              </a:schemeClr>
            </a:solidFill>
            <a:latin typeface="Tw Cen MT" panose="020B0602020104020603"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0.25873</cdr:x>
      <cdr:y>0.18698</cdr:y>
    </cdr:from>
    <cdr:to>
      <cdr:x>0.66498</cdr:x>
      <cdr:y>0.29011</cdr:y>
    </cdr:to>
    <cdr:sp macro="" textlink="">
      <cdr:nvSpPr>
        <cdr:cNvPr id="2" name="TextBox 1">
          <a:extLst xmlns:a="http://schemas.openxmlformats.org/drawingml/2006/main">
            <a:ext uri="{FF2B5EF4-FFF2-40B4-BE49-F238E27FC236}">
              <a16:creationId xmlns:a16="http://schemas.microsoft.com/office/drawing/2014/main" id="{5ABDCF9F-84ED-6DF8-26C9-9CB631BDBB94}"/>
            </a:ext>
          </a:extLst>
        </cdr:cNvPr>
        <cdr:cNvSpPr txBox="1"/>
      </cdr:nvSpPr>
      <cdr:spPr>
        <a:xfrm xmlns:a="http://schemas.openxmlformats.org/drawingml/2006/main">
          <a:off x="825568" y="1282286"/>
          <a:ext cx="1296294" cy="70726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dirty="0">
              <a:solidFill>
                <a:sysClr val="windowText" lastClr="000000"/>
              </a:solidFill>
              <a:latin typeface="Tw Cen MT" panose="020B0602020104020603" pitchFamily="34" charset="0"/>
            </a:rPr>
            <a:t>historical trends are solid,</a:t>
          </a:r>
        </a:p>
        <a:p xmlns:a="http://schemas.openxmlformats.org/drawingml/2006/main">
          <a:r>
            <a:rPr lang="en-US" sz="1400" dirty="0">
              <a:solidFill>
                <a:sysClr val="windowText" lastClr="000000"/>
              </a:solidFill>
              <a:latin typeface="Tw Cen MT" panose="020B0602020104020603" pitchFamily="34" charset="0"/>
            </a:rPr>
            <a:t>projected</a:t>
          </a:r>
          <a:r>
            <a:rPr lang="en-US" sz="1400" baseline="0" dirty="0">
              <a:solidFill>
                <a:sysClr val="windowText" lastClr="000000"/>
              </a:solidFill>
              <a:latin typeface="Tw Cen MT" panose="020B0602020104020603" pitchFamily="34" charset="0"/>
            </a:rPr>
            <a:t> trends are dashed</a:t>
          </a:r>
        </a:p>
      </cdr:txBody>
    </cdr:sp>
  </cdr:relSizeAnchor>
  <cdr:relSizeAnchor xmlns:cdr="http://schemas.openxmlformats.org/drawingml/2006/chartDrawing">
    <cdr:from>
      <cdr:x>0.06868</cdr:x>
      <cdr:y>0.85556</cdr:y>
    </cdr:from>
    <cdr:to>
      <cdr:x>0.97292</cdr:x>
      <cdr:y>0.97725</cdr:y>
    </cdr:to>
    <cdr:sp macro="" textlink="">
      <cdr:nvSpPr>
        <cdr:cNvPr id="3" name="TextBox 1">
          <a:extLst xmlns:a="http://schemas.openxmlformats.org/drawingml/2006/main">
            <a:ext uri="{FF2B5EF4-FFF2-40B4-BE49-F238E27FC236}">
              <a16:creationId xmlns:a16="http://schemas.microsoft.com/office/drawing/2014/main" id="{77027180-B2FB-5BB9-DF38-01BC6F8E70A5}"/>
            </a:ext>
          </a:extLst>
        </cdr:cNvPr>
        <cdr:cNvSpPr txBox="1"/>
      </cdr:nvSpPr>
      <cdr:spPr>
        <a:xfrm xmlns:a="http://schemas.openxmlformats.org/drawingml/2006/main">
          <a:off x="219154" y="5133975"/>
          <a:ext cx="2885312" cy="73025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1000">
              <a:solidFill>
                <a:sysClr val="windowText" lastClr="000000"/>
              </a:solidFill>
              <a:latin typeface="Tw Cen MT" panose="020B0602020104020603" pitchFamily="34" charset="0"/>
            </a:rPr>
            <a:t>Municipal rates reflect</a:t>
          </a:r>
          <a:r>
            <a:rPr lang="en-US" sz="1000" baseline="0">
              <a:solidFill>
                <a:sysClr val="windowText" lastClr="000000"/>
              </a:solidFill>
              <a:latin typeface="Tw Cen MT" panose="020B0602020104020603" pitchFamily="34" charset="0"/>
            </a:rPr>
            <a:t> county rates which are</a:t>
          </a:r>
        </a:p>
        <a:p xmlns:a="http://schemas.openxmlformats.org/drawingml/2006/main">
          <a:pPr algn="r"/>
          <a:r>
            <a:rPr lang="en-US" sz="1000" baseline="0">
              <a:solidFill>
                <a:sysClr val="windowText" lastClr="000000"/>
              </a:solidFill>
              <a:latin typeface="Tw Cen MT" panose="020B0602020104020603" pitchFamily="34" charset="0"/>
            </a:rPr>
            <a:t>combined to determine approximate regional rates.</a:t>
          </a:r>
          <a:endParaRPr lang="en-US" sz="1000">
            <a:solidFill>
              <a:sysClr val="windowText" lastClr="000000"/>
            </a:solidFill>
            <a:latin typeface="Tw Cen MT" panose="020B0602020104020603" pitchFamily="34" charset="0"/>
          </a:endParaRPr>
        </a:p>
        <a:p xmlns:a="http://schemas.openxmlformats.org/drawingml/2006/main">
          <a:pPr algn="r"/>
          <a:r>
            <a:rPr lang="en-US" sz="1000">
              <a:solidFill>
                <a:sysClr val="windowText" lastClr="000000"/>
              </a:solidFill>
              <a:latin typeface="Tw Cen MT" panose="020B0602020104020603" pitchFamily="34" charset="0"/>
            </a:rPr>
            <a:t>Sources: IPUMS National Historical</a:t>
          </a:r>
          <a:r>
            <a:rPr lang="en-US" sz="1000" baseline="0">
              <a:solidFill>
                <a:sysClr val="windowText" lastClr="000000"/>
              </a:solidFill>
              <a:latin typeface="Tw Cen MT" panose="020B0602020104020603" pitchFamily="34" charset="0"/>
            </a:rPr>
            <a:t> </a:t>
          </a:r>
          <a:r>
            <a:rPr lang="en-US" sz="1000">
              <a:solidFill>
                <a:sysClr val="windowText" lastClr="000000"/>
              </a:solidFill>
              <a:latin typeface="Tw Cen MT" panose="020B0602020104020603" pitchFamily="34" charset="0"/>
            </a:rPr>
            <a:t>Geographic</a:t>
          </a:r>
        </a:p>
        <a:p xmlns:a="http://schemas.openxmlformats.org/drawingml/2006/main">
          <a:pPr algn="r"/>
          <a:r>
            <a:rPr lang="en-US" sz="1000">
              <a:solidFill>
                <a:sysClr val="windowText" lastClr="000000"/>
              </a:solidFill>
              <a:latin typeface="Tw Cen MT" panose="020B0602020104020603" pitchFamily="34" charset="0"/>
            </a:rPr>
            <a:t>Information</a:t>
          </a:r>
          <a:r>
            <a:rPr lang="en-US" sz="1000" baseline="0">
              <a:solidFill>
                <a:sysClr val="windowText" lastClr="000000"/>
              </a:solidFill>
              <a:latin typeface="Tw Cen MT" panose="020B0602020104020603" pitchFamily="34" charset="0"/>
            </a:rPr>
            <a:t> </a:t>
          </a:r>
          <a:r>
            <a:rPr lang="en-US" sz="1000">
              <a:solidFill>
                <a:sysClr val="windowText" lastClr="000000"/>
              </a:solidFill>
              <a:latin typeface="Tw Cen MT" panose="020B0602020104020603" pitchFamily="34" charset="0"/>
            </a:rPr>
            <a:t>System; NH Office of Planning</a:t>
          </a:r>
        </a:p>
        <a:p xmlns:a="http://schemas.openxmlformats.org/drawingml/2006/main">
          <a:pPr algn="r"/>
          <a:r>
            <a:rPr lang="en-US" sz="1000">
              <a:solidFill>
                <a:sysClr val="windowText" lastClr="000000"/>
              </a:solidFill>
              <a:latin typeface="Tw Cen MT" panose="020B0602020104020603" pitchFamily="34" charset="0"/>
            </a:rPr>
            <a:t>&amp;</a:t>
          </a:r>
          <a:r>
            <a:rPr lang="en-US" sz="1000" baseline="0">
              <a:solidFill>
                <a:sysClr val="windowText" lastClr="000000"/>
              </a:solidFill>
              <a:latin typeface="Tw Cen MT" panose="020B0602020104020603" pitchFamily="34" charset="0"/>
            </a:rPr>
            <a:t> Development; </a:t>
          </a:r>
          <a:r>
            <a:rPr lang="en-US" sz="1000">
              <a:solidFill>
                <a:sysClr val="windowText" lastClr="000000"/>
              </a:solidFill>
              <a:latin typeface="Tw Cen MT" panose="020B0602020104020603" pitchFamily="34" charset="0"/>
            </a:rPr>
            <a:t>US Census Bureau.</a:t>
          </a:r>
          <a:endParaRPr lang="en-US" sz="1000" baseline="0">
            <a:solidFill>
              <a:sysClr val="windowText" lastClr="000000"/>
            </a:solidFill>
            <a:latin typeface="Tw Cen MT" panose="020B0602020104020603" pitchFamily="3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0.26042</cdr:x>
      <cdr:y>0.18398</cdr:y>
    </cdr:from>
    <cdr:to>
      <cdr:x>0.48333</cdr:x>
      <cdr:y>0.35065</cdr:y>
    </cdr:to>
    <cdr:sp macro="" textlink="">
      <cdr:nvSpPr>
        <cdr:cNvPr id="2" name="TextBox 1">
          <a:extLst xmlns:a="http://schemas.openxmlformats.org/drawingml/2006/main">
            <a:ext uri="{FF2B5EF4-FFF2-40B4-BE49-F238E27FC236}">
              <a16:creationId xmlns:a16="http://schemas.microsoft.com/office/drawing/2014/main" id="{957065FB-5E72-33D5-1808-3069D7B1715B}"/>
            </a:ext>
          </a:extLst>
        </cdr:cNvPr>
        <cdr:cNvSpPr txBox="1"/>
      </cdr:nvSpPr>
      <cdr:spPr>
        <a:xfrm xmlns:a="http://schemas.openxmlformats.org/drawingml/2006/main">
          <a:off x="1190640" y="983102"/>
          <a:ext cx="1019145" cy="89060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US" sz="1200">
              <a:latin typeface="Tw Cen MT" panose="020B0602020104020603" pitchFamily="34" charset="0"/>
            </a:rPr>
            <a:t>Gray lines</a:t>
          </a:r>
        </a:p>
        <a:p xmlns:a="http://schemas.openxmlformats.org/drawingml/2006/main">
          <a:pPr algn="ctr"/>
          <a:r>
            <a:rPr lang="en-US" sz="1200">
              <a:latin typeface="Tw Cen MT" panose="020B0602020104020603" pitchFamily="34" charset="0"/>
            </a:rPr>
            <a:t>represent</a:t>
          </a:r>
        </a:p>
        <a:p xmlns:a="http://schemas.openxmlformats.org/drawingml/2006/main">
          <a:pPr algn="ctr"/>
          <a:r>
            <a:rPr lang="en-US" sz="1200">
              <a:latin typeface="Tw Cen MT" panose="020B0602020104020603" pitchFamily="34" charset="0"/>
            </a:rPr>
            <a:t>individual</a:t>
          </a:r>
          <a:endParaRPr lang="en-US" sz="1200" baseline="0">
            <a:latin typeface="Tw Cen MT" panose="020B0602020104020603" pitchFamily="34" charset="0"/>
          </a:endParaRPr>
        </a:p>
        <a:p xmlns:a="http://schemas.openxmlformats.org/drawingml/2006/main">
          <a:pPr algn="ctr"/>
          <a:r>
            <a:rPr lang="en-US" sz="1100" baseline="0">
              <a:latin typeface="Tw Cen MT" panose="020B0602020104020603" pitchFamily="34" charset="0"/>
            </a:rPr>
            <a:t>municipalities</a:t>
          </a:r>
          <a:endParaRPr lang="en-US" sz="1200">
            <a:latin typeface="Tw Cen MT" panose="020B0602020104020603" pitchFamily="34" charset="0"/>
          </a:endParaRPr>
        </a:p>
      </cdr:txBody>
    </cdr:sp>
  </cdr:relSizeAnchor>
  <cdr:relSizeAnchor xmlns:cdr="http://schemas.openxmlformats.org/drawingml/2006/chartDrawing">
    <cdr:from>
      <cdr:x>0.74113</cdr:x>
      <cdr:y>0.39386</cdr:y>
    </cdr:from>
    <cdr:to>
      <cdr:x>0.96405</cdr:x>
      <cdr:y>0.56053</cdr:y>
    </cdr:to>
    <cdr:sp macro="" textlink="">
      <cdr:nvSpPr>
        <cdr:cNvPr id="3" name="TextBox 1">
          <a:extLst xmlns:a="http://schemas.openxmlformats.org/drawingml/2006/main">
            <a:ext uri="{FF2B5EF4-FFF2-40B4-BE49-F238E27FC236}">
              <a16:creationId xmlns:a16="http://schemas.microsoft.com/office/drawing/2014/main" id="{3B811282-2673-CEEF-3C76-FAB9B9DF2597}"/>
            </a:ext>
          </a:extLst>
        </cdr:cNvPr>
        <cdr:cNvSpPr txBox="1"/>
      </cdr:nvSpPr>
      <cdr:spPr>
        <a:xfrm xmlns:a="http://schemas.openxmlformats.org/drawingml/2006/main">
          <a:off x="3388468" y="2104620"/>
          <a:ext cx="1019175" cy="89059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a:latin typeface="Tw Cen MT" panose="020B0602020104020603" pitchFamily="34" charset="0"/>
            </a:rPr>
            <a:t>Fair</a:t>
          </a:r>
          <a:r>
            <a:rPr lang="en-US" sz="1200" baseline="0">
              <a:latin typeface="Tw Cen MT" panose="020B0602020104020603" pitchFamily="34" charset="0"/>
            </a:rPr>
            <a:t> Share</a:t>
          </a:r>
        </a:p>
        <a:p xmlns:a="http://schemas.openxmlformats.org/drawingml/2006/main">
          <a:pPr algn="ctr"/>
          <a:r>
            <a:rPr lang="en-US" sz="1200" baseline="0">
              <a:latin typeface="Tw Cen MT" panose="020B0602020104020603" pitchFamily="34" charset="0"/>
            </a:rPr>
            <a:t>Housing</a:t>
          </a:r>
        </a:p>
        <a:p xmlns:a="http://schemas.openxmlformats.org/drawingml/2006/main">
          <a:pPr algn="ctr"/>
          <a:r>
            <a:rPr lang="en-US" sz="1200" baseline="0">
              <a:latin typeface="Tw Cen MT" panose="020B0602020104020603" pitchFamily="34" charset="0"/>
            </a:rPr>
            <a:t>Production</a:t>
          </a:r>
        </a:p>
        <a:p xmlns:a="http://schemas.openxmlformats.org/drawingml/2006/main">
          <a:pPr algn="ctr"/>
          <a:r>
            <a:rPr lang="en-US" sz="1200" baseline="0">
              <a:latin typeface="Tw Cen MT" panose="020B0602020104020603" pitchFamily="34" charset="0"/>
            </a:rPr>
            <a:t>Model</a:t>
          </a:r>
          <a:endParaRPr lang="en-US" sz="1200">
            <a:latin typeface="Tw Cen MT" panose="020B0602020104020603" pitchFamily="34" charset="0"/>
          </a:endParaRPr>
        </a:p>
      </cdr:txBody>
    </cdr:sp>
  </cdr:relSizeAnchor>
  <cdr:relSizeAnchor xmlns:cdr="http://schemas.openxmlformats.org/drawingml/2006/chartDrawing">
    <cdr:from>
      <cdr:x>0</cdr:x>
      <cdr:y>0.92949</cdr:y>
    </cdr:from>
    <cdr:to>
      <cdr:x>0.71389</cdr:x>
      <cdr:y>1</cdr:y>
    </cdr:to>
    <cdr:sp macro="" textlink="">
      <cdr:nvSpPr>
        <cdr:cNvPr id="5" name="TextBox 1">
          <a:extLst xmlns:a="http://schemas.openxmlformats.org/drawingml/2006/main">
            <a:ext uri="{FF2B5EF4-FFF2-40B4-BE49-F238E27FC236}">
              <a16:creationId xmlns:a16="http://schemas.microsoft.com/office/drawing/2014/main" id="{5CF29C4A-8D49-4ED2-FFF7-C89C5B08E200}"/>
            </a:ext>
          </a:extLst>
        </cdr:cNvPr>
        <cdr:cNvSpPr txBox="1"/>
      </cdr:nvSpPr>
      <cdr:spPr>
        <a:xfrm xmlns:a="http://schemas.openxmlformats.org/drawingml/2006/main">
          <a:off x="0" y="4603750"/>
          <a:ext cx="3263900" cy="3492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rtl="0" eaLnBrk="1" latinLnBrk="0" hangingPunct="1"/>
          <a:r>
            <a:rPr lang="en-US" sz="1000">
              <a:effectLst/>
              <a:latin typeface="Tw Cen MT" panose="020B0602020104020603" pitchFamily="34" charset="0"/>
              <a:ea typeface="+mn-ea"/>
              <a:cs typeface="+mn-cs"/>
            </a:rPr>
            <a:t>Sources: IPUMS National Historical Geographic Information</a:t>
          </a:r>
          <a:br>
            <a:rPr lang="en-US" sz="1000">
              <a:effectLst/>
              <a:latin typeface="Tw Cen MT" panose="020B0602020104020603" pitchFamily="34" charset="0"/>
              <a:ea typeface="+mn-ea"/>
              <a:cs typeface="+mn-cs"/>
            </a:rPr>
          </a:br>
          <a:r>
            <a:rPr lang="en-US" sz="1000">
              <a:effectLst/>
              <a:latin typeface="Tw Cen MT" panose="020B0602020104020603" pitchFamily="34" charset="0"/>
              <a:ea typeface="+mn-ea"/>
              <a:cs typeface="+mn-cs"/>
            </a:rPr>
            <a:t>System; Root Policy Research; US Census Bureau.</a:t>
          </a:r>
          <a:endParaRPr lang="en-US" sz="1000">
            <a:effectLst/>
            <a:latin typeface="Tw Cen MT" panose="020B0602020104020603" pitchFamily="34" charset="0"/>
          </a:endParaRPr>
        </a:p>
        <a:p xmlns:a="http://schemas.openxmlformats.org/drawingml/2006/main">
          <a:pPr algn="ctr"/>
          <a:endParaRPr lang="en-US" sz="1000">
            <a:latin typeface="Tw Cen MT" panose="020B0602020104020603" pitchFamily="34" charset="0"/>
          </a:endParaRPr>
        </a:p>
      </cdr:txBody>
    </cdr:sp>
  </cdr:relSizeAnchor>
  <cdr:relSizeAnchor xmlns:cdr="http://schemas.openxmlformats.org/drawingml/2006/chartDrawing">
    <cdr:from>
      <cdr:x>0.70103</cdr:x>
      <cdr:y>0</cdr:y>
    </cdr:from>
    <cdr:to>
      <cdr:x>1</cdr:x>
      <cdr:y>0.9363</cdr:y>
    </cdr:to>
    <cdr:sp macro="" textlink="">
      <cdr:nvSpPr>
        <cdr:cNvPr id="6" name="Rectangle 5">
          <a:extLst xmlns:a="http://schemas.openxmlformats.org/drawingml/2006/main">
            <a:ext uri="{FF2B5EF4-FFF2-40B4-BE49-F238E27FC236}">
              <a16:creationId xmlns:a16="http://schemas.microsoft.com/office/drawing/2014/main" id="{BAC5621D-D4F5-1B71-A7D8-05A44EB2D4DB}"/>
            </a:ext>
          </a:extLst>
        </cdr:cNvPr>
        <cdr:cNvSpPr/>
      </cdr:nvSpPr>
      <cdr:spPr>
        <a:xfrm xmlns:a="http://schemas.openxmlformats.org/drawingml/2006/main">
          <a:off x="3214961" y="0"/>
          <a:ext cx="1371076" cy="5003132"/>
        </a:xfrm>
        <a:prstGeom xmlns:a="http://schemas.openxmlformats.org/drawingml/2006/main" prst="rect">
          <a:avLst/>
        </a:prstGeom>
        <a:solidFill xmlns:a="http://schemas.openxmlformats.org/drawingml/2006/main">
          <a:schemeClr val="tx1">
            <a:alpha val="5000"/>
          </a:schemeClr>
        </a:solidFill>
        <a:ln xmlns:a="http://schemas.openxmlformats.org/drawingml/2006/main">
          <a:noFill/>
        </a:ln>
        <a:effectLst xmlns:a="http://schemas.openxmlformats.org/drawingml/2006/main">
          <a:outerShdw blurRad="50800" dist="50800" dir="5400000" algn="ctr" rotWithShape="0">
            <a:srgbClr val="000000"/>
          </a:outerShdw>
        </a:effec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US" sz="1100"/>
        </a:p>
      </cdr:txBody>
    </cdr:sp>
  </cdr:relSizeAnchor>
</c:userShapes>
</file>

<file path=word/drawings/drawing6.xml><?xml version="1.0" encoding="utf-8"?>
<c:userShapes xmlns:c="http://schemas.openxmlformats.org/drawingml/2006/chart">
  <cdr:relSizeAnchor xmlns:cdr="http://schemas.openxmlformats.org/drawingml/2006/chartDrawing">
    <cdr:from>
      <cdr:x>0.42924</cdr:x>
      <cdr:y>0.13809</cdr:y>
    </cdr:from>
    <cdr:to>
      <cdr:x>0.75602</cdr:x>
      <cdr:y>0.20816</cdr:y>
    </cdr:to>
    <cdr:sp macro="" textlink="">
      <cdr:nvSpPr>
        <cdr:cNvPr id="2" name="TextBox 1">
          <a:extLst xmlns:a="http://schemas.openxmlformats.org/drawingml/2006/main">
            <a:ext uri="{FF2B5EF4-FFF2-40B4-BE49-F238E27FC236}">
              <a16:creationId xmlns:a16="http://schemas.microsoft.com/office/drawing/2014/main" id="{38738FD9-CC2E-C49E-91DF-D78E7FFF847E}"/>
            </a:ext>
          </a:extLst>
        </cdr:cNvPr>
        <cdr:cNvSpPr txBox="1"/>
      </cdr:nvSpPr>
      <cdr:spPr>
        <a:xfrm xmlns:a="http://schemas.openxmlformats.org/drawingml/2006/main">
          <a:off x="2551210" y="492438"/>
          <a:ext cx="1942249" cy="2498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dirty="0">
              <a:latin typeface="Tw Cen MT" panose="020B0602020104020603" pitchFamily="34" charset="0"/>
            </a:rPr>
            <a:t>2-Decile</a:t>
          </a:r>
          <a:r>
            <a:rPr lang="en-US" sz="1400" baseline="0" dirty="0">
              <a:latin typeface="Tw Cen MT" panose="020B0602020104020603" pitchFamily="34" charset="0"/>
            </a:rPr>
            <a:t> Moving Average Trendline</a:t>
          </a:r>
          <a:endParaRPr lang="en-US" sz="1400" dirty="0">
            <a:latin typeface="Tw Cen MT" panose="020B0602020104020603" pitchFamily="34" charset="0"/>
          </a:endParaRPr>
        </a:p>
      </cdr:txBody>
    </cdr:sp>
  </cdr:relSizeAnchor>
  <cdr:relSizeAnchor xmlns:cdr="http://schemas.openxmlformats.org/drawingml/2006/chartDrawing">
    <cdr:from>
      <cdr:x>0.32518</cdr:x>
      <cdr:y>0.45326</cdr:y>
    </cdr:from>
    <cdr:to>
      <cdr:x>0.84541</cdr:x>
      <cdr:y>0.61268</cdr:y>
    </cdr:to>
    <cdr:sp macro="" textlink="">
      <cdr:nvSpPr>
        <cdr:cNvPr id="3" name="TextBox 1">
          <a:extLst xmlns:a="http://schemas.openxmlformats.org/drawingml/2006/main">
            <a:ext uri="{FF2B5EF4-FFF2-40B4-BE49-F238E27FC236}">
              <a16:creationId xmlns:a16="http://schemas.microsoft.com/office/drawing/2014/main" id="{5FC2B1DA-F6D5-BAF5-5EA2-0E613642432D}"/>
            </a:ext>
          </a:extLst>
        </cdr:cNvPr>
        <cdr:cNvSpPr txBox="1"/>
      </cdr:nvSpPr>
      <cdr:spPr>
        <a:xfrm xmlns:a="http://schemas.openxmlformats.org/drawingml/2006/main">
          <a:off x="1932751" y="1616381"/>
          <a:ext cx="3092039" cy="56851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400" dirty="0">
              <a:latin typeface="Tw Cen MT" panose="020B0602020104020603" pitchFamily="34" charset="0"/>
            </a:rPr>
            <a:t>In the SNHPC region, the average</a:t>
          </a:r>
          <a:r>
            <a:rPr lang="en-US" sz="1400" baseline="0" dirty="0">
              <a:latin typeface="Tw Cen MT" panose="020B0602020104020603" pitchFamily="34" charset="0"/>
            </a:rPr>
            <a:t> </a:t>
          </a:r>
          <a:r>
            <a:rPr lang="en-US" sz="1400" dirty="0">
              <a:latin typeface="Tw Cen MT" panose="020B0602020104020603" pitchFamily="34" charset="0"/>
            </a:rPr>
            <a:t>single-family</a:t>
          </a:r>
          <a:endParaRPr lang="en-US" sz="1400" baseline="0" dirty="0">
            <a:latin typeface="Tw Cen MT" panose="020B0602020104020603" pitchFamily="34" charset="0"/>
          </a:endParaRPr>
        </a:p>
        <a:p xmlns:a="http://schemas.openxmlformats.org/drawingml/2006/main">
          <a:r>
            <a:rPr lang="en-US" sz="1400" dirty="0">
              <a:latin typeface="Tw Cen MT" panose="020B0602020104020603" pitchFamily="34" charset="0"/>
            </a:rPr>
            <a:t>home on 1acre</a:t>
          </a:r>
          <a:r>
            <a:rPr lang="en-US" sz="1400" baseline="0" dirty="0">
              <a:latin typeface="Tw Cen MT" panose="020B0602020104020603" pitchFamily="34" charset="0"/>
            </a:rPr>
            <a:t> </a:t>
          </a:r>
          <a:r>
            <a:rPr lang="en-US" sz="1400" dirty="0">
              <a:latin typeface="Tw Cen MT" panose="020B0602020104020603" pitchFamily="34" charset="0"/>
            </a:rPr>
            <a:t>costs</a:t>
          </a:r>
          <a:r>
            <a:rPr lang="en-US" sz="1400" baseline="0" dirty="0">
              <a:latin typeface="Tw Cen MT" panose="020B0602020104020603" pitchFamily="34" charset="0"/>
            </a:rPr>
            <a:t> </a:t>
          </a:r>
          <a:r>
            <a:rPr lang="en-US" sz="1400" dirty="0">
              <a:latin typeface="Tw Cen MT" panose="020B0602020104020603" pitchFamily="34" charset="0"/>
            </a:rPr>
            <a:t>twice</a:t>
          </a:r>
          <a:r>
            <a:rPr lang="en-US" sz="1400" baseline="0" dirty="0">
              <a:latin typeface="Tw Cen MT" panose="020B0602020104020603" pitchFamily="34" charset="0"/>
            </a:rPr>
            <a:t> as much</a:t>
          </a:r>
          <a:r>
            <a:rPr lang="en-US" sz="1400" dirty="0">
              <a:latin typeface="Tw Cen MT" panose="020B0602020104020603" pitchFamily="34" charset="0"/>
            </a:rPr>
            <a:t> as a</a:t>
          </a:r>
          <a:r>
            <a:rPr lang="en-US" sz="1400" baseline="0" dirty="0">
              <a:latin typeface="Tw Cen MT" panose="020B0602020104020603" pitchFamily="34" charset="0"/>
            </a:rPr>
            <a:t> </a:t>
          </a:r>
          <a:r>
            <a:rPr lang="en-US" sz="1400" dirty="0">
              <a:latin typeface="Tw Cen MT" panose="020B0602020104020603" pitchFamily="34" charset="0"/>
            </a:rPr>
            <a:t>home on</a:t>
          </a:r>
        </a:p>
        <a:p xmlns:a="http://schemas.openxmlformats.org/drawingml/2006/main">
          <a:r>
            <a:rPr lang="en-US" sz="1400" dirty="0">
              <a:latin typeface="Tw Cen MT" panose="020B0602020104020603" pitchFamily="34" charset="0"/>
            </a:rPr>
            <a:t>a tenth of</a:t>
          </a:r>
          <a:r>
            <a:rPr lang="en-US" sz="1400" baseline="0" dirty="0">
              <a:latin typeface="Tw Cen MT" panose="020B0602020104020603" pitchFamily="34" charset="0"/>
            </a:rPr>
            <a:t> </a:t>
          </a:r>
          <a:r>
            <a:rPr lang="en-US" sz="1400" dirty="0">
              <a:latin typeface="Tw Cen MT" panose="020B0602020104020603" pitchFamily="34" charset="0"/>
            </a:rPr>
            <a:t>an acre.</a:t>
          </a:r>
        </a:p>
      </cdr:txBody>
    </cdr:sp>
  </cdr:relSizeAnchor>
</c:userShapes>
</file>

<file path=word/drawings/drawing7.xml><?xml version="1.0" encoding="utf-8"?>
<c:userShapes xmlns:c="http://schemas.openxmlformats.org/drawingml/2006/chart">
  <cdr:relSizeAnchor xmlns:cdr="http://schemas.openxmlformats.org/drawingml/2006/chartDrawing">
    <cdr:from>
      <cdr:x>0.43355</cdr:x>
      <cdr:y>0.18762</cdr:y>
    </cdr:from>
    <cdr:to>
      <cdr:x>0.90659</cdr:x>
      <cdr:y>0.52157</cdr:y>
    </cdr:to>
    <cdr:sp macro="" textlink="">
      <cdr:nvSpPr>
        <cdr:cNvPr id="3" name="TextBox 2">
          <a:extLst xmlns:a="http://schemas.openxmlformats.org/drawingml/2006/main">
            <a:ext uri="{FF2B5EF4-FFF2-40B4-BE49-F238E27FC236}">
              <a16:creationId xmlns:a16="http://schemas.microsoft.com/office/drawing/2014/main" id="{560C1334-3E54-63FC-53BC-D9B52E0854DE}"/>
            </a:ext>
          </a:extLst>
        </cdr:cNvPr>
        <cdr:cNvSpPr txBox="1"/>
      </cdr:nvSpPr>
      <cdr:spPr>
        <a:xfrm xmlns:a="http://schemas.openxmlformats.org/drawingml/2006/main">
          <a:off x="2378642" y="1029361"/>
          <a:ext cx="2595291" cy="18321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US" sz="1400" i="1" dirty="0">
              <a:effectLst/>
              <a:latin typeface="Tw Cen MT" panose="020B0602020104020603" pitchFamily="34" charset="0"/>
              <a:ea typeface="+mn-ea"/>
              <a:cs typeface="+mn-cs"/>
            </a:rPr>
            <a:t>The typical single-family home in Derry on 1/10 of an acre is worth $83,000 less than the typical home on 1 acre but generates more than 12 times as much gross revenue per area for the town.</a:t>
          </a:r>
        </a:p>
      </cdr:txBody>
    </cdr:sp>
  </cdr:relSizeAnchor>
  <cdr:relSizeAnchor xmlns:cdr="http://schemas.openxmlformats.org/drawingml/2006/chartDrawing">
    <cdr:from>
      <cdr:x>0</cdr:x>
      <cdr:y>0.91822</cdr:y>
    </cdr:from>
    <cdr:to>
      <cdr:x>0.33199</cdr:x>
      <cdr:y>1</cdr:y>
    </cdr:to>
    <cdr:sp macro="" textlink="">
      <cdr:nvSpPr>
        <cdr:cNvPr id="2" name="TextBox 1">
          <a:extLst xmlns:a="http://schemas.openxmlformats.org/drawingml/2006/main">
            <a:ext uri="{FF2B5EF4-FFF2-40B4-BE49-F238E27FC236}">
              <a16:creationId xmlns:a16="http://schemas.microsoft.com/office/drawing/2014/main" id="{890809E9-C3CE-7322-1A09-96D838D1C894}"/>
            </a:ext>
          </a:extLst>
        </cdr:cNvPr>
        <cdr:cNvSpPr txBox="1"/>
      </cdr:nvSpPr>
      <cdr:spPr>
        <a:xfrm xmlns:a="http://schemas.openxmlformats.org/drawingml/2006/main">
          <a:off x="0" y="4705350"/>
          <a:ext cx="1457776" cy="41909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000" dirty="0">
              <a:latin typeface="Tw Cen MT" panose="020B0602020104020603" pitchFamily="34" charset="0"/>
            </a:rPr>
            <a:t>Source: NH Department</a:t>
          </a:r>
        </a:p>
        <a:p xmlns:a="http://schemas.openxmlformats.org/drawingml/2006/main">
          <a:r>
            <a:rPr lang="en-US" sz="1000" dirty="0">
              <a:latin typeface="Tw Cen MT" panose="020B0602020104020603" pitchFamily="34" charset="0"/>
            </a:rPr>
            <a:t>of Revenue Administration</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1868574"/>
        <w:category>
          <w:name w:val="General"/>
          <w:gallery w:val="placeholder"/>
        </w:category>
        <w:types>
          <w:type w:val="bbPlcHdr"/>
        </w:types>
        <w:behaviors>
          <w:behavior w:val="content"/>
        </w:behaviors>
        <w:guid w:val="{E09C8160-1CDA-40CD-AAB6-7096B4ECF475}"/>
      </w:docPartPr>
      <w:docPartBody>
        <w:p w:rsidR="005B68BC" w:rsidRDefault="005B68BC"/>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HGPGothicE">
    <w:charset w:val="80"/>
    <w:family w:val="swiss"/>
    <w:pitch w:val="variable"/>
    <w:sig w:usb0="E00002FF" w:usb1="2AC7EDFE" w:usb2="00000012" w:usb3="00000000" w:csb0="0002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Open Sans">
    <w:altName w:val="Open Sans"/>
    <w:charset w:val="00"/>
    <w:family w:val="swiss"/>
    <w:pitch w:val="variable"/>
    <w:sig w:usb0="E00002EF" w:usb1="4000205B" w:usb2="00000028" w:usb3="00000000" w:csb0="0000019F" w:csb1="00000000"/>
  </w:font>
  <w:font w:name="Lato">
    <w:charset w:val="00"/>
    <w:family w:val="swiss"/>
    <w:pitch w:val="variable"/>
    <w:sig w:usb0="E10002FF" w:usb1="5000ECFF" w:usb2="00000021" w:usb3="00000000" w:csb0="0000019F" w:csb1="00000000"/>
  </w:font>
  <w:font w:name="Times">
    <w:panose1 w:val="02020603050405020304"/>
    <w:charset w:val="00"/>
    <w:family w:val="roman"/>
    <w:pitch w:val="variable"/>
    <w:sig w:usb0="E0002EFF" w:usb1="C000785B" w:usb2="00000009" w:usb3="00000000" w:csb0="000001FF" w:csb1="00000000"/>
  </w:font>
  <w:font w:name="IBM Plex Serif">
    <w:charset w:val="00"/>
    <w:family w:val="roman"/>
    <w:pitch w:val="variable"/>
    <w:sig w:usb0="A000026F" w:usb1="5000203B"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5B68BC"/>
    <w:rsid w:val="00021D41"/>
    <w:rsid w:val="000A2A20"/>
    <w:rsid w:val="000B5AEC"/>
    <w:rsid w:val="00152C87"/>
    <w:rsid w:val="00161E1C"/>
    <w:rsid w:val="001A3FE0"/>
    <w:rsid w:val="0024043D"/>
    <w:rsid w:val="002B4A30"/>
    <w:rsid w:val="002B5DBF"/>
    <w:rsid w:val="00337B3C"/>
    <w:rsid w:val="003B31C3"/>
    <w:rsid w:val="003C4851"/>
    <w:rsid w:val="003E5538"/>
    <w:rsid w:val="00436413"/>
    <w:rsid w:val="00452FEC"/>
    <w:rsid w:val="005B68BC"/>
    <w:rsid w:val="005E441F"/>
    <w:rsid w:val="00604018"/>
    <w:rsid w:val="007C04CD"/>
    <w:rsid w:val="007D3C7B"/>
    <w:rsid w:val="007D5CB9"/>
    <w:rsid w:val="007F1012"/>
    <w:rsid w:val="008738BD"/>
    <w:rsid w:val="008C6744"/>
    <w:rsid w:val="008E1BA6"/>
    <w:rsid w:val="00947239"/>
    <w:rsid w:val="00967B40"/>
    <w:rsid w:val="009728EB"/>
    <w:rsid w:val="009A4FD0"/>
    <w:rsid w:val="009C5DC2"/>
    <w:rsid w:val="00A12119"/>
    <w:rsid w:val="00A544A7"/>
    <w:rsid w:val="00A72AF9"/>
    <w:rsid w:val="00A81656"/>
    <w:rsid w:val="00AE3A30"/>
    <w:rsid w:val="00B61E73"/>
    <w:rsid w:val="00B75B3A"/>
    <w:rsid w:val="00B76128"/>
    <w:rsid w:val="00B76169"/>
    <w:rsid w:val="00BB0909"/>
    <w:rsid w:val="00C25347"/>
    <w:rsid w:val="00CA7075"/>
    <w:rsid w:val="00CE71C0"/>
    <w:rsid w:val="00D7199D"/>
    <w:rsid w:val="00EB69FF"/>
    <w:rsid w:val="00F409AA"/>
    <w:rsid w:val="00F655C9"/>
    <w:rsid w:val="00FB4D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theme/_rels/theme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jpeg"/></Relationships>
</file>

<file path=word/theme/theme1.xml><?xml version="1.0" encoding="utf-8"?>
<a:theme xmlns:a="http://schemas.openxmlformats.org/drawingml/2006/main" name="Theme1">
  <a:themeElements>
    <a:clrScheme name="Custom 1">
      <a:dk1>
        <a:sysClr val="windowText" lastClr="000000"/>
      </a:dk1>
      <a:lt1>
        <a:sysClr val="window" lastClr="FFFFFF"/>
      </a:lt1>
      <a:dk2>
        <a:srgbClr val="003192"/>
      </a:dk2>
      <a:lt2>
        <a:srgbClr val="E7ECED"/>
      </a:lt2>
      <a:accent1>
        <a:srgbClr val="69B220"/>
      </a:accent1>
      <a:accent2>
        <a:srgbClr val="699BFF"/>
      </a:accent2>
      <a:accent3>
        <a:srgbClr val="DEAE00"/>
      </a:accent3>
      <a:accent4>
        <a:srgbClr val="34590F"/>
      </a:accent4>
      <a:accent5>
        <a:srgbClr val="E0773C"/>
      </a:accent5>
      <a:accent6>
        <a:srgbClr val="7030A0"/>
      </a:accent6>
      <a:hlink>
        <a:srgbClr val="003CB4"/>
      </a:hlink>
      <a:folHlink>
        <a:srgbClr val="598C8C"/>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Version="0"/>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tns:customPropertyEditors xmlns:tns="http://schemas.microsoft.com/office/2006/customDocumentInformationPanel">
  <tns:showOnOpen>false</tns:showOnOpen>
  <tns:defaultPropertyEditorNamespace>Standard properties</tns:defaultPropertyEditorNamespace>
</tns:customPropertyEditors>
</file>

<file path=customXml/itemProps1.xml><?xml version="1.0" encoding="utf-8"?>
<ds:datastoreItem xmlns:ds="http://schemas.openxmlformats.org/officeDocument/2006/customXml" ds:itemID="{7A9CF5F5-3E13-4190-9150-CFBADC7F3029}">
  <ds:schemaRefs>
    <ds:schemaRef ds:uri="http://schemas.openxmlformats.org/officeDocument/2006/bibliography"/>
  </ds:schemaRefs>
</ds:datastoreItem>
</file>

<file path=customXml/itemProps2.xml><?xml version="1.0" encoding="utf-8"?>
<ds:datastoreItem xmlns:ds="http://schemas.openxmlformats.org/officeDocument/2006/customXml" ds:itemID="{6B996296-239F-4BAB-8618-6ECB34FEDEC4}">
  <ds:schemaRefs>
    <ds:schemaRef ds:uri="http://schemas.microsoft.com/sharepoint/v3/contenttype/forms"/>
  </ds:schemaRefs>
</ds:datastoreItem>
</file>

<file path=customXml/itemProps3.xml><?xml version="1.0" encoding="utf-8"?>
<ds:datastoreItem xmlns:ds="http://schemas.openxmlformats.org/officeDocument/2006/customXml" ds:itemID="{6F661CF1-FFCF-4111-9D3E-C49A188505D1}">
  <ds:schemaRefs>
    <ds:schemaRef ds:uri="http://schemas.microsoft.com/office/2006/customDocumentInformationPanel"/>
  </ds:schemaRefs>
</ds:datastoreItem>
</file>

<file path=docProps/app.xml><?xml version="1.0" encoding="utf-8"?>
<Properties xmlns="http://schemas.openxmlformats.org/officeDocument/2006/extended-properties" xmlns:vt="http://schemas.openxmlformats.org/officeDocument/2006/docPropsVTypes">
  <Template>TS010192745</Template>
  <TotalTime>1</TotalTime>
  <Pages>139</Pages>
  <Words>40967</Words>
  <Characters>233517</Characters>
  <Application>Microsoft Office Word</Application>
  <DocSecurity>0</DocSecurity>
  <Lines>1945</Lines>
  <Paragraphs>547</Paragraphs>
  <ScaleCrop>false</ScaleCrop>
  <HeadingPairs>
    <vt:vector size="2" baseType="variant">
      <vt:variant>
        <vt:lpstr>Title</vt:lpstr>
      </vt:variant>
      <vt:variant>
        <vt:i4>1</vt:i4>
      </vt:variant>
    </vt:vector>
  </HeadingPairs>
  <TitlesOfParts>
    <vt:vector size="1" baseType="lpstr">
      <vt:lpstr>Southern New Hampshire Regional Housing Needs Assessment</vt:lpstr>
    </vt:vector>
  </TitlesOfParts>
  <Company/>
  <LinksUpToDate>false</LinksUpToDate>
  <CharactersWithSpaces>273937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Southern New Hampshire Regional Housing Needs Assessment</dc:title>
  <dc:subject>SNHPC Regional Housing Needs Assessment</dc:subject>
  <dc:creator>Jillian Harris</dc:creator>
  <cp:keywords/>
  <dc:description/>
  <cp:lastModifiedBy>Tammy Zamoyski</cp:lastModifiedBy>
  <cp:revision>3</cp:revision>
  <cp:lastPrinted>2022-06-09T15:55:00Z</cp:lastPrinted>
  <dcterms:created xsi:type="dcterms:W3CDTF">2023-02-24T20:03:00Z</dcterms:created>
  <dcterms:modified xsi:type="dcterms:W3CDTF">2023-02-24T20:04:00Z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TC101927459990</vt:lpwstr>
  </property>
</Properties>
</file>